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m:oMathPara>
        <m:oMathParaPr>
          <m:jc m:val="left"/>
        </m:oMathParaPr>
        <m:oMath>
          <m:bar>
            <m:barPr/>
            <m:e>
              <m:r>
                <m:rPr>
                  <m:nor/>
                </m:rPr>
                <w:rPr>
                  <w:sz w:val="42"/>
                </w:rPr>
                <m:t> À rendre avec la copie une annexe documents réponses </m:t>
              </m:r>
            </m:e>
          </m:bar>
        </m:oMath>
      </m:oMathPara>
    </w:p>
    <w:p>
      <w:pPr>
        <w:spacing w:line="271" w:before="330" w:lineRule="auto"/>
      </w:pPr>
      <w:r>
        <w:rPr>
          <w:rFonts w:eastAsia="Georgia" w:cs="Georgia" w:ascii="Georgia" w:hAnsi="Georgia"/>
          <w:b/>
          <w:sz w:val="42"/>
        </w:rPr>
        <w:t xml:space="preserve">Synthèse et utilisation de composés semi-conducteurs</w:t>
      </w:r>
    </w:p>
    <w:p>
      <w:pPr>
        <w:spacing w:after="220" w:lineRule="auto"/>
      </w:pPr>
      <w:r>
        <w:rPr>
          <w:rFonts w:eastAsia="Georgia" w:cs="Georgia" w:ascii="Georgia" w:hAnsi="Georgia"/>
        </w:rPr>
        <w:t xml:space="preserve">Les composants semi-conducteurs sont très répandus dans l'électronique moderne. Ce problème propose d'étudier deux aspects des composants à semi-conducteurs : leur utilisation et leur fabrication.</w:t>
      </w:r>
    </w:p>
    <w:p>
      <w:pPr>
        <w:spacing w:after="220" w:lineRule="auto"/>
      </w:pPr>
      <w:r>
        <w:rPr>
          <w:rFonts w:eastAsia="Georgia" w:cs="Georgia" w:ascii="Georgia" w:hAnsi="Georgia"/>
        </w:rPr>
        <w:t xml:space="preserve">Dans une première partie du problème, on examine la réalisation, à l'aide d'ALI d'une Modulation de Largeur d'Impulsion (MLI).</w:t>
      </w:r>
    </w:p>
    <w:p>
      <w:pPr>
        <w:spacing w:after="220" w:lineRule="auto"/>
      </w:pPr>
      <w:r>
        <w:rPr>
          <w:rFonts w:eastAsia="Georgia" w:cs="Georgia" w:ascii="Georgia" w:hAnsi="Georgia"/>
        </w:rPr>
        <w:t xml:space="preserve">La seconde partie étudie un exemple de processus de fabrication qui a commencé à être utilisé dans les années 70 : l'épitaxie par jet moléculaire (EJM ou MBE en anglais). Cette dernière, grâce à des jets d'atomes ou de molécules relativement lent a permis la création de couches de semi-conducteur dont l'épaisseur peut être monoatomique. On a pu ainsi créer des composants plus petits mais aussi réaliser des diodes Laser de largeur spectrale très fine.</w:t>
      </w:r>
    </w:p>
    <w:p>
      <w:pPr>
        <w:spacing w:after="220" w:lineRule="auto"/>
      </w:pPr>
      <w:r>
        <w:rPr>
          <w:rFonts w:eastAsia="Georgia" w:cs="Georgia" w:ascii="Georgia" w:hAnsi="Georgia"/>
        </w:rPr>
        <w:t xml:space="preserve">Les deux parties sont entièrement indépendantes. On mènera les calculs avec les valeurs approchées des constantes fournies en fin de sujet.</w:t>
      </w:r>
    </w:p>
    <w:p>
      <w:pPr>
        <w:spacing w:line="271" w:before="330" w:lineRule="auto"/>
      </w:pPr>
      <w:r>
        <w:rPr>
          <w:b/>
          <w:sz w:val="42"/>
        </w:rPr>
        <w:t xml:space="preserve">Partie A : Exemple d'utilisation des semi-conducteurs : la MLI</w:t>
      </w:r>
    </w:p>
    <w:p>
      <w:pPr>
        <w:spacing w:line="271" w:before="330" w:lineRule="auto"/>
      </w:pPr>
      <w:r>
        <w:rPr>
          <w:b/>
          <w:sz w:val="42"/>
        </w:rPr>
        <w:t xml:space="preserve">MLI : Modulation de largeurs d'impulsion</w:t>
      </w:r>
    </w:p>
    <w:p>
      <w:pPr>
        <w:spacing w:lineRule="auto"/>
      </w:pPr>
      <w:r>
        <w:rPr/>
        <w:t xml:space="preserve">Signal modulant</w:t>
      </w:r>
    </w:p>
    <w:p>
      <w:pPr>
        <w:spacing w:lineRule="auto"/>
        <w:jc w:val="center"/>
      </w:pPr>
      <w:r>
        <w:rPr/>
        <w:drawing>
          <wp:inline distB="0" distL="0" distR="0" distT="0">
            <wp:extent cx="5486400" cy="5093035"/>
            <wp:effectExtent b="0" l="0" r="0" t="0"/>
            <wp:docPr id="1" name="image-52c4c1f0cbb65f46bcfec95f9af71dc769b5976c.jpg"/>
            <a:graphic>
              <a:graphicData uri="http://schemas.openxmlformats.org/drawingml/2006/picture">
                <pic:pic>
                  <pic:nvPicPr>
                    <pic:cNvPr id="1" name="image-52c4c1f0cbb65f46bcfec95f9af71dc769b5976c.jpg" descr=""/>
                    <pic:cNvPicPr/>
                  </pic:nvPicPr>
                  <pic:blipFill>
                    <a:blip r:embed="rId5" cstate="print"/>
                    <a:srcRect b="0" l="0" r="0" t="0"/>
                    <a:stretch>
                      <a:fillRect/>
                    </a:stretch>
                  </pic:blipFill>
                  <pic:spPr>
                    <a:xfrm>
                      <a:off x="0" y="0"/>
                      <a:ext cx="5486400" cy="5093035"/>
                    </a:xfrm>
                    <a:prstGeom prst="rect"/>
                  </pic:spPr>
                </pic:pic>
              </a:graphicData>
            </a:graphic>
          </wp:inline>
        </w:drawing>
      </w:r>
    </w:p>
    <w:p>
      <w:pPr>
        <w:spacing w:after="220" w:lineRule="auto"/>
      </w:pPr>
      <w:r>
        <w:rPr>
          <w:rFonts w:eastAsia="Georgia" w:cs="Georgia" w:ascii="Georgia" w:hAnsi="Georgia"/>
        </w:rPr>
        <w:t xml:space="preserve">Le principe consiste à générer des impulsions électroniques à intervalles régulières mais dont la largeur temporelle va dépendre d'un signal «modulant». C'est la valeur de tension du ce signal qui va déterminer la largeur de l'impulsion (cf. Figure A.1).</w:t>
      </w:r>
    </w:p>
    <w:p>
      <w:pPr>
        <w:spacing w:line="271" w:before="330" w:lineRule="auto"/>
      </w:pPr>
      <w:r>
        <w:rPr>
          <w:rFonts w:eastAsia="Georgia" w:cs="Georgia" w:ascii="Georgia" w:hAnsi="Georgia"/>
          <w:b/>
          <w:sz w:val="42"/>
        </w:rPr>
        <w:t xml:space="preserve">A. 1 - Modulation de largeur d'impulsion : réalisation analogique</w:t>
      </w:r>
    </w:p>
    <w:p>
      <w:pPr>
        <w:spacing w:after="220" w:lineRule="auto"/>
      </w:pPr>
      <w:r>
        <w:rPr>
          <w:rFonts w:eastAsia="Georgia" w:cs="Georgia" w:ascii="Georgia" w:hAnsi="Georgia"/>
        </w:rPr>
        <w:t xml:space="preserve">On considère le montage de la figure Figure A. 2 mettant en jeu un ALI supposé idéal auquel on applique :</w:t>
      </w:r>
    </w:p>
    <w:p>
      <w:pPr>
        <w:numPr>
          <w:ilvl w:val="0"/>
          <w:numId w:val="1"/>
        </w:numPr>
        <w:spacing w:lineRule="auto"/>
      </w:pPr>
      <w:r>
        <w:rPr/>
        <w:t xml:space="preserve">un signal modulant </w:t>
      </w:r>
      <m:oMath>
        <m:sSub>
          <m:sSubPr/>
          <m:e>
            <m:r>
              <m:rPr>
                <m:sty m:val="i"/>
              </m:rPr>
              <m:t>u</m:t>
            </m:r>
          </m:e>
          <m:sub>
            <m:r>
              <m:rPr>
                <m:sty m:val="i"/>
              </m:rPr>
              <m:t>e</m:t>
            </m:r>
          </m:sub>
        </m:sSub>
        <m:r>
          <m:rPr>
            <m:sty m:val="p"/>
          </m:rPr>
          <m:t>(</m:t>
        </m:r>
        <m:r>
          <m:rPr>
            <m:sty m:val="i"/>
          </m:rPr>
          <m:t>t</m:t>
        </m:r>
        <m:r>
          <m:rPr>
            <m:sty m:val="p"/>
          </m:rPr>
          <m:t>)</m:t>
        </m:r>
      </m:oMath>
    </w:p>
    <w:p>
      <w:pPr>
        <w:numPr>
          <w:ilvl w:val="0"/>
          <w:numId w:val="1"/>
        </w:numPr>
        <w:spacing w:lineRule="auto"/>
      </w:pPr>
      <w:r>
        <w:rPr>
          <w:rFonts w:eastAsia="Georgia" w:cs="Georgia" w:ascii="Georgia" w:hAnsi="Georgia"/>
        </w:rPr>
        <w:t xml:space="preserve">une tension «dent de scie» </w:t>
      </w:r>
      <m:oMath>
        <m:sSub>
          <m:sSubPr/>
          <m:e>
            <m:r>
              <m:rPr>
                <m:sty m:val="i"/>
              </m:rPr>
              <m:t>u</m:t>
            </m:r>
          </m:e>
          <m:sub>
            <m:r>
              <m:rPr>
                <m:nor/>
              </m:rPr>
              <m:t>scie </m:t>
            </m:r>
          </m:sub>
        </m:sSub>
        <m:r>
          <m:rPr>
            <m:sty m:val="p"/>
          </m:rPr>
          <m:t>(</m:t>
        </m:r>
        <m:r>
          <m:rPr>
            <m:sty m:val="i"/>
          </m:rPr>
          <m:t>t</m:t>
        </m:r>
        <m:r>
          <m:rPr>
            <m:sty m:val="p"/>
          </m:rPr>
          <m:t>)</m:t>
        </m:r>
      </m:oMath>
      <w:r>
        <w:rPr>
          <w:rFonts w:eastAsia="Georgia" w:cs="Georgia" w:ascii="Georgia" w:hAnsi="Georgia"/>
        </w:rPr>
        <w:t xml:space="preserve"> de période T dont l'allure temporelle est représentée Figure A.3.</w:t>
      </w:r>
    </w:p>
    <w:p>
      <w:pPr>
        <w:spacing w:after="220" w:lineRule="auto"/>
      </w:pPr>
      <w:r>
        <w:rPr>
          <w:rFonts w:eastAsia="Georgia" w:cs="Georgia" w:ascii="Georgia" w:hAnsi="Georgia"/>
        </w:rPr>
        <w:t xml:space="preserve">Q1. Rappeler les caractéristiques d'un Amplificateur Linéaire Intégré idéal.</w:t>
      </w:r>
      <w:r>
        <w:rPr/>
        <w:br w:type="textWrapping"/>
      </w:r>
      <w:r>
        <w:rPr>
          <w:rFonts w:eastAsia="Georgia" w:cs="Georgia" w:ascii="Georgia" w:hAnsi="Georgia"/>
        </w:rPr>
        <w:t xml:space="preserve">Q2. L'ALI fonctionne-t-il en régime linéaire ou en régime saturé ? Quelle fonction réalise un tel montage ?</w:t>
      </w:r>
      <w:r>
        <w:rPr/>
        <w:br w:type="textWrapping"/>
      </w:r>
      <w:r>
        <w:rPr/>
        <w:t xml:space="preserve">La tension </w:t>
      </w:r>
      <m:oMath>
        <m:sSub>
          <m:sSubPr/>
          <m:e>
            <m:r>
              <m:rPr>
                <m:sty m:val="i"/>
              </m:rPr>
              <m:t>u</m:t>
            </m:r>
          </m:e>
          <m:sub>
            <m:r>
              <m:rPr>
                <m:nor/>
              </m:rPr>
              <m:t>scie </m:t>
            </m:r>
          </m:sub>
        </m:sSub>
        <m:r>
          <m:rPr>
            <m:sty m:val="p"/>
          </m:rPr>
          <m:t>(</m:t>
        </m:r>
        <m:r>
          <m:rPr>
            <m:sty m:val="i"/>
          </m:rPr>
          <m:t>t</m:t>
        </m:r>
        <m:r>
          <m:rPr>
            <m:sty m:val="p"/>
          </m:rPr>
          <m:t>)</m:t>
        </m:r>
      </m:oMath>
      <w:r>
        <w:rPr>
          <w:rFonts w:eastAsia="Georgia" w:cs="Georgia" w:ascii="Georgia" w:hAnsi="Georgia"/>
        </w:rPr>
        <w:t xml:space="preserve"> est une tension dite «dent de scie» (cf. Figure A.3). On note </w:t>
      </w:r>
      <m:oMath>
        <m:r>
          <m:rPr>
            <m:sty m:val="i"/>
          </m:rPr>
          <m:t>T</m:t>
        </m:r>
      </m:oMath>
      <w:r>
        <w:rPr>
          <w:rFonts w:eastAsia="Georgia" w:cs="Georgia" w:ascii="Georgia" w:hAnsi="Georgia"/>
        </w:rPr>
        <w:t xml:space="preserve"> la période de cette tension et </w:t>
      </w:r>
      <m:oMath>
        <m:sSub>
          <m:sSubPr/>
          <m:e>
            <m:r>
              <m:rPr>
                <m:sty m:val="i"/>
              </m:rPr>
              <m:t>U</m:t>
            </m:r>
          </m:e>
          <m:sub>
            <m:r>
              <m:rPr>
                <m:sty m:val="p"/>
              </m:rPr>
              <m:t>max</m:t>
            </m:r>
          </m:sub>
        </m:sSub>
      </m:oMath>
      <w:r>
        <w:rPr/>
        <w:t xml:space="preserve"> la tension maximale atteinte par </w:t>
      </w:r>
      <m:oMath>
        <m:sSub>
          <m:sSubPr/>
          <m:e>
            <m:r>
              <m:rPr>
                <m:sty m:val="i"/>
              </m:rPr>
              <m:t>u</m:t>
            </m:r>
          </m:e>
          <m:sub>
            <m:r>
              <m:rPr>
                <m:nor/>
              </m:rPr>
              <m:t>scie </m:t>
            </m:r>
          </m:sub>
        </m:sSub>
        <m:r>
          <m:rPr>
            <m:sty m:val="p"/>
          </m:rPr>
          <m:t>(</m:t>
        </m:r>
        <m:r>
          <m:rPr>
            <m:sty m:val="i"/>
          </m:rPr>
          <m:t>t</m:t>
        </m:r>
        <m:r>
          <m:rPr>
            <m:sty m:val="p"/>
          </m:rPr>
          <m:t>)</m:t>
        </m:r>
      </m:oMath>
      <w:r>
        <w:rPr/>
        <w:t xml:space="preserve">.</w:t>
      </w:r>
    </w:p>
    <w:p>
      <w:pPr>
        <w:spacing w:lineRule="auto"/>
        <w:jc w:val="center"/>
      </w:pPr>
      <w:r>
        <w:rPr/>
        <w:drawing>
          <wp:inline distB="0" distL="0" distR="0" distT="0">
            <wp:extent cx="5486400" cy="3311236"/>
            <wp:effectExtent b="0" l="0" r="0" t="0"/>
            <wp:docPr id="2" name="image-1afe23cfbc2505b94e6a581e12219e1536d8f782.jpg"/>
            <a:graphic>
              <a:graphicData uri="http://schemas.openxmlformats.org/drawingml/2006/picture">
                <pic:pic>
                  <pic:nvPicPr>
                    <pic:cNvPr id="2" name="image-1afe23cfbc2505b94e6a581e12219e1536d8f782.jpg" descr=""/>
                    <pic:cNvPicPr/>
                  </pic:nvPicPr>
                  <pic:blipFill>
                    <a:blip r:embed="rId6" cstate="print"/>
                    <a:srcRect b="0" l="0" r="0" t="0"/>
                    <a:stretch>
                      <a:fillRect/>
                    </a:stretch>
                  </pic:blipFill>
                  <pic:spPr>
                    <a:xfrm>
                      <a:off x="0" y="0"/>
                      <a:ext cx="5486400" cy="3311236"/>
                    </a:xfrm>
                    <a:prstGeom prst="rect"/>
                  </pic:spPr>
                </pic:pic>
              </a:graphicData>
            </a:graphic>
          </wp:inline>
        </w:drawing>
      </w:r>
    </w:p>
    <w:p>
      <w:pPr>
        <w:spacing w:lineRule="auto"/>
      </w:pPr>
      <w:r>
        <w:rPr/>
        <w:t xml:space="preserve">Figure A. 2</w:t>
      </w:r>
    </w:p>
    <w:p>
      <w:pPr>
        <w:spacing w:lineRule="auto"/>
        <w:jc w:val="center"/>
      </w:pPr>
      <w:r>
        <w:rPr/>
        <w:drawing>
          <wp:inline distB="0" distL="0" distR="0" distT="0">
            <wp:extent cx="5486400" cy="4670612"/>
            <wp:effectExtent b="0" l="0" r="0" t="0"/>
            <wp:docPr id="3" name="image-5531f76c35175cf748148c2809c9958ad008aacf.jpg"/>
            <a:graphic>
              <a:graphicData uri="http://schemas.openxmlformats.org/drawingml/2006/picture">
                <pic:pic>
                  <pic:nvPicPr>
                    <pic:cNvPr id="3" name="image-5531f76c35175cf748148c2809c9958ad008aacf.jpg" descr=""/>
                    <pic:cNvPicPr/>
                  </pic:nvPicPr>
                  <pic:blipFill>
                    <a:blip r:embed="rId7" cstate="print"/>
                    <a:srcRect b="0" l="0" r="0" t="0"/>
                    <a:stretch>
                      <a:fillRect/>
                    </a:stretch>
                  </pic:blipFill>
                  <pic:spPr>
                    <a:xfrm>
                      <a:off x="0" y="0"/>
                      <a:ext cx="5486400" cy="4670612"/>
                    </a:xfrm>
                    <a:prstGeom prst="rect"/>
                  </pic:spPr>
                </pic:pic>
              </a:graphicData>
            </a:graphic>
          </wp:inline>
        </w:drawing>
      </w:r>
    </w:p>
    <w:p>
      <w:pPr>
        <w:spacing w:lineRule="auto"/>
      </w:pPr>
      <w:r>
        <w:rPr/>
        <w:t xml:space="preserve">Figure A. 3</w:t>
      </w:r>
    </w:p>
    <w:p>
      <w:pPr>
        <w:spacing w:after="220" w:lineRule="auto"/>
      </w:pPr>
      <w:r>
        <w:rPr>
          <w:rFonts w:eastAsia="Georgia" w:cs="Georgia" w:ascii="Georgia" w:hAnsi="Georgia"/>
        </w:rPr>
        <w:t xml:space="preserve">Q3. Déterminer la pente a des rampes de la tension </w:t>
      </w:r>
      <m:oMath>
        <m:sSub>
          <m:sSubPr/>
          <m:e>
            <m:r>
              <m:rPr>
                <m:sty m:val="i"/>
              </m:rPr>
              <m:t>u</m:t>
            </m:r>
          </m:e>
          <m:sub>
            <m:r>
              <m:rPr>
                <m:nor/>
              </m:rPr>
              <m:t>scie </m:t>
            </m:r>
          </m:sub>
        </m:sSub>
        <m:r>
          <m:rPr>
            <m:sty m:val="p"/>
          </m:rPr>
          <m:t>(</m:t>
        </m:r>
        <m:r>
          <m:rPr>
            <m:sty m:val="i"/>
          </m:rPr>
          <m:t>t</m:t>
        </m:r>
        <m:r>
          <m:rPr>
            <m:sty m:val="p"/>
          </m:rPr>
          <m:t>)</m:t>
        </m:r>
      </m:oMath>
      <w:r>
        <w:rPr/>
        <w:t xml:space="preserve"> en fonction de T et </w:t>
      </w:r>
      <m:oMath>
        <m:sSub>
          <m:sSubPr/>
          <m:e>
            <m:r>
              <m:rPr>
                <m:sty m:val="i"/>
              </m:rPr>
              <m:t>U</m:t>
            </m:r>
          </m:e>
          <m:sub>
            <m:r>
              <m:rPr>
                <m:nor/>
              </m:rPr>
              <m:t>max </m:t>
            </m:r>
          </m:sub>
        </m:sSub>
      </m:oMath>
      <w:r>
        <w:rPr/>
        <w:t xml:space="preserve">.</w:t>
      </w:r>
      <w:r>
        <w:rPr/>
        <w:br w:type="textWrapping"/>
      </w:r>
      <w:r>
        <w:rPr>
          <w:rFonts w:eastAsia="Georgia" w:cs="Georgia" w:ascii="Georgia" w:hAnsi="Georgia"/>
        </w:rPr>
        <w:t xml:space="preserve">Q4. On considère un signal modulant continu: </w:t>
      </w:r>
      <m:oMath>
        <m:sSub>
          <m:sSubPr/>
          <m:e>
            <m:r>
              <m:rPr>
                <m:sty m:val="i"/>
              </m:rPr>
              <m:t>u</m:t>
            </m:r>
          </m:e>
          <m:sub>
            <m:r>
              <m:rPr>
                <m:sty m:val="i"/>
              </m:rPr>
              <m:t>e</m:t>
            </m:r>
          </m:sub>
        </m:sSub>
        <m:r>
          <m:rPr>
            <m:sty m:val="p"/>
          </m:rPr>
          <m:t>(</m:t>
        </m:r>
        <m:r>
          <m:rPr>
            <m:sty m:val="i"/>
          </m:rPr>
          <m:t>t</m:t>
        </m:r>
        <m:r>
          <m:rPr>
            <m:sty m:val="p"/>
          </m:rPr>
          <m:t>)</m:t>
        </m:r>
        <m:r>
          <m:rPr>
            <m:sty m:val="p"/>
          </m:rPr>
          <m:t>=</m:t>
        </m:r>
        <m:sSub>
          <m:sSubPr/>
          <m:e>
            <m:r>
              <m:rPr>
                <m:sty m:val="i"/>
              </m:rPr>
              <m:t>U</m:t>
            </m:r>
          </m:e>
          <m:sub>
            <m:r>
              <m:rPr>
                <m:sty m:val="p"/>
              </m:rPr>
              <m:t>0</m:t>
            </m:r>
          </m:sub>
        </m:sSub>
      </m:oMath>
      <w:r>
        <w:rPr>
          <w:rFonts w:eastAsia="Georgia" w:cs="Georgia" w:ascii="Georgia" w:hAnsi="Georgia"/>
        </w:rPr>
        <w:t xml:space="preserve">. Déterminer, les durées </w:t>
      </w:r>
      <m:oMath>
        <m:sSub>
          <m:sSubPr/>
          <m:e>
            <m:r>
              <m:rPr>
                <m:sty m:val="i"/>
              </m:rPr>
              <m:t>τ</m:t>
            </m:r>
          </m:e>
          <m:sub>
            <m:r>
              <m:rPr>
                <m:sty m:val="p"/>
              </m:rPr>
              <m:t>+</m:t>
            </m:r>
          </m:sub>
        </m:sSub>
      </m:oMath>
      <w:r>
        <w:rPr/>
        <w:t xml:space="preserve">et </w:t>
      </w:r>
      <m:oMath>
        <m:sSub>
          <m:sSubPr/>
          <m:e>
            <m:r>
              <m:rPr>
                <m:sty m:val="i"/>
              </m:rPr>
              <m:t>τ</m:t>
            </m:r>
          </m:e>
          <m:sub>
            <m:r>
              <m:rPr>
                <m:sty m:val="p"/>
              </m:rPr>
              <m:t>−</m:t>
            </m:r>
          </m:sub>
        </m:sSub>
      </m:oMath>
      <w:r>
        <w:rPr>
          <w:rFonts w:eastAsia="Georgia" w:cs="Georgia" w:ascii="Georgia" w:hAnsi="Georgia"/>
        </w:rPr>
        <w:t xml:space="preserve">, correspondant respectivement aux temps passés en saturation haute et en saturation basse durant une période T en fonction de </w:t>
      </w:r>
      <m:oMath>
        <m:sSub>
          <m:sSubPr/>
          <m:e>
            <m:r>
              <m:rPr>
                <m:sty m:val="i"/>
              </m:rPr>
              <m:t>U</m:t>
            </m:r>
          </m:e>
          <m:sub>
            <m:r>
              <m:rPr>
                <m:sty m:val="p"/>
              </m:rPr>
              <m:t>0</m:t>
            </m:r>
          </m:sub>
        </m:sSub>
        <m:r>
          <m:rPr>
            <m:sty m:val="p"/>
          </m:rPr>
          <m:t>,</m:t>
        </m:r>
        <m:sSub>
          <m:sSubPr/>
          <m:e>
            <m:r>
              <m:rPr>
                <m:sty m:val="i"/>
              </m:rPr>
              <m:t>U</m:t>
            </m:r>
          </m:e>
          <m:sub>
            <m:r>
              <m:rPr>
                <m:sty m:val="p"/>
              </m:rPr>
              <m:t>max</m:t>
            </m:r>
          </m:sub>
        </m:sSub>
      </m:oMath>
      <w:r>
        <w:rPr>
          <w:rFonts w:eastAsia="Georgia" w:cs="Georgia" w:ascii="Georgia" w:hAnsi="Georgia"/>
        </w:rPr>
        <w:t xml:space="preserve"> et T . Représenter graphiquement le signal </w:t>
      </w:r>
      <m:oMath>
        <m:sSub>
          <m:sSubPr/>
          <m:e>
            <m:r>
              <m:rPr>
                <m:sty m:val="i"/>
              </m:rPr>
              <m:t>u</m:t>
            </m:r>
          </m:e>
          <m:sub>
            <m:r>
              <m:rPr>
                <m:sty m:val="p"/>
              </m:rPr>
              <m:t>mod</m:t>
            </m:r>
          </m:sub>
        </m:sSub>
        <m:r>
          <m:rPr>
            <m:sty m:val="p"/>
          </m:rPr>
          <m:t>(</m:t>
        </m:r>
        <m:r>
          <m:rPr>
            <m:sty m:val="i"/>
          </m:rPr>
          <m:t>t</m:t>
        </m:r>
        <m:r>
          <m:rPr>
            <m:sty m:val="p"/>
          </m:rPr>
          <m:t>)</m:t>
        </m:r>
      </m:oMath>
      <w:r>
        <w:rPr/>
        <w:t xml:space="preserve"> en sortie de l'ALI entre </w:t>
      </w:r>
      <m:oMath>
        <m:r>
          <m:rPr>
            <m:sty m:val="i"/>
          </m:rPr>
          <m:t>t</m:t>
        </m:r>
        <m:r>
          <m:rPr>
            <m:sty m:val="p"/>
          </m:rPr>
          <m:t>=</m:t>
        </m:r>
        <m:r>
          <m:rPr>
            <m:sty m:val="p"/>
          </m:rPr>
          <m:t>0</m:t>
        </m:r>
      </m:oMath>
      <w:r>
        <w:rPr/>
        <w:t xml:space="preserve"> et </w:t>
      </w:r>
      <m:oMath>
        <m:r>
          <m:rPr>
            <m:sty m:val="i"/>
          </m:rPr>
          <m:t>t</m:t>
        </m:r>
        <m:r>
          <m:rPr>
            <m:sty m:val="p"/>
          </m:rPr>
          <m:t>=</m:t>
        </m:r>
        <m:r>
          <m:rPr>
            <m:sty m:val="p"/>
          </m:rPr>
          <m:t>3</m:t>
        </m:r>
        <m:r>
          <m:rPr>
            <m:sty m:val="i"/>
          </m:rPr>
          <m:t>T</m:t>
        </m:r>
      </m:oMath>
      <w:r>
        <w:rPr/>
        <w:t xml:space="preserve">.</w:t>
      </w:r>
      <w:r>
        <w:rPr/>
        <w:br w:type="textWrapping"/>
      </w:r>
      <w:r>
        <w:rPr/>
        <w:t xml:space="preserve">Q5. Que se passe-t-il si </w:t>
      </w:r>
      <m:oMath>
        <m:sSub>
          <m:sSubPr/>
          <m:e>
            <m:r>
              <m:rPr>
                <m:sty m:val="i"/>
              </m:rPr>
              <m:t>U</m:t>
            </m:r>
          </m:e>
          <m:sub>
            <m:r>
              <m:rPr>
                <m:sty m:val="p"/>
              </m:rPr>
              <m:t>0</m:t>
            </m:r>
          </m:sub>
        </m:sSub>
        <m:r>
          <m:rPr>
            <m:sty m:val="p"/>
          </m:rPr>
          <m:t>&gt;</m:t>
        </m:r>
        <m:sSub>
          <m:sSubPr/>
          <m:e>
            <m:r>
              <m:rPr>
                <m:sty m:val="i"/>
              </m:rPr>
              <m:t>U</m:t>
            </m:r>
          </m:e>
          <m:sub>
            <m:r>
              <m:rPr>
                <m:sty m:val="p"/>
              </m:rPr>
              <m:t>max</m:t>
            </m:r>
          </m:sub>
        </m:sSub>
      </m:oMath>
      <w:r>
        <w:rPr/>
        <w:t xml:space="preserve"> ?</w:t>
      </w:r>
      <w:r>
        <w:rPr/>
        <w:br w:type="textWrapping"/>
      </w:r>
      <w:r>
        <w:rPr>
          <w:rFonts w:eastAsia="Georgia" w:cs="Georgia" w:ascii="Georgia" w:hAnsi="Georgia"/>
        </w:rPr>
        <w:t xml:space="preserve">Q6. On considère maintenant comme signal modulant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un signal sinusoïdal de période </w:t>
      </w:r>
      <m:oMath>
        <m:sSub>
          <m:sSubPr/>
          <m:e>
            <m:r>
              <m:rPr>
                <m:sty m:val="i"/>
              </m:rPr>
              <m:t>T</m:t>
            </m:r>
          </m:e>
          <m:sub>
            <m:r>
              <m:rPr>
                <m:sty m:val="i"/>
              </m:rPr>
              <m:t>e</m:t>
            </m:r>
          </m:sub>
        </m:sSub>
        <m:r>
          <m:rPr>
            <m:sty m:val="p"/>
          </m:rPr>
          <m:t>=</m:t>
        </m:r>
        <m:r>
          <m:rPr>
            <m:sty m:val="p"/>
          </m:rPr>
          <m:t>5</m:t>
        </m:r>
        <m:r>
          <m:rPr>
            <m:sty m:val="i"/>
          </m:rPr>
          <m:t>T</m:t>
        </m:r>
      </m:oMath>
      <w:r>
        <w:rPr/>
        <w:t xml:space="preserve">, de valeur basse 0 et de valeur haute </w:t>
      </w:r>
      <m:oMath>
        <m:sSub>
          <m:sSubPr/>
          <m:e>
            <m:r>
              <m:rPr>
                <m:sty m:val="i"/>
              </m:rPr>
              <m:t>U</m:t>
            </m:r>
          </m:e>
          <m:sub>
            <m:r>
              <m:rPr>
                <m:sty m:val="p"/>
              </m:rPr>
              <m:t>max</m:t>
            </m:r>
          </m:sub>
        </m:sSub>
      </m:oMath>
      <w:r>
        <w:rPr/>
        <w:t xml:space="preserve"> (atteinte pour </w:t>
      </w:r>
      <m:oMath>
        <m:r>
          <m:rPr>
            <m:sty m:val="i"/>
          </m:rPr>
          <m:t>t</m:t>
        </m:r>
        <m:r>
          <m:rPr>
            <m:sty m:val="p"/>
          </m:rPr>
          <m:t>=</m:t>
        </m:r>
        <m:r>
          <m:rPr>
            <m:sty m:val="p"/>
          </m:rPr>
          <m:t>0</m:t>
        </m:r>
      </m:oMath>
      <w:r>
        <w:rPr/>
        <w:t xml:space="preserve"> ). On prendra </w:t>
      </w:r>
      <m:oMath>
        <m:sSub>
          <m:sSubPr/>
          <m:e>
            <m:r>
              <m:rPr>
                <m:sty m:val="i"/>
              </m:rPr>
              <m:t>f</m:t>
            </m:r>
          </m:e>
          <m:sub>
            <m:r>
              <m:rPr>
                <m:sty m:val="i"/>
              </m:rPr>
              <m:t>e</m:t>
            </m:r>
          </m:sub>
        </m:sSub>
        <m:r>
          <m:rPr>
            <m:sty m:val="p"/>
          </m:rPr>
          <m:t>=</m:t>
        </m:r>
        <m:f>
          <m:fPr>
            <m:ctrlPr>
              <w:rPr>
                <w:rFonts w:ascii="Cambria Math" w:hAnsi="Cambria Math"/>
              </w:rPr>
            </m:ctrlPr>
          </m:fPr>
          <m:num>
            <m:r>
              <m:rPr>
                <m:sty m:val="p"/>
              </m:rPr>
              <m:t>1</m:t>
            </m:r>
          </m:num>
          <m:den>
            <m:sSub>
              <m:sSubPr/>
              <m:e>
                <m:r>
                  <m:rPr>
                    <m:sty m:val="i"/>
                  </m:rPr>
                  <m:t>T</m:t>
                </m:r>
              </m:e>
              <m:sub>
                <m:r>
                  <m:rPr>
                    <m:sty m:val="i"/>
                  </m:rPr>
                  <m:t>e</m:t>
                </m:r>
              </m:sub>
            </m:sSub>
          </m:den>
        </m:f>
        <m:r>
          <m:rPr>
            <m:sty m:val="p"/>
          </m:rPr>
          <m:t>=</m:t>
        </m:r>
        <m:r>
          <m:rPr>
            <m:sty m:val="p"/>
          </m:rPr>
          <m:t>1</m:t>
        </m:r>
        <m:r>
          <m:rPr>
            <m:sty m:val="p"/>
          </m:rPr>
          <m:t>kHz</m:t>
        </m:r>
      </m:oMath>
      <w:r>
        <w:rPr>
          <w:rFonts w:eastAsia="Georgia" w:cs="Georgia" w:ascii="Georgia" w:hAnsi="Georgia"/>
        </w:rPr>
        <w:t xml:space="preserve">, la fréquence du signal modulant.</w:t>
      </w:r>
    </w:p>
    <w:p>
      <w:pPr>
        <w:spacing w:after="220" w:lineRule="auto"/>
      </w:pPr>
      <w:r>
        <w:rPr>
          <w:rFonts w:eastAsia="Georgia" w:cs="Georgia" w:ascii="Georgia" w:hAnsi="Georgia"/>
        </w:rPr>
        <w:t xml:space="preserve">Q6.a. Donner l'équation horaire de </w:t>
      </w:r>
      <m:oMath>
        <m:sSub>
          <m:sSubPr/>
          <m:e>
            <m:r>
              <m:rPr>
                <m:sty m:val="i"/>
              </m:rPr>
              <m:t>u</m:t>
            </m:r>
          </m:e>
          <m:sub>
            <m:r>
              <m:rPr>
                <m:sty m:val="i"/>
              </m:rPr>
              <m:t>e</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Q6.b. Représenter le spectre de </w:t>
      </w:r>
      <m:oMath>
        <m:sSub>
          <m:sSubPr/>
          <m:e>
            <m:r>
              <m:rPr>
                <m:sty m:val="i"/>
              </m:rPr>
              <m:t>u</m:t>
            </m:r>
          </m:e>
          <m:sub>
            <m:r>
              <m:rPr>
                <m:sty m:val="i"/>
              </m:rPr>
              <m:t>e</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Q6.c. On a représenté en Annexe (Partie C : - A RENDRE AVEC LA COPIE) le signal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(Figure C.1) sur une période. Représenter sur le même graphique les signaux </w:t>
      </w:r>
      <m:oMath>
        <m:sSub>
          <m:sSubPr/>
          <m:e>
            <m:r>
              <m:rPr>
                <m:sty m:val="i"/>
              </m:rPr>
              <m:t>u</m:t>
            </m:r>
          </m:e>
          <m:sub>
            <m:r>
              <m:rPr>
                <m:nor/>
              </m:rPr>
              <m:t>scie </m:t>
            </m:r>
          </m:sub>
        </m:sSub>
        <m:r>
          <m:rPr>
            <m:sty m:val="p"/>
          </m:rPr>
          <m:t>(</m:t>
        </m:r>
        <m:r>
          <m:rPr>
            <m:sty m:val="i"/>
          </m:rPr>
          <m:t>t</m:t>
        </m:r>
        <m:r>
          <m:rPr>
            <m:sty m:val="p"/>
          </m:rPr>
          <m:t>)</m:t>
        </m:r>
      </m:oMath>
      <w:r>
        <w:rPr/>
        <w:t xml:space="preserve"> et </w:t>
      </w:r>
      <m:oMath>
        <m:sSub>
          <m:sSubPr/>
          <m:e>
            <m:r>
              <m:rPr>
                <m:sty m:val="i"/>
              </m:rPr>
              <m:t>u</m:t>
            </m:r>
          </m:e>
          <m:sub>
            <m:r>
              <m:rPr>
                <m:nor/>
              </m:rPr>
              <m:t>mod </m:t>
            </m:r>
          </m:sub>
        </m:sSub>
        <m:r>
          <m:rPr>
            <m:sty m:val="p"/>
          </m:rPr>
          <m:t>(</m:t>
        </m:r>
        <m:r>
          <m:rPr>
            <m:sty m:val="i"/>
          </m:rPr>
          <m:t>t</m:t>
        </m:r>
        <m:r>
          <m:rPr>
            <m:sty m:val="p"/>
          </m:rPr>
          <m:t>)</m:t>
        </m:r>
      </m:oMath>
      <w:r>
        <w:rPr/>
        <w:t xml:space="preserve">. On note </w:t>
      </w:r>
      <m:oMath>
        <m:sSub>
          <m:sSubPr/>
          <m:e>
            <m:r>
              <m:rPr>
                <m:sty m:val="i"/>
              </m:rPr>
              <m:t>V</m:t>
            </m:r>
          </m:e>
          <m:sub>
            <m:r>
              <m:rPr>
                <m:nor/>
              </m:rPr>
              <m:t>sat </m:t>
            </m:r>
          </m:sub>
        </m:sSub>
      </m:oMath>
      <w:r>
        <w:rPr>
          <w:rFonts w:eastAsia="Georgia" w:cs="Georgia" w:ascii="Georgia" w:hAnsi="Georgia"/>
        </w:rPr>
        <w:t xml:space="preserve"> la tension de saturation positive de l'ALI. On prendra pour le tracé graphique: </w:t>
      </w:r>
      <m:oMath>
        <m:sSub>
          <m:sSubPr/>
          <m:e>
            <m:r>
              <m:rPr>
                <m:sty m:val="i"/>
              </m:rPr>
              <m:t>V</m:t>
            </m:r>
          </m:e>
          <m:sub>
            <m:r>
              <m:rPr>
                <m:nor/>
              </m:rPr>
              <m:t>sat </m:t>
            </m:r>
          </m:sub>
        </m:sSub>
        <m:r>
          <m:rPr>
            <m:sty m:val="p"/>
          </m:rPr>
          <m:t>=</m:t>
        </m:r>
        <m:sSub>
          <m:sSubPr/>
          <m:e>
            <m:r>
              <m:rPr>
                <m:sty m:val="i"/>
              </m:rPr>
              <m:t>U</m:t>
            </m:r>
          </m:e>
          <m:sub>
            <m:r>
              <m:rPr>
                <m:nor/>
              </m:rPr>
              <m:t>max </m:t>
            </m:r>
          </m:sub>
        </m:sSub>
        <m:r>
          <m:rPr>
            <m:sty m:val="p"/>
          </m:rPr>
          <m:t>/</m:t>
        </m:r>
        <m:r>
          <m:rPr>
            <m:sty m:val="p"/>
          </m:rPr>
          <m:t>2</m:t>
        </m:r>
      </m:oMath>
      <w:r>
        <w:rPr/>
        <w:br w:type="textWrapping"/>
      </w:r>
      <w:r>
        <w:rPr>
          <w:rFonts w:eastAsia="Georgia" w:cs="Georgia" w:ascii="Georgia" w:hAnsi="Georgia"/>
        </w:rPr>
        <w:t xml:space="preserve">Q6.d. On réalise expérimentalement la modulation de largeur d'impulsion. Pour savoir comment obtenir le signal modulant à partir du signal modulé (démodulation), on observe le spectre du signal. Celui-ci est donné Figure A. 4 - l'échelle des amplitude est arbitraire. Proposer, en le justifiant, le type de filtre permettant de démoduler le signal </w:t>
      </w:r>
      <m:oMath>
        <m:sSub>
          <m:sSubPr/>
          <m:e>
            <m:r>
              <m:rPr>
                <m:sty m:val="i"/>
              </m:rPr>
              <m:t>u</m:t>
            </m:r>
          </m:e>
          <m:sub>
            <m:r>
              <m:rPr>
                <m:nor/>
              </m:rPr>
              <m:t>mod </m:t>
            </m:r>
          </m:sub>
        </m:sSub>
        <m:r>
          <m:rPr>
            <m:sty m:val="p"/>
          </m:rPr>
          <m:t>(</m:t>
        </m:r>
        <m:r>
          <m:rPr>
            <m:sty m:val="i"/>
          </m:rPr>
          <m:t>t</m:t>
        </m:r>
        <m:r>
          <m:rPr>
            <m:sty m:val="p"/>
          </m:rPr>
          <m:t>)</m:t>
        </m:r>
      </m:oMath>
      <w:r>
        <w:rPr/>
        <w:t xml:space="preserve">.</w:t>
      </w:r>
    </w:p>
    <w:p>
      <w:pPr>
        <w:spacing w:lineRule="auto"/>
      </w:pPr>
      <w:r>
        <w:rPr>
          <w:rFonts w:eastAsia="Georgia" w:cs="Georgia" w:ascii="Georgia" w:hAnsi="Georgia"/>
        </w:rPr>
        <w:t xml:space="preserve">Spectre du signal modulé</w:t>
      </w:r>
    </w:p>
    <w:p>
      <w:pPr>
        <w:spacing w:lineRule="auto"/>
        <w:jc w:val="center"/>
      </w:pPr>
      <w:r>
        <w:rPr/>
        <w:drawing>
          <wp:inline distB="0" distL="0" distR="0" distT="0">
            <wp:extent cx="5486400" cy="3717054"/>
            <wp:effectExtent b="0" l="0" r="0" t="0"/>
            <wp:docPr id="4" name="image-47845184a752fcfbdb3f0651da381336ed7193e2.jpg"/>
            <a:graphic>
              <a:graphicData uri="http://schemas.openxmlformats.org/drawingml/2006/picture">
                <pic:pic>
                  <pic:nvPicPr>
                    <pic:cNvPr id="4" name="image-47845184a752fcfbdb3f0651da381336ed7193e2.jpg" descr=""/>
                    <pic:cNvPicPr/>
                  </pic:nvPicPr>
                  <pic:blipFill>
                    <a:blip r:embed="rId8" cstate="print"/>
                    <a:srcRect b="0" l="0" r="0" t="0"/>
                    <a:stretch>
                      <a:fillRect/>
                    </a:stretch>
                  </pic:blipFill>
                  <pic:spPr>
                    <a:xfrm>
                      <a:off x="0" y="0"/>
                      <a:ext cx="5486400" cy="3717054"/>
                    </a:xfrm>
                    <a:prstGeom prst="rect"/>
                  </pic:spPr>
                </pic:pic>
              </a:graphicData>
            </a:graphic>
          </wp:inline>
        </w:drawing>
      </w:r>
    </w:p>
    <w:p>
      <w:pPr>
        <w:spacing w:line="271" w:before="330" w:lineRule="auto"/>
      </w:pPr>
      <w:r>
        <w:rPr>
          <w:rFonts w:eastAsia="Georgia" w:cs="Georgia" w:ascii="Georgia" w:hAnsi="Georgia"/>
          <w:b/>
          <w:sz w:val="42"/>
        </w:rPr>
        <w:t xml:space="preserve">A. 2 - Réalisation d'un signal «dent de scie»</w:t>
      </w:r>
    </w:p>
    <w:p>
      <w:pPr>
        <w:spacing w:after="220" w:lineRule="auto"/>
      </w:pPr>
      <w:r>
        <w:rPr>
          <w:rFonts w:eastAsia="Georgia" w:cs="Georgia" w:ascii="Georgia" w:hAnsi="Georgia"/>
        </w:rPr>
        <w:t xml:space="preserve">Le principe de cette modulation est basé sur l'utilisation d'un signal dent de scie. On se propose ici d'étudier une façon de créer un tel signal. On considère le montage suivant (les ALI sont supposés idéaux) :</w:t>
      </w:r>
    </w:p>
    <w:p>
      <w:pPr>
        <w:spacing w:lineRule="auto"/>
        <w:jc w:val="center"/>
      </w:pPr>
      <w:r>
        <w:rPr/>
        <w:drawing>
          <wp:inline distB="0" distL="0" distR="0" distT="0">
            <wp:extent cx="5486400" cy="2053326"/>
            <wp:effectExtent b="0" l="0" r="0" t="0"/>
            <wp:docPr id="5" name="image-7bb466e9ea2559249280fc02904718cafecc510c.jpg"/>
            <a:graphic>
              <a:graphicData uri="http://schemas.openxmlformats.org/drawingml/2006/picture">
                <pic:pic>
                  <pic:nvPicPr>
                    <pic:cNvPr id="5" name="image-7bb466e9ea2559249280fc02904718cafecc510c.jpg" descr=""/>
                    <pic:cNvPicPr/>
                  </pic:nvPicPr>
                  <pic:blipFill>
                    <a:blip r:embed="rId9" cstate="print"/>
                    <a:srcRect b="0" l="0" r="0" t="0"/>
                    <a:stretch>
                      <a:fillRect/>
                    </a:stretch>
                  </pic:blipFill>
                  <pic:spPr>
                    <a:xfrm>
                      <a:off x="0" y="0"/>
                      <a:ext cx="5486400" cy="2053326"/>
                    </a:xfrm>
                    <a:prstGeom prst="rect"/>
                  </pic:spPr>
                </pic:pic>
              </a:graphicData>
            </a:graphic>
          </wp:inline>
        </w:drawing>
      </w:r>
    </w:p>
    <w:p>
      <w:pPr>
        <w:spacing w:lineRule="auto"/>
      </w:pPr>
      <w:r>
        <w:rPr/>
        <w:t xml:space="preserve">Figure A.5 :</w:t>
      </w:r>
    </w:p>
    <w:p>
      <w:pPr>
        <w:spacing w:after="220" w:lineRule="auto"/>
      </w:pPr>
      <w:r>
        <w:rPr>
          <w:rFonts w:eastAsia="Georgia" w:cs="Georgia" w:ascii="Georgia" w:hAnsi="Georgia"/>
        </w:rPr>
        <w:t xml:space="preserve">Q7. Rappeler les ordres de grandeurs des impédances d'entrée et de sortie réelles d'un ALI.</w:t>
      </w:r>
      <w:r>
        <w:rPr/>
        <w:br w:type="textWrapping"/>
      </w:r>
      <w:r>
        <w:rPr>
          <w:rFonts w:eastAsia="Georgia" w:cs="Georgia" w:ascii="Georgia" w:hAnsi="Georgia"/>
        </w:rPr>
        <w:t xml:space="preserve">Q8. Expliquer brièvement pourquoi on peut commencer par étudier les deux étages 1 et 2 représentés sur le schéma séparément.</w:t>
      </w:r>
      <w:r>
        <w:rPr/>
        <w:br w:type="textWrapping"/>
      </w:r>
      <w:r>
        <w:rPr>
          <w:rFonts w:eastAsia="Georgia" w:cs="Georgia" w:ascii="Georgia" w:hAnsi="Georgia"/>
        </w:rPr>
        <w:t xml:space="preserve">Q9. On considère l'étage 1. On admet que :</w:t>
      </w:r>
    </w:p>
    <w:p>
      <w:pPr>
        <w:numPr>
          <w:ilvl w:val="0"/>
          <w:numId w:val="2"/>
        </w:numPr>
        <w:spacing w:lineRule="auto"/>
      </w:pPr>
      <w:r>
        <w:rPr/>
        <w:t xml:space="preserve">Quand le signal </w:t>
      </w:r>
      <m:oMath>
        <m:sSub>
          <m:sSubPr/>
          <m:e>
            <m:r>
              <m:rPr>
                <m:sty m:val="i"/>
              </m:rPr>
              <m:t>u</m:t>
            </m:r>
          </m:e>
          <m:sub>
            <m:r>
              <m:rPr>
                <m:sty m:val="i"/>
              </m:rPr>
              <m:t>e</m:t>
            </m:r>
          </m:sub>
        </m:sSub>
        <m:r>
          <m:rPr>
            <m:sty m:val="p"/>
          </m:rPr>
          <m:t>(</m:t>
        </m:r>
        <m:r>
          <m:rPr>
            <m:sty m:val="i"/>
          </m:rPr>
          <m:t>t</m:t>
        </m:r>
        <m:r>
          <m:rPr>
            <m:sty m:val="p"/>
          </m:rPr>
          <m:t>)</m:t>
        </m:r>
      </m:oMath>
      <w:r>
        <w:rPr/>
        <w:t xml:space="preserve"> est positif, la diode </w:t>
      </w:r>
      <m:oMath>
        <m:sSub>
          <m:sSubPr/>
          <m:e>
            <m:r>
              <m:rPr>
                <m:sty m:val="i"/>
              </m:rPr>
              <m:t>D</m:t>
            </m:r>
          </m:e>
          <m:sub>
            <m:r>
              <m:rPr>
                <m:sty m:val="p"/>
              </m:rPr>
              <m:t>2</m:t>
            </m:r>
          </m:sub>
        </m:sSub>
      </m:oMath>
      <w:r>
        <w:rPr>
          <w:rFonts w:eastAsia="Georgia" w:cs="Georgia" w:ascii="Georgia" w:hAnsi="Georgia"/>
        </w:rPr>
        <w:t xml:space="preserve"> est assimilable à un interrupteur ouvert et la diode </w:t>
      </w:r>
      <m:oMath>
        <m:sSub>
          <m:sSubPr/>
          <m:e>
            <m:r>
              <m:rPr>
                <m:sty m:val="i"/>
              </m:rPr>
              <m:t>D</m:t>
            </m:r>
          </m:e>
          <m:sub>
            <m:r>
              <m:rPr>
                <m:sty m:val="p"/>
              </m:rPr>
              <m:t>1</m:t>
            </m:r>
          </m:sub>
        </m:sSub>
      </m:oMath>
      <w:r>
        <w:rPr>
          <w:rFonts w:eastAsia="Georgia" w:cs="Georgia" w:ascii="Georgia" w:hAnsi="Georgia"/>
        </w:rPr>
        <w:t xml:space="preserve"> à un fil.</w:t>
      </w:r>
    </w:p>
    <w:p>
      <w:pPr>
        <w:numPr>
          <w:ilvl w:val="0"/>
          <w:numId w:val="2"/>
        </w:numPr>
        <w:spacing w:lineRule="auto"/>
      </w:pPr>
      <w:r>
        <w:rPr/>
        <w:t xml:space="preserve">Quand le signal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est négatif, la diode </w:t>
      </w:r>
      <m:oMath>
        <m:sSub>
          <m:sSubPr/>
          <m:e>
            <m:r>
              <m:rPr>
                <m:sty m:val="i"/>
              </m:rPr>
              <m:t>D</m:t>
            </m:r>
          </m:e>
          <m:sub>
            <m:r>
              <m:rPr>
                <m:sty m:val="p"/>
              </m:rPr>
              <m:t>2</m:t>
            </m:r>
          </m:sub>
        </m:sSub>
      </m:oMath>
      <w:r>
        <w:rPr>
          <w:rFonts w:eastAsia="Georgia" w:cs="Georgia" w:ascii="Georgia" w:hAnsi="Georgia"/>
        </w:rPr>
        <w:t xml:space="preserve"> est assimilable à un fil et la diode </w:t>
      </w:r>
      <m:oMath>
        <m:sSub>
          <m:sSubPr/>
          <m:e>
            <m:r>
              <m:rPr>
                <m:sty m:val="i"/>
              </m:rPr>
              <m:t>D</m:t>
            </m:r>
          </m:e>
          <m:sub>
            <m:r>
              <m:rPr>
                <m:sty m:val="p"/>
              </m:rPr>
              <m:t>1</m:t>
            </m:r>
          </m:sub>
        </m:sSub>
      </m:oMath>
      <w:r>
        <w:rPr>
          <w:rFonts w:eastAsia="Georgia" w:cs="Georgia" w:ascii="Georgia" w:hAnsi="Georgia"/>
        </w:rPr>
        <w:t xml:space="preserve"> à un interrupteur ouvert.</w:t>
      </w:r>
    </w:p>
    <w:p>
      <w:pPr>
        <w:spacing w:after="220" w:lineRule="auto"/>
      </w:pPr>
      <w:r>
        <w:rPr>
          <w:rFonts w:eastAsia="Georgia" w:cs="Georgia" w:ascii="Georgia" w:hAnsi="Georgia"/>
        </w:rPr>
        <w:t xml:space="preserve">Q9.a. Déterminer l'équation différentielle qui relie </w:t>
      </w:r>
      <m:oMath>
        <m:sSub>
          <m:sSubPr/>
          <m:e>
            <m:r>
              <m:rPr>
                <m:sty m:val="i"/>
              </m:rPr>
              <m:t>u</m:t>
            </m:r>
          </m:e>
          <m:sub>
            <m:r>
              <m:rPr>
                <m:sty m:val="i"/>
              </m:rPr>
              <m:t>s</m:t>
            </m:r>
          </m:sub>
        </m:sSub>
        <m:r>
          <m:rPr>
            <m:sty m:val="p"/>
          </m:rPr>
          <m:t>(</m:t>
        </m:r>
        <m:r>
          <m:rPr>
            <m:sty m:val="i"/>
          </m:rPr>
          <m:t>t</m:t>
        </m:r>
        <m:r>
          <m:rPr>
            <m:sty m:val="p"/>
          </m:rPr>
          <m:t>)</m:t>
        </m:r>
      </m:oMath>
      <w:r>
        <w:rPr/>
        <w:t xml:space="preserve"> et </w:t>
      </w:r>
      <m:oMath>
        <m:sSub>
          <m:sSubPr/>
          <m:e>
            <m:r>
              <m:rPr>
                <m:sty m:val="i"/>
              </m:rPr>
              <m:t>u</m:t>
            </m:r>
          </m:e>
          <m:sub>
            <m:r>
              <m:rPr>
                <m:sty m:val="i"/>
              </m:rPr>
              <m:t>e</m:t>
            </m:r>
          </m:sub>
        </m:sSub>
        <m:r>
          <m:rPr>
            <m:sty m:val="p"/>
          </m:rPr>
          <m:t>(</m:t>
        </m:r>
        <m:r>
          <m:rPr>
            <m:sty m:val="i"/>
          </m:rPr>
          <m:t>t</m:t>
        </m:r>
        <m:r>
          <m:rPr>
            <m:sty m:val="p"/>
          </m:rPr>
          <m:t>)</m:t>
        </m:r>
      </m:oMath>
      <w:r>
        <w:rPr/>
        <w:t xml:space="preserve"> quand </w:t>
      </w:r>
      <m:oMath>
        <m:sSub>
          <m:sSubPr/>
          <m:e>
            <m:r>
              <m:rPr>
                <m:sty m:val="i"/>
              </m:rPr>
              <m:t>u</m:t>
            </m:r>
          </m:e>
          <m:sub>
            <m:r>
              <m:rPr>
                <m:sty m:val="i"/>
              </m:rPr>
              <m:t>e</m:t>
            </m:r>
          </m:sub>
        </m:sSub>
        <m:r>
          <m:rPr>
            <m:sty m:val="p"/>
          </m:rPr>
          <m:t>(</m:t>
        </m:r>
        <m:r>
          <m:rPr>
            <m:sty m:val="i"/>
          </m:rPr>
          <m:t>t</m:t>
        </m:r>
        <m:r>
          <m:rPr>
            <m:sty m:val="p"/>
          </m:rPr>
          <m:t>)</m:t>
        </m:r>
      </m:oMath>
      <w:r>
        <w:rPr/>
        <w:t xml:space="preserve"> est positive. Comment appelle-t-on un tel montage ?</w:t>
      </w:r>
      <w:r>
        <w:rPr/>
        <w:br w:type="textWrapping"/>
      </w:r>
      <w:r>
        <w:rPr>
          <w:rFonts w:eastAsia="Georgia" w:cs="Georgia" w:ascii="Georgia" w:hAnsi="Georgia"/>
        </w:rPr>
        <w:t xml:space="preserve">Q9.b. Déterminer l'équation différentielle qui relie </w:t>
      </w:r>
      <m:oMath>
        <m:sSub>
          <m:sSubPr/>
          <m:e>
            <m:r>
              <m:rPr>
                <m:sty m:val="i"/>
              </m:rPr>
              <m:t>u</m:t>
            </m:r>
          </m:e>
          <m:sub>
            <m:r>
              <m:rPr>
                <m:sty m:val="i"/>
              </m:rPr>
              <m:t>s</m:t>
            </m:r>
          </m:sub>
        </m:sSub>
        <m:r>
          <m:rPr>
            <m:sty m:val="p"/>
          </m:rPr>
          <m:t>(</m:t>
        </m:r>
        <m:r>
          <m:rPr>
            <m:sty m:val="i"/>
          </m:rPr>
          <m:t>t</m:t>
        </m:r>
        <m:r>
          <m:rPr>
            <m:sty m:val="p"/>
          </m:rPr>
          <m:t>)</m:t>
        </m:r>
      </m:oMath>
      <w:r>
        <w:rPr/>
        <w:t xml:space="preserve"> et </w:t>
      </w:r>
      <m:oMath>
        <m:sSub>
          <m:sSubPr/>
          <m:e>
            <m:r>
              <m:rPr>
                <m:sty m:val="i"/>
              </m:rPr>
              <m:t>u</m:t>
            </m:r>
          </m:e>
          <m:sub>
            <m:r>
              <m:rPr>
                <m:sty m:val="i"/>
              </m:rPr>
              <m:t>e</m:t>
            </m:r>
          </m:sub>
        </m:sSub>
        <m:r>
          <m:rPr>
            <m:sty m:val="p"/>
          </m:rPr>
          <m:t>(</m:t>
        </m:r>
        <m:r>
          <m:rPr>
            <m:sty m:val="i"/>
          </m:rPr>
          <m:t>t</m:t>
        </m:r>
        <m:r>
          <m:rPr>
            <m:sty m:val="p"/>
          </m:rPr>
          <m:t>)</m:t>
        </m:r>
      </m:oMath>
      <w:r>
        <w:rPr/>
        <w:t xml:space="preserve"> quand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est négative.</w:t>
      </w:r>
      <w:r>
        <w:rPr/>
        <w:br w:type="textWrapping"/>
      </w:r>
      <w:r>
        <w:rPr>
          <w:rFonts w:eastAsia="Georgia" w:cs="Georgia" w:ascii="Georgia" w:hAnsi="Georgia"/>
        </w:rPr>
        <w:t xml:space="preserve">Q10. On considère maintenant l'étage 2.</w:t>
      </w:r>
      <w:r>
        <w:rPr/>
        <w:br w:type="textWrapping"/>
      </w:r>
      <w:r>
        <w:rPr>
          <w:rFonts w:eastAsia="Georgia" w:cs="Georgia" w:ascii="Georgia" w:hAnsi="Georgia"/>
        </w:rPr>
        <w:t xml:space="preserve">Q10.a. Expliquer pourquoi on sait que l'ALI de l'étage 2 va fonctionner en régime de saturation.</w:t>
      </w:r>
      <w:r>
        <w:rPr/>
        <w:br w:type="textWrapping"/>
      </w:r>
      <w:r>
        <w:rPr/>
        <w:t xml:space="preserve">Q10.b. On suppose que la sortie est en saturation haute </w:t>
      </w:r>
      <m:oMath>
        <m:sSub>
          <m:sSubPr/>
          <m:e>
            <m:r>
              <m:rPr>
                <m:sty m:val="i"/>
              </m:rPr>
              <m:t>u</m:t>
            </m:r>
          </m:e>
          <m:sub>
            <m:r>
              <m:rPr>
                <m:sty m:val="i"/>
              </m:rPr>
              <m:t>e</m:t>
            </m:r>
          </m:sub>
        </m:sSub>
        <m:r>
          <m:rPr>
            <m:sty m:val="p"/>
          </m:rPr>
          <m:t>=</m:t>
        </m:r>
        <m:sSub>
          <m:sSubPr/>
          <m:e>
            <m:r>
              <m:rPr>
                <m:sty m:val="i"/>
              </m:rPr>
              <m:t>V</m:t>
            </m:r>
          </m:e>
          <m:sub>
            <m:r>
              <m:rPr>
                <m:nor/>
              </m:rPr>
              <m:t>sat </m:t>
            </m:r>
          </m:sub>
        </m:sSub>
      </m:oMath>
      <w:r>
        <w:rPr>
          <w:rFonts w:eastAsia="Georgia" w:cs="Georgia" w:ascii="Georgia" w:hAnsi="Georgia"/>
        </w:rPr>
        <w:t xml:space="preserve">. Déterminer les gammes de valeurs possibles pour </w:t>
      </w:r>
      <m:oMath>
        <m:sSub>
          <m:sSubPr/>
          <m:e>
            <m:r>
              <m:rPr>
                <m:sty m:val="i"/>
              </m:rPr>
              <m:t>u</m:t>
            </m:r>
          </m:e>
          <m:sub>
            <m:r>
              <m:rPr>
                <m:sty m:val="i"/>
              </m:rPr>
              <m:t>s</m:t>
            </m:r>
          </m:sub>
        </m:sSub>
      </m:oMath>
      <w:r>
        <w:rPr/>
        <w:t xml:space="preserve">.</w:t>
      </w:r>
      <w:r>
        <w:rPr/>
        <w:br w:type="textWrapping"/>
      </w:r>
      <w:r>
        <w:rPr/>
        <w:t xml:space="preserve">Q10.c. On suppose que la sortie est en saturation basse </w:t>
      </w:r>
      <m:oMath>
        <m:sSub>
          <m:sSubPr/>
          <m:e>
            <m:r>
              <m:rPr>
                <m:sty m:val="i"/>
              </m:rPr>
              <m:t>u</m:t>
            </m:r>
          </m:e>
          <m:sub>
            <m:r>
              <m:rPr>
                <m:sty m:val="i"/>
              </m:rPr>
              <m:t>e</m:t>
            </m:r>
          </m:sub>
        </m:sSub>
        <m:r>
          <m:rPr>
            <m:sty m:val="p"/>
          </m:rPr>
          <m:t>=</m:t>
        </m:r>
        <m:r>
          <m:rPr>
            <m:sty m:val="p"/>
          </m:rPr>
          <m:t>−</m:t>
        </m:r>
        <m:sSub>
          <m:sSubPr/>
          <m:e>
            <m:r>
              <m:rPr>
                <m:sty m:val="i"/>
              </m:rPr>
              <m:t>V</m:t>
            </m:r>
          </m:e>
          <m:sub>
            <m:r>
              <m:rPr>
                <m:nor/>
              </m:rPr>
              <m:t>sat </m:t>
            </m:r>
          </m:sub>
        </m:sSub>
      </m:oMath>
      <w:r>
        <w:rPr>
          <w:rFonts w:eastAsia="Georgia" w:cs="Georgia" w:ascii="Georgia" w:hAnsi="Georgia"/>
        </w:rPr>
        <w:t xml:space="preserve">. Déterminer les gammes de valeurs possibles pour </w:t>
      </w:r>
      <m:oMath>
        <m:sSub>
          <m:sSubPr/>
          <m:e>
            <m:r>
              <m:rPr>
                <m:sty m:val="i"/>
              </m:rPr>
              <m:t>u</m:t>
            </m:r>
          </m:e>
          <m:sub>
            <m:r>
              <m:rPr>
                <m:sty m:val="i"/>
              </m:rPr>
              <m:t>s</m:t>
            </m:r>
          </m:sub>
        </m:sSub>
      </m:oMath>
      <w:r>
        <w:rPr/>
        <w:t xml:space="preserve">.</w:t>
      </w:r>
      <w:r>
        <w:rPr/>
        <w:br w:type="textWrapping"/>
      </w:r>
      <w:r>
        <w:rPr>
          <w:rFonts w:eastAsia="Georgia" w:cs="Georgia" w:ascii="Georgia" w:hAnsi="Georgia"/>
        </w:rPr>
        <w:t xml:space="preserve">Q10.d. Représenter la caractéristique de transfert </w:t>
      </w:r>
      <m:oMath>
        <m:sSub>
          <m:sSubPr/>
          <m:e>
            <m:r>
              <m:rPr>
                <m:sty m:val="i"/>
              </m:rPr>
              <m:t>u</m:t>
            </m:r>
          </m:e>
          <m:sub>
            <m:r>
              <m:rPr>
                <m:sty m:val="i"/>
              </m:rPr>
              <m:t>e</m:t>
            </m:r>
          </m:sub>
        </m:sSub>
        <m:d>
          <m:dPr>
            <m:begChr m:val="("/>
            <m:endChr m:val=")"/>
            <m:ctrlPr>
              <w:rPr>
                <w:rFonts w:ascii="Cambria Math" w:hAnsi="Cambria Math"/>
              </w:rPr>
            </m:ctrlPr>
          </m:dPr>
          <m:e>
            <m:sSub>
              <m:sSubPr/>
              <m:e>
                <m:r>
                  <m:rPr>
                    <m:sty m:val="i"/>
                  </m:rPr>
                  <m:t>u</m:t>
                </m:r>
              </m:e>
              <m:sub>
                <m:r>
                  <m:rPr>
                    <m:sty m:val="i"/>
                  </m:rPr>
                  <m:t>s</m:t>
                </m:r>
              </m:sub>
            </m:sSub>
          </m:e>
        </m:d>
      </m:oMath>
      <w:r>
        <w:rPr/>
        <w:t xml:space="preserve">. Comment appelle-t-on un tel montage ?</w:t>
      </w:r>
      <w:r>
        <w:rPr/>
        <w:br w:type="textWrapping"/>
      </w:r>
      <w:r>
        <w:rPr>
          <w:rFonts w:eastAsia="Georgia" w:cs="Georgia" w:ascii="Georgia" w:hAnsi="Georgia"/>
        </w:rPr>
        <w:t xml:space="preserve">On considère maintenant le montage entier. Il n'y a pas de «tension d'entrée» et la tension de sortie est la tension </w:t>
      </w:r>
      <m:oMath>
        <m:sSub>
          <m:sSubPr/>
          <m:e>
            <m:r>
              <m:rPr>
                <m:sty m:val="i"/>
              </m:rPr>
              <m:t>u</m:t>
            </m:r>
          </m:e>
          <m:sub>
            <m:r>
              <m:rPr>
                <m:sty m:val="i"/>
              </m:rPr>
              <m:t>s</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Q11. On suppose que, à </w:t>
      </w:r>
      <m:oMath>
        <m:r>
          <m:rPr>
            <m:sty m:val="p"/>
          </m:rPr>
          <m:t>t</m:t>
        </m:r>
        <m:r>
          <m:rPr>
            <m:sty m:val="p"/>
          </m:rPr>
          <m:t>=</m:t>
        </m:r>
        <m:r>
          <m:rPr>
            <m:sty m:val="p"/>
          </m:rPr>
          <m:t>0</m:t>
        </m:r>
      </m:oMath>
      <w:r>
        <w:rPr>
          <w:rFonts w:eastAsia="Georgia" w:cs="Georgia" w:ascii="Georgia" w:hAnsi="Georgia"/>
        </w:rPr>
        <w:t xml:space="preserve">, l'étage 2 vient de basculer en saturation haute </w:t>
      </w:r>
      <m:oMath>
        <m:sSub>
          <m:sSubPr/>
          <m:e>
            <m:r>
              <m:rPr>
                <m:sty m:val="i"/>
              </m:rPr>
              <m:t>u</m:t>
            </m:r>
          </m:e>
          <m:sub>
            <m:r>
              <m:rPr>
                <m:sty m:val="i"/>
              </m:rPr>
              <m:t>e</m:t>
            </m:r>
          </m:sub>
        </m:sSub>
        <m:r>
          <m:rPr>
            <m:sty m:val="p"/>
          </m:rPr>
          <m:t>=</m:t>
        </m:r>
        <m:sSub>
          <m:sSubPr/>
          <m:e>
            <m:r>
              <m:rPr>
                <m:sty m:val="i"/>
              </m:rPr>
              <m:t>V</m:t>
            </m:r>
          </m:e>
          <m:sub>
            <m:r>
              <m:rPr>
                <m:nor/>
              </m:rPr>
              <m:t>sat </m:t>
            </m:r>
          </m:sub>
        </m:sSub>
      </m:oMath>
      <w:r>
        <w:rPr/>
        <w:t xml:space="preserve">.</w:t>
      </w:r>
      <w:r>
        <w:rPr/>
        <w:br w:type="textWrapping"/>
      </w:r>
      <w:r>
        <w:rPr>
          <w:rFonts w:eastAsia="Georgia" w:cs="Georgia" w:ascii="Georgia" w:hAnsi="Georgia"/>
        </w:rPr>
        <w:t xml:space="preserve">Q11.a. Déterminer </w:t>
      </w:r>
      <m:oMath>
        <m:sSub>
          <m:sSubPr/>
          <m:e>
            <m:r>
              <m:rPr>
                <m:sty m:val="i"/>
              </m:rPr>
              <m:t>u</m:t>
            </m:r>
          </m:e>
          <m:sub>
            <m:r>
              <m:rPr>
                <m:sty m:val="i"/>
              </m:rPr>
              <m:t>s</m:t>
            </m:r>
          </m:sub>
        </m:sSub>
        <m:r>
          <m:rPr>
            <m:sty m:val="p"/>
          </m:rPr>
          <m:t>(</m:t>
        </m:r>
        <m:r>
          <m:rPr>
            <m:sty m:val="i"/>
          </m:rPr>
          <m:t>t</m:t>
        </m:r>
        <m:r>
          <m:rPr>
            <m:sty m:val="p"/>
          </m:rPr>
          <m:t>=</m:t>
        </m:r>
        <m:r>
          <m:rPr>
            <m:sty m:val="p"/>
          </m:rPr>
          <m:t>0</m:t>
        </m:r>
        <m:r>
          <m:rPr>
            <m:sty m:val="p"/>
          </m:rPr>
          <m:t>)</m:t>
        </m:r>
      </m:oMath>
      <w:r>
        <w:rPr>
          <w:rFonts w:eastAsia="Georgia" w:cs="Georgia" w:ascii="Georgia" w:hAnsi="Georgia"/>
        </w:rPr>
        <w:t xml:space="preserve"> puis l'équation littérale horaire de </w:t>
      </w:r>
      <m:oMath>
        <m:sSub>
          <m:sSubPr/>
          <m:e>
            <m:r>
              <m:rPr>
                <m:sty m:val="i"/>
              </m:rPr>
              <m:t>u</m:t>
            </m:r>
          </m:e>
          <m:sub>
            <m:r>
              <m:rPr>
                <m:sty m:val="i"/>
              </m:rPr>
              <m:t>s</m:t>
            </m:r>
          </m:sub>
        </m:sSub>
        <m:r>
          <m:rPr>
            <m:sty m:val="p"/>
          </m:rPr>
          <m:t>(</m:t>
        </m:r>
        <m:r>
          <m:rPr>
            <m:sty m:val="i"/>
          </m:rPr>
          <m:t>t</m:t>
        </m:r>
        <m:r>
          <m:rPr>
            <m:sty m:val="p"/>
          </m:rPr>
          <m:t>)</m:t>
        </m:r>
      </m:oMath>
      <w:r>
        <w:rPr/>
        <w:t xml:space="preserve"> pour </w:t>
      </w:r>
      <m:oMath>
        <m:r>
          <m:rPr>
            <m:sty m:val="p"/>
          </m:rPr>
          <m:t>t</m:t>
        </m:r>
        <m:r>
          <m:rPr>
            <m:sty m:val="p"/>
          </m:rPr>
          <m:t>&gt;</m:t>
        </m:r>
        <m:r>
          <m:rPr>
            <m:sty m:val="p"/>
          </m:rPr>
          <m:t>0</m:t>
        </m:r>
      </m:oMath>
      <w:r>
        <w:rPr/>
        <w:br w:type="textWrapping"/>
      </w:r>
      <w:r>
        <w:rPr>
          <w:rFonts w:eastAsia="Georgia" w:cs="Georgia" w:ascii="Georgia" w:hAnsi="Georgia"/>
        </w:rPr>
        <w:t xml:space="preserve">Q11.b. Déterminer la date </w:t>
      </w:r>
      <m:oMath>
        <m:sSub>
          <m:sSubPr/>
          <m:e>
            <m:r>
              <m:rPr>
                <m:sty m:val="i"/>
              </m:rPr>
              <m:t>t</m:t>
            </m:r>
          </m:e>
          <m:sub>
            <m:r>
              <m:rPr>
                <m:sty m:val="p"/>
              </m:rPr>
              <m:t>1</m:t>
            </m:r>
          </m:sub>
        </m:sSub>
      </m:oMath>
      <w:r>
        <w:rPr>
          <w:rFonts w:eastAsia="Georgia" w:cs="Georgia" w:ascii="Georgia" w:hAnsi="Georgia"/>
        </w:rPr>
        <w:t xml:space="preserve"> à laquelle l'étage 2 va basculer en saturation basse. On note </w:t>
      </w:r>
      <m:oMath>
        <m:r>
          <m:rPr>
            <m:sty m:val="p"/>
          </m:rPr>
          <m:t>Δ</m:t>
        </m:r>
        <m:sSub>
          <m:sSubPr/>
          <m:e>
            <m:r>
              <m:rPr>
                <m:sty m:val="i"/>
              </m:rPr>
              <m:t>t</m:t>
            </m:r>
          </m:e>
          <m:sub>
            <m:r>
              <m:rPr>
                <m:nor/>
              </m:rPr>
              <m:t>haut </m:t>
            </m:r>
          </m:sub>
        </m:sSub>
      </m:oMath>
      <w:r>
        <w:rPr>
          <w:rFonts w:eastAsia="Georgia" w:cs="Georgia" w:ascii="Georgia" w:hAnsi="Georgia"/>
        </w:rPr>
        <w:t xml:space="preserve"> la durée pendant laquelle l'étage 2 est en saturation haute. Expliciter littéralement </w:t>
      </w:r>
      <m:oMath>
        <m:r>
          <m:rPr>
            <m:sty m:val="p"/>
          </m:rPr>
          <m:t>Δ</m:t>
        </m:r>
        <m:sSub>
          <m:sSubPr/>
          <m:e>
            <m:r>
              <m:rPr>
                <m:sty m:val="i"/>
              </m:rPr>
              <m:t>t</m:t>
            </m:r>
          </m:e>
          <m:sub>
            <m:r>
              <m:rPr>
                <m:nor/>
              </m:rPr>
              <m:t>haut </m:t>
            </m:r>
          </m:sub>
        </m:sSub>
      </m:oMath>
      <w:r>
        <w:rPr/>
        <w:br w:type="textWrapping"/>
      </w:r>
      <w:r>
        <w:rPr/>
        <w:t xml:space="preserve">Q12. A </w:t>
      </w:r>
      <m:oMath>
        <m:r>
          <m:rPr>
            <m:sty m:val="i"/>
          </m:rPr>
          <m:t>t</m:t>
        </m:r>
        <m:r>
          <m:rPr>
            <m:sty m:val="p"/>
          </m:rPr>
          <m:t>=</m:t>
        </m:r>
        <m:sSub>
          <m:sSubPr/>
          <m:e>
            <m:r>
              <m:rPr>
                <m:sty m:val="i"/>
              </m:rPr>
              <m:t>t</m:t>
            </m:r>
          </m:e>
          <m:sub>
            <m:r>
              <m:rPr>
                <m:sty m:val="p"/>
              </m:rPr>
              <m:t>1</m:t>
            </m:r>
          </m:sub>
        </m:sSub>
      </m:oMath>
      <w:r>
        <w:rPr>
          <w:rFonts w:eastAsia="Georgia" w:cs="Georgia" w:ascii="Georgia" w:hAnsi="Georgia"/>
        </w:rPr>
        <w:t xml:space="preserve">, l'étage 2 vient donc de basculer en saturation basse.</w:t>
      </w:r>
      <w:r>
        <w:rPr/>
        <w:br w:type="textWrapping"/>
      </w:r>
      <w:r>
        <w:rPr>
          <w:rFonts w:eastAsia="Georgia" w:cs="Georgia" w:ascii="Georgia" w:hAnsi="Georgia"/>
        </w:rPr>
        <w:t xml:space="preserve">Q12.a. Déterminer l'expression littérale de </w:t>
      </w:r>
      <m:oMath>
        <m:sSub>
          <m:sSubPr/>
          <m:e>
            <m:r>
              <m:rPr>
                <m:sty m:val="i"/>
              </m:rPr>
              <m:t>u</m:t>
            </m:r>
          </m:e>
          <m:sub>
            <m:r>
              <m:rPr>
                <m:sty m:val="i"/>
              </m:rPr>
              <m:t>s</m:t>
            </m:r>
          </m:sub>
        </m:sSub>
        <m:r>
          <m:rPr>
            <m:sty m:val="p"/>
          </m:rPr>
          <m:t>(</m:t>
        </m:r>
        <m:r>
          <m:rPr>
            <m:sty m:val="i"/>
          </m:rPr>
          <m:t>t</m:t>
        </m:r>
        <m:r>
          <m:rPr>
            <m:sty m:val="p"/>
          </m:rPr>
          <m:t>)</m:t>
        </m:r>
      </m:oMath>
      <w:r>
        <w:rPr/>
        <w:t xml:space="preserve"> pour </w:t>
      </w:r>
      <m:oMath>
        <m:r>
          <m:rPr>
            <m:sty m:val="i"/>
          </m:rPr>
          <m:t>t</m:t>
        </m:r>
        <m:r>
          <m:rPr>
            <m:sty m:val="p"/>
          </m:rPr>
          <m:t>&gt;</m:t>
        </m:r>
        <m:sSub>
          <m:sSubPr/>
          <m:e>
            <m:r>
              <m:rPr>
                <m:sty m:val="i"/>
              </m:rPr>
              <m:t>t</m:t>
            </m:r>
          </m:e>
          <m:sub>
            <m:r>
              <m:rPr>
                <m:sty m:val="p"/>
              </m:rPr>
              <m:t>1</m:t>
            </m:r>
          </m:sub>
        </m:sSub>
      </m:oMath>
      <w:r>
        <w:rPr/>
        <w:br w:type="textWrapping"/>
      </w:r>
      <w:r>
        <w:rPr>
          <w:rFonts w:eastAsia="Georgia" w:cs="Georgia" w:ascii="Georgia" w:hAnsi="Georgia"/>
        </w:rPr>
        <w:t xml:space="preserve">Q12.b. Déterminer la date t_2 à laquelle l'étage 2 va basculer à nouveau en saturation haute. On note </w:t>
      </w:r>
      <m:oMath>
        <m:r>
          <m:rPr>
            <m:sty m:val="p"/>
          </m:rPr>
          <m:t>Δ</m:t>
        </m:r>
        <m:sSub>
          <m:sSubPr/>
          <m:e>
            <m:r>
              <m:rPr>
                <m:sty m:val="i"/>
              </m:rPr>
              <m:t>t</m:t>
            </m:r>
          </m:e>
          <m:sub>
            <m:r>
              <m:rPr>
                <m:nor/>
              </m:rPr>
              <m:t>bas </m:t>
            </m:r>
          </m:sub>
        </m:sSub>
      </m:oMath>
      <w:r>
        <w:rPr>
          <w:rFonts w:eastAsia="Georgia" w:cs="Georgia" w:ascii="Georgia" w:hAnsi="Georgia"/>
        </w:rPr>
        <w:t xml:space="preserve">, la durée pendant laquelle l'étage 2 est en saturation basse. Déterminer littéralement </w:t>
      </w:r>
      <m:oMath>
        <m:r>
          <m:rPr>
            <m:sty m:val="p"/>
          </m:rPr>
          <m:t>Δ</m:t>
        </m:r>
        <m:sSub>
          <m:sSubPr/>
          <m:e>
            <m:r>
              <m:rPr>
                <m:sty m:val="i"/>
              </m:rPr>
              <m:t>t</m:t>
            </m:r>
          </m:e>
          <m:sub>
            <m:r>
              <m:rPr>
                <m:nor/>
              </m:rPr>
              <m:t>bas </m:t>
            </m:r>
          </m:sub>
        </m:sSub>
      </m:oMath>
      <w:r>
        <w:rPr>
          <w:rFonts w:eastAsia="Georgia" w:cs="Georgia" w:ascii="Georgia" w:hAnsi="Georgia"/>
        </w:rPr>
        <w:t xml:space="preserve"> et la période T du signal </w:t>
      </w:r>
      <m:oMath>
        <m:sSub>
          <m:sSubPr/>
          <m:e>
            <m:r>
              <m:rPr>
                <m:sty m:val="i"/>
              </m:rPr>
              <m:t>u</m:t>
            </m:r>
          </m:e>
          <m:sub>
            <m:r>
              <m:rPr>
                <m:sty m:val="i"/>
              </m:rPr>
              <m:t>s</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Q13. Représenter sur le graphique Figure C. 2 fourni dans l'Annexe (Partie C : - A RENDRE AVEC LA COPIE) les signaux </w:t>
      </w:r>
      <m:oMath>
        <m:sSub>
          <m:sSubPr/>
          <m:e>
            <m:r>
              <m:rPr>
                <m:sty m:val="i"/>
              </m:rPr>
              <m:t>u</m:t>
            </m:r>
          </m:e>
          <m:sub>
            <m:r>
              <m:rPr>
                <m:sty m:val="i"/>
              </m:rPr>
              <m:t>s</m:t>
            </m:r>
          </m:sub>
        </m:sSub>
        <m:r>
          <m:rPr>
            <m:sty m:val="p"/>
          </m:rPr>
          <m:t>(</m:t>
        </m:r>
        <m:r>
          <m:rPr>
            <m:sty m:val="i"/>
          </m:rPr>
          <m:t>t</m:t>
        </m:r>
        <m:r>
          <m:rPr>
            <m:sty m:val="p"/>
          </m:rPr>
          <m:t>)</m:t>
        </m:r>
      </m:oMath>
      <w:r>
        <w:rPr/>
        <w:t xml:space="preserve"> et </w:t>
      </w:r>
      <m:oMath>
        <m:sSub>
          <m:sSubPr/>
          <m:e>
            <m:r>
              <m:rPr>
                <m:sty m:val="i"/>
              </m:rPr>
              <m:t>u</m:t>
            </m:r>
          </m:e>
          <m:sub>
            <m:r>
              <m:rPr>
                <m:sty m:val="i"/>
              </m:rPr>
              <m:t>e</m:t>
            </m:r>
          </m:sub>
        </m:sSub>
        <m:r>
          <m:rPr>
            <m:sty m:val="p"/>
          </m:rPr>
          <m:t>(</m:t>
        </m:r>
        <m:r>
          <m:rPr>
            <m:sty m:val="i"/>
          </m:rPr>
          <m:t>t</m:t>
        </m:r>
        <m:r>
          <m:rPr>
            <m:sty m:val="p"/>
          </m:rPr>
          <m:t>)</m:t>
        </m:r>
      </m:oMath>
      <w:r>
        <w:rPr/>
        <w:t xml:space="preserve"> en supposant </w:t>
      </w:r>
      <m:oMath>
        <m:r>
          <m:rPr>
            <m:sty m:val="p"/>
          </m:rPr>
          <m:t>Δ</m:t>
        </m:r>
        <m:sSub>
          <m:sSubPr/>
          <m:e>
            <m:r>
              <m:rPr>
                <m:sty m:val="i"/>
              </m:rPr>
              <m:t>t</m:t>
            </m:r>
          </m:e>
          <m:sub>
            <m:r>
              <m:rPr>
                <m:nor/>
              </m:rPr>
              <m:t>bas </m:t>
            </m:r>
          </m:sub>
        </m:sSub>
        <m:r>
          <m:rPr>
            <m:sty m:val="p"/>
          </m:rPr>
          <m:t>=</m:t>
        </m:r>
        <m:r>
          <m:rPr>
            <m:sty m:val="p"/>
          </m:rPr>
          <m:t>19</m:t>
        </m:r>
        <m:r>
          <m:rPr>
            <m:sty m:val="p"/>
          </m:rPr>
          <m:t>Δ</m:t>
        </m:r>
        <m:sSub>
          <m:sSubPr/>
          <m:e>
            <m:r>
              <m:rPr>
                <m:sty m:val="i"/>
              </m:rPr>
              <m:t>t</m:t>
            </m:r>
          </m:e>
          <m:sub>
            <m:r>
              <m:rPr>
                <m:nor/>
              </m:rPr>
              <m:t>haut </m:t>
            </m:r>
          </m:sub>
        </m:sSub>
      </m:oMath>
      <w:r>
        <w:rPr/>
        <w:br w:type="textWrapping"/>
      </w:r>
      <w:r>
        <w:rPr>
          <w:rFonts w:eastAsia="Georgia" w:cs="Georgia" w:ascii="Georgia" w:hAnsi="Georgia"/>
        </w:rPr>
        <w:t xml:space="preserve">Q14. On veut créer un signal dent de scie de fréquence </w:t>
      </w:r>
      <m:oMath>
        <m:r>
          <m:rPr>
            <m:sty m:val="p"/>
          </m:rPr>
          <m:t>f</m:t>
        </m:r>
        <m:r>
          <m:rPr>
            <m:sty m:val="p"/>
          </m:rPr>
          <m:t>=</m:t>
        </m:r>
        <m:r>
          <m:rPr>
            <m:sty m:val="p"/>
          </m:rPr>
          <m:t>1</m:t>
        </m:r>
        <m:r>
          <m:rPr>
            <m:sty m:val="p"/>
          </m:rPr>
          <m:t>MHz</m:t>
        </m:r>
      </m:oMath>
      <w:r>
        <w:rPr/>
        <w:t xml:space="preserve">. On choisit </w:t>
      </w:r>
      <m:oMath>
        <m:r>
          <m:rPr>
            <m:sty m:val="i"/>
          </m:rPr>
          <m:t>C</m:t>
        </m:r>
        <m:r>
          <m:rPr>
            <m:sty m:val="p"/>
          </m:rPr>
          <m:t>=</m:t>
        </m:r>
        <m:r>
          <m:rPr>
            <m:sty m:val="p"/>
          </m:rPr>
          <m:t>10</m:t>
        </m:r>
        <m:r>
          <m:rPr>
            <m:sty m:val="i"/>
          </m:rPr>
          <m:t>p</m:t>
        </m:r>
        <m:r>
          <m:rPr>
            <m:sty m:val="i"/>
          </m:rPr>
          <m:t>F</m:t>
        </m:r>
      </m:oMath>
      <w:r>
        <w:rPr/>
        <w:t xml:space="preserve">. De plus, pour que le signal ressemble le plus au signal dent de scie de la Figure A.2, on fixe </w:t>
      </w:r>
      <m:oMath>
        <m:r>
          <m:rPr>
            <m:sty m:val="p"/>
          </m:rPr>
          <m:t>Δ</m:t>
        </m:r>
        <m:sSub>
          <m:sSubPr/>
          <m:e>
            <m:r>
              <m:rPr>
                <m:sty m:val="i"/>
              </m:rPr>
              <m:t>t</m:t>
            </m:r>
          </m:e>
          <m:sub>
            <m:r>
              <m:rPr>
                <m:nor/>
              </m:rPr>
              <m:t>bas </m:t>
            </m:r>
          </m:sub>
        </m:sSub>
        <m:r>
          <m:rPr>
            <m:sty m:val="p"/>
          </m:rPr>
          <m:t>=</m:t>
        </m:r>
        <m:r>
          <m:rPr>
            <m:sty m:val="p"/>
          </m:rPr>
          <m:t>19</m:t>
        </m:r>
        <m:r>
          <m:rPr>
            <m:sty m:val="p"/>
          </m:rPr>
          <m:t>Δ</m:t>
        </m:r>
        <m:sSub>
          <m:sSubPr/>
          <m:e>
            <m:r>
              <m:rPr>
                <m:sty m:val="i"/>
              </m:rPr>
              <m:t>t</m:t>
            </m:r>
          </m:e>
          <m:sub>
            <m:r>
              <m:rPr>
                <m:nor/>
              </m:rPr>
              <m:t>haut </m:t>
            </m:r>
          </m:sub>
        </m:sSub>
      </m:oMath>
      <w:r>
        <w:rPr>
          <w:rFonts w:eastAsia="Georgia" w:cs="Georgia" w:ascii="Georgia" w:hAnsi="Georgia"/>
        </w:rPr>
        <w:t xml:space="preserve">. Déterminer les valeurs de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rFonts w:eastAsia="Georgia" w:cs="Georgia" w:ascii="Georgia" w:hAnsi="Georgia"/>
        </w:rPr>
        <w:t xml:space="preserve"> en fonction de C et f . Faire l'application numérique.</w:t>
      </w:r>
    </w:p>
    <w:p>
      <w:pPr>
        <w:spacing w:line="271" w:before="330" w:lineRule="auto"/>
      </w:pPr>
      <w:r>
        <w:rPr>
          <w:rFonts w:eastAsia="Georgia" w:cs="Georgia" w:ascii="Georgia" w:hAnsi="Georgia"/>
          <w:b/>
          <w:sz w:val="42"/>
        </w:rPr>
        <w:t xml:space="preserve">Partie B : Epitaxie par jet moléculaire.</w:t>
      </w:r>
    </w:p>
    <w:p>
      <w:pPr>
        <w:spacing w:line="271" w:before="330" w:lineRule="auto"/>
      </w:pPr>
      <w:r>
        <w:rPr>
          <w:rFonts w:eastAsia="Georgia" w:cs="Georgia" w:ascii="Georgia" w:hAnsi="Georgia"/>
          <w:b/>
          <w:sz w:val="42"/>
        </w:rPr>
        <w:t xml:space="preserve">Principe de l'épitaxie par jet moléculaire:</w:t>
      </w:r>
    </w:p>
    <w:p>
      <w:pPr>
        <w:spacing w:after="220" w:lineRule="auto"/>
      </w:pPr>
      <w:r>
        <w:rPr>
          <w:rFonts w:eastAsia="Georgia" w:cs="Georgia" w:ascii="Georgia" w:hAnsi="Georgia"/>
        </w:rPr>
        <w:t xml:space="preserve">Cette technique consiste à envoyer des molécules (ou atomes) à la surface d'une couche monocristalline déjà formée, le substrat, pour qu'elle s'accroche à la surface (cf. Figure B.1). Les molécules arrivent sur la surface avec un débit relativement lent et dans un vide très poussé. On peut ainsi contrôler le nombre de molécules qui se fixent sur le substrat de manière à arrêter le processus juste quand une couche est entièrement formée. On peut alors soit terminer la croissance du substrat, soit changer le type de molécule apportée de manière à former une couche de nature différentes : on parle, dans le cadre de l'électronique des semi-conducteur, de «jonction abrupte».</w:t>
      </w:r>
    </w:p>
    <w:p>
      <w:pPr>
        <w:spacing w:after="220" w:lineRule="auto"/>
      </w:pPr>
      <w:r>
        <w:rPr>
          <w:rFonts w:eastAsia="Georgia" w:cs="Georgia" w:ascii="Georgia" w:hAnsi="Georgia"/>
        </w:rPr>
        <w:t xml:space="preserve">Le dispositif expérimental est présenté Figure B.2. La partie de droite,</w:t>
      </w:r>
    </w:p>
    <w:p>
      <w:pPr>
        <w:spacing w:lineRule="auto"/>
        <w:jc w:val="center"/>
      </w:pPr>
      <w:r>
        <w:rPr/>
        <w:drawing>
          <wp:inline distB="0" distL="0" distR="0" distT="0">
            <wp:extent cx="4276725" cy="4819650"/>
            <wp:effectExtent b="0" l="0" r="0" t="0"/>
            <wp:docPr id="6" name="image-1389729da97063ecb036b917629b41bc29652140.jpg"/>
            <a:graphic>
              <a:graphicData uri="http://schemas.openxmlformats.org/drawingml/2006/picture">
                <pic:pic>
                  <pic:nvPicPr>
                    <pic:cNvPr id="6" name="image-1389729da97063ecb036b917629b41bc29652140.jpg" descr=""/>
                    <pic:cNvPicPr/>
                  </pic:nvPicPr>
                  <pic:blipFill>
                    <a:blip r:embed="rId10" cstate="print"/>
                    <a:srcRect b="0" l="0" r="0" t="0"/>
                    <a:stretch>
                      <a:fillRect/>
                    </a:stretch>
                  </pic:blipFill>
                  <pic:spPr>
                    <a:xfrm>
                      <a:off x="0" y="0"/>
                      <a:ext cx="4276725" cy="4819650"/>
                    </a:xfrm>
                    <a:prstGeom prst="rect"/>
                  </pic:spPr>
                </pic:pic>
              </a:graphicData>
            </a:graphic>
          </wp:inline>
        </w:drawing>
      </w:r>
    </w:p>
    <w:p>
      <w:pPr>
        <w:spacing w:lineRule="auto"/>
      </w:pPr>
      <w:r>
        <w:rPr/>
        <w:t xml:space="preserve">Figure B. 1 : Croissance par couche.</w:t>
      </w:r>
    </w:p>
    <w:p>
      <w:pPr>
        <w:spacing w:after="220" w:lineRule="auto"/>
      </w:pPr>
      <w:r>
        <w:rPr>
          <w:rFonts w:eastAsia="Georgia" w:cs="Georgia" w:ascii="Georgia" w:hAnsi="Georgia"/>
        </w:rPr>
        <w:t xml:space="preserve">qui ne sera pas étudiée, sert à l'introduction du substrat dans l'enceinte en limitant au minimum la contamination de l'atmosphère de l'enceinte. L'ovale centrale, entouré de panneau d'azote liquide, est la chambre d'épitaxie ou se produit la croissance des couches sur le substrat.</w:t>
      </w:r>
    </w:p>
    <w:p>
      <w:pPr>
        <w:spacing w:lineRule="auto"/>
        <w:jc w:val="center"/>
      </w:pPr>
      <w:r>
        <w:rPr/>
        <w:drawing>
          <wp:inline distB="0" distL="0" distR="0" distT="0">
            <wp:extent cx="5486400" cy="3945444"/>
            <wp:effectExtent b="0" l="0" r="0" t="0"/>
            <wp:docPr id="7" name="image-8be38ddbfacc4dc81ddf47fc00f92a9ad38b2ba8.jpg"/>
            <a:graphic>
              <a:graphicData uri="http://schemas.openxmlformats.org/drawingml/2006/picture">
                <pic:pic>
                  <pic:nvPicPr>
                    <pic:cNvPr id="7" name="image-8be38ddbfacc4dc81ddf47fc00f92a9ad38b2ba8.jpg" descr=""/>
                    <pic:cNvPicPr/>
                  </pic:nvPicPr>
                  <pic:blipFill>
                    <a:blip r:embed="rId11" cstate="print"/>
                    <a:srcRect b="0" l="0" r="0" t="0"/>
                    <a:stretch>
                      <a:fillRect/>
                    </a:stretch>
                  </pic:blipFill>
                  <pic:spPr>
                    <a:xfrm>
                      <a:off x="0" y="0"/>
                      <a:ext cx="5486400" cy="3945444"/>
                    </a:xfrm>
                    <a:prstGeom prst="rect"/>
                  </pic:spPr>
                </pic:pic>
              </a:graphicData>
            </a:graphic>
          </wp:inline>
        </w:drawing>
      </w:r>
    </w:p>
    <w:p>
      <w:pPr>
        <w:spacing w:lineRule="auto"/>
      </w:pPr>
      <w:r>
        <w:rPr>
          <w:rFonts w:eastAsia="Georgia" w:cs="Georgia" w:ascii="Georgia" w:hAnsi="Georgia"/>
        </w:rPr>
        <w:t xml:space="preserve">Figure B. 2 : Schéma des différents éléments d'un bati EJM</w:t>
      </w:r>
    </w:p>
    <w:p>
      <w:pPr>
        <w:spacing w:after="220" w:lineRule="auto"/>
      </w:pPr>
      <w:r>
        <w:rPr>
          <w:rFonts w:eastAsia="Georgia" w:cs="Georgia" w:ascii="Georgia" w:hAnsi="Georgia"/>
        </w:rPr>
        <w:t xml:space="preserve">Le porte-substrat est commandé de l'extérieur pour le mettre et le maintenir face aux sources d'atomes/molécules : les cellules conventionnelles (de Knudsen) ou Cracker.</w:t>
      </w:r>
      <w:r>
        <w:rPr/>
        <w:br w:type="textWrapping"/>
      </w:r>
      <w:r>
        <w:rPr>
          <w:rFonts w:eastAsia="Georgia" w:cs="Georgia" w:ascii="Georgia" w:hAnsi="Georgia"/>
        </w:rPr>
        <w:t xml:space="preserve">Les molécules évaporées doivent arriver sur le substrat sans entrer en collision avec une autre molécule (pour éviter les impuretés) ce qui nécessite un vide poussé dans la chambre d'épitaxie. Ce vide est assuré grâce à une pompe cryogénique. La «mesure du vide» est réalisée par la Jauge de Bayart-Alpert.</w:t>
      </w:r>
    </w:p>
    <w:p>
      <w:pPr>
        <w:spacing w:after="220" w:lineRule="auto"/>
      </w:pPr>
      <w:r>
        <w:rPr>
          <w:rFonts w:eastAsia="Georgia" w:cs="Georgia" w:ascii="Georgia" w:hAnsi="Georgia"/>
        </w:rPr>
        <w:t xml:space="preserve">On contrôle la croissance d'une monocouche sur le substrat au moyen d'un procédé RHEED basé sur la diffraction d'un faisceau d'électron (émis par le canon) par la surface du substrat puis l'étude du faisceau par interférence.</w:t>
      </w:r>
    </w:p>
    <w:p>
      <w:pPr>
        <w:spacing w:after="220" w:lineRule="auto"/>
      </w:pPr>
      <w:r>
        <w:rPr>
          <w:rFonts w:eastAsia="Georgia" w:cs="Georgia" w:ascii="Georgia" w:hAnsi="Georgia"/>
        </w:rPr>
        <w:t xml:space="preserve">Le but de cette partie est d'étudier les différentes techniques mises en jeu dans la technique d'épitaxie par jet moléculaire. L'étude est divisée en trois parties indépendantes relatives à l'étude d'une cellule de Knudsen, de la jauge de Bayart-Alpert et enfin du suivi de la croissance par le procédé RHEED.</w:t>
      </w:r>
    </w:p>
    <w:p>
      <w:pPr>
        <w:spacing w:line="271" w:before="330" w:lineRule="auto"/>
      </w:pPr>
      <w:r>
        <w:rPr>
          <w:rFonts w:eastAsia="Georgia" w:cs="Georgia" w:ascii="Georgia" w:hAnsi="Georgia"/>
          <w:b/>
          <w:sz w:val="42"/>
        </w:rPr>
        <w:t xml:space="preserve">B. 1 - Création d'un jet moléculaire: cellules de Knudsen</w:t>
      </w:r>
    </w:p>
    <w:p>
      <w:pPr>
        <w:spacing w:line="271" w:before="330" w:lineRule="auto"/>
      </w:pPr>
      <w:r>
        <w:rPr>
          <w:b/>
          <w:sz w:val="42"/>
        </w:rPr>
        <w:t xml:space="preserve">Principe d'un cellule de Knudsen :</w:t>
      </w:r>
    </w:p>
    <w:p>
      <w:pPr>
        <w:spacing w:after="220" w:lineRule="auto"/>
      </w:pPr>
      <w:r>
        <w:rPr>
          <w:rFonts w:eastAsia="Georgia" w:cs="Georgia" w:ascii="Georgia" w:hAnsi="Georgia"/>
        </w:rPr>
        <w:t xml:space="preserve">Une cellule de Knudsen est un creuset rigide dans lequel on a placé le composé à évaporer (dans notre exemple, le composé étudié sera le Gallium Ga, il est notamment utilisé pour réaliser des couches de semi-conducteurs à base d'Arséniure de Gallium GaAs). Le creuset est entouré d'un (ou plusieurs) filament(s) chauffant(s) destiné(s) à maintenir le creuset et contenu à une température </w:t>
      </w:r>
      <m:oMath>
        <m:sSub>
          <m:sSubPr/>
          <m:e>
            <m:r>
              <m:rPr>
                <m:sty m:val="i"/>
              </m:rPr>
              <m:t>T</m:t>
            </m:r>
          </m:e>
          <m:sub>
            <m:r>
              <m:rPr>
                <m:sty m:val="i"/>
              </m:rPr>
              <m:t>V</m:t>
            </m:r>
          </m:sub>
        </m:sSub>
      </m:oMath>
      <w:r>
        <w:rPr>
          <w:rFonts w:eastAsia="Georgia" w:cs="Georgia" w:ascii="Georgia" w:hAnsi="Georgia"/>
        </w:rPr>
        <w:t xml:space="preserve"> donnée.</w:t>
      </w:r>
      <w:r>
        <w:rPr/>
        <w:br w:type="textWrapping"/>
      </w:r>
      <w:r>
        <w:rPr>
          <w:rFonts w:eastAsia="Georgia" w:cs="Georgia" w:ascii="Georgia" w:hAnsi="Georgia"/>
        </w:rPr>
        <w:t xml:space="preserve">A cette température, une partie du composé se vaporise. On obtient dans le creuset un mélange diphasé. Le creuset est percé d'un petit trou de section </w:t>
      </w:r>
      <m:oMath>
        <m:r>
          <m:rPr>
            <m:sty m:val="i"/>
          </m:rPr>
          <m:t>s</m:t>
        </m:r>
      </m:oMath>
      <w:r>
        <w:rPr>
          <w:rFonts w:eastAsia="Georgia" w:cs="Georgia" w:ascii="Georgia" w:hAnsi="Georgia"/>
        </w:rPr>
        <w:t xml:space="preserve"> par lequel peuvent s'échapper des molécules du gaz (on parle d'effusion) des molécules du gaz. Le diamètre du trou est suffisamment petit devant le libre parcours des atomes du gaz pour pouvoir considéré que le système diphasé à l'intérieur du creuset est en équilibre et peu perturbé par l'effusion d'atome de Gallium par le trou.</w:t>
      </w:r>
    </w:p>
    <w:p>
      <w:pPr>
        <w:spacing w:line="271" w:before="330" w:lineRule="auto"/>
      </w:pPr>
      <w:r>
        <w:rPr>
          <w:rFonts w:eastAsia="Georgia" w:cs="Georgia" w:ascii="Georgia" w:hAnsi="Georgia"/>
          <w:b/>
          <w:sz w:val="42"/>
        </w:rPr>
        <w:t xml:space="preserve">Données relatives à la cellule :</w:t>
      </w:r>
    </w:p>
    <w:p>
      <w:pPr>
        <w:numPr>
          <w:ilvl w:val="0"/>
          <w:numId w:val="3"/>
        </w:numPr>
        <w:spacing w:lineRule="auto"/>
      </w:pPr>
      <w:r>
        <w:rPr>
          <w:rFonts w:eastAsia="Georgia" w:cs="Georgia" w:ascii="Georgia" w:hAnsi="Georgia"/>
        </w:rPr>
        <w:t xml:space="preserve">Température du mélange diphasé : </w:t>
      </w:r>
      <m:oMath>
        <m:sSub>
          <m:sSubPr/>
          <m:e>
            <m:r>
              <m:rPr>
                <m:sty m:val="i"/>
              </m:rPr>
              <m:t>T</m:t>
            </m:r>
          </m:e>
          <m:sub>
            <m:r>
              <m:rPr>
                <m:sty m:val="i"/>
              </m:rPr>
              <m:t>V</m:t>
            </m:r>
          </m:sub>
        </m:sSub>
        <m:r>
          <m:rPr>
            <m:sty m:val="p"/>
          </m:rPr>
          <m:t>=</m:t>
        </m:r>
        <m:r>
          <m:rPr>
            <m:sty m:val="p"/>
          </m:rPr>
          <m:t>1200</m:t>
        </m:r>
        <m:r>
          <m:rPr>
            <m:nor/>
          </m:rPr>
          <m:t xml:space="preserve"> </m:t>
        </m:r>
        <m:r>
          <m:rPr>
            <m:sty m:val="p"/>
          </m:rPr>
          <m:t>K</m:t>
        </m:r>
      </m:oMath>
      <w:r>
        <w:rPr/>
        <w:br w:type="textWrapping"/>
      </w:r>
      <w:r>
        <w:rPr>
          <w:rFonts w:eastAsia="Georgia" w:cs="Georgia" w:ascii="Georgia" w:hAnsi="Georgia"/>
        </w:rPr>
        <w:t xml:space="preserve">(2) Pression de vapeur saturante à </w:t>
      </w:r>
      <m:oMath>
        <m:sSub>
          <m:sSubPr/>
          <m:e>
            <m:r>
              <m:rPr>
                <m:sty m:val="i"/>
              </m:rPr>
              <m:t>T</m:t>
            </m:r>
          </m:e>
          <m:sub>
            <m:r>
              <m:rPr>
                <m:sty m:val="i"/>
              </m:rPr>
              <m:t>V</m:t>
            </m:r>
          </m:sub>
        </m:sSub>
        <m:r>
          <m:rPr>
            <m:sty m:val="p"/>
          </m:rPr>
          <m:t>=</m:t>
        </m:r>
        <m:r>
          <m:rPr>
            <m:sty m:val="p"/>
          </m:rPr>
          <m:t>1200</m:t>
        </m:r>
        <m:r>
          <m:rPr>
            <m:nor/>
          </m:rPr>
          <m:t xml:space="preserve"> </m:t>
        </m:r>
        <m:r>
          <m:rPr>
            <m:sty m:val="p"/>
          </m:rPr>
          <m:t>K</m:t>
        </m:r>
      </m:oMath>
      <w:r>
        <w:rPr/>
        <w:t xml:space="preserve"> : </w:t>
      </w:r>
      <m:oMath>
        <m:sSub>
          <m:sSubPr/>
          <m:e>
            <m:r>
              <m:rPr>
                <m:sty m:val="i"/>
              </m:rPr>
              <m:t>P</m:t>
            </m:r>
          </m:e>
          <m:sub>
            <m:r>
              <m:rPr>
                <m:sty m:val="i"/>
              </m:rPr>
              <m:t>V</m:t>
            </m:r>
          </m:sub>
        </m:sSub>
        <m:r>
          <m:rPr>
            <m:sty m:val="p"/>
          </m:rPr>
          <m:t>=</m:t>
        </m:r>
        <m:r>
          <m:rPr>
            <m:sty m:val="p"/>
          </m:rPr>
          <m:t>0</m:t>
        </m:r>
        <m:r>
          <m:rPr>
            <m:sty m:val="p"/>
          </m:rPr>
          <m:t>,</m:t>
        </m:r>
        <m:r>
          <m:rPr>
            <m:sty m:val="p"/>
          </m:rPr>
          <m:t>2</m:t>
        </m:r>
        <m:r>
          <m:rPr>
            <m:nor/>
          </m:rPr>
          <m:t xml:space="preserve"> </m:t>
        </m:r>
        <m:r>
          <m:rPr>
            <m:sty m:val="p"/>
          </m:rPr>
          <m:t>Pa</m:t>
        </m:r>
      </m:oMath>
    </w:p>
    <w:p>
      <w:pPr>
        <w:numPr>
          <w:ilvl w:val="0"/>
          <w:numId w:val="3"/>
        </w:numPr>
        <w:spacing w:lineRule="auto"/>
      </w:pPr>
      <w:r>
        <w:rPr>
          <w:rFonts w:eastAsia="Georgia" w:cs="Georgia" w:ascii="Georgia" w:hAnsi="Georgia"/>
        </w:rPr>
        <w:t xml:space="preserve">Température du point triple du Gallium : </w:t>
      </w:r>
      <m:oMath>
        <m:sSub>
          <m:sSubPr/>
          <m:e>
            <m:r>
              <m:rPr>
                <m:sty m:val="i"/>
              </m:rPr>
              <m:t>T</m:t>
            </m:r>
          </m:e>
          <m:sub>
            <m:r>
              <m:rPr>
                <m:sty m:val="i"/>
              </m:rPr>
              <m:t>r</m:t>
            </m:r>
            <m:r>
              <m:rPr>
                <m:sty m:val="i"/>
              </m:rPr>
              <m:t>G</m:t>
            </m:r>
            <m:r>
              <m:rPr>
                <m:sty m:val="i"/>
              </m:rPr>
              <m:t>a</m:t>
            </m:r>
          </m:sub>
        </m:sSub>
        <m:r>
          <m:rPr>
            <m:sty m:val="p"/>
          </m:rPr>
          <m:t>=</m:t>
        </m:r>
        <m:r>
          <m:rPr>
            <m:sty m:val="p"/>
          </m:rPr>
          <m:t>301</m:t>
        </m:r>
        <m:r>
          <m:rPr>
            <m:sty m:val="p"/>
          </m:rPr>
          <m:t>,</m:t>
        </m:r>
        <m:r>
          <m:rPr>
            <m:sty m:val="p"/>
          </m:rPr>
          <m:t>91</m:t>
        </m:r>
        <m:r>
          <m:rPr>
            <m:nor/>
          </m:rPr>
          <m:t xml:space="preserve"> </m:t>
        </m:r>
        <m:r>
          <m:rPr>
            <m:sty m:val="p"/>
          </m:rPr>
          <m:t>K</m:t>
        </m:r>
      </m:oMath>
    </w:p>
    <w:p>
      <w:pPr>
        <w:numPr>
          <w:ilvl w:val="0"/>
          <w:numId w:val="3"/>
        </w:numPr>
        <w:spacing w:lineRule="auto"/>
      </w:pPr>
      <w:r>
        <w:rPr/>
        <w:t xml:space="preserve">Section totale du trou: </w:t>
      </w:r>
      <m:oMath>
        <m:r>
          <m:rPr>
            <m:sty m:val="i"/>
          </m:rPr>
          <m:t>s</m:t>
        </m:r>
        <m:r>
          <m:rPr>
            <m:sty m:val="p"/>
          </m:rPr>
          <m:t>=</m:t>
        </m:r>
        <m:r>
          <m:rPr>
            <m:sty m:val="p"/>
          </m:rPr>
          <m:t>5</m:t>
        </m:r>
        <m:sSup>
          <m:sSupPr/>
          <m:e>
            <m:r>
              <m:rPr>
                <m:nor/>
              </m:rPr>
              <m:t xml:space="preserve"> </m:t>
            </m:r>
            <m:r>
              <m:rPr>
                <m:sty m:val="p"/>
              </m:rPr>
              <m:t>mm</m:t>
            </m:r>
          </m:e>
          <m:sup>
            <m:r>
              <m:rPr>
                <m:sty m:val="p"/>
              </m:rPr>
              <m:t>2</m:t>
            </m:r>
          </m:sup>
        </m:sSup>
      </m:oMath>
    </w:p>
    <w:p>
      <w:pPr>
        <w:spacing w:line="271" w:before="330" w:lineRule="auto"/>
      </w:pPr>
      <w:r>
        <w:rPr>
          <w:rFonts w:eastAsia="Georgia" w:cs="Georgia" w:ascii="Georgia" w:hAnsi="Georgia"/>
          <w:b/>
          <w:sz w:val="42"/>
        </w:rPr>
        <w:t xml:space="preserve">Hypothèse du modèle d'étude:</w:t>
      </w:r>
    </w:p>
    <w:p>
      <w:pPr>
        <w:numPr>
          <w:ilvl w:val="0"/>
          <w:numId w:val="4"/>
        </w:numPr>
        <w:spacing w:lineRule="auto"/>
      </w:pPr>
      <w:r>
        <w:rPr>
          <w:rFonts w:eastAsia="Georgia" w:cs="Georgia" w:ascii="Georgia" w:hAnsi="Georgia"/>
        </w:rPr>
        <w:t xml:space="preserve">on néglige tout effet de la pesanteur</w:t>
      </w:r>
    </w:p>
    <w:p>
      <w:pPr>
        <w:numPr>
          <w:ilvl w:val="0"/>
          <w:numId w:val="4"/>
        </w:numPr>
        <w:spacing w:lineRule="auto"/>
      </w:pPr>
      <w:r>
        <w:rPr>
          <w:rFonts w:eastAsia="Georgia" w:cs="Georgia" w:ascii="Georgia" w:hAnsi="Georgia"/>
        </w:rPr>
        <w:t xml:space="preserve">la phase gazeuse est considérée comme parfaite et son volume est très grand devant le volume de la phase condensée en équilibre</w:t>
      </w:r>
    </w:p>
    <w:p>
      <w:pPr>
        <w:numPr>
          <w:ilvl w:val="0"/>
          <w:numId w:val="4"/>
        </w:numPr>
        <w:spacing w:lineRule="auto"/>
      </w:pPr>
      <w:r>
        <w:rPr>
          <w:rFonts w:eastAsia="Georgia" w:cs="Georgia" w:ascii="Georgia" w:hAnsi="Georgia"/>
        </w:rPr>
        <w:t xml:space="preserve">le système est à l'équilibre, chaque phase est donc homogène</w:t>
      </w:r>
    </w:p>
    <w:p>
      <w:pPr>
        <w:numPr>
          <w:ilvl w:val="0"/>
          <w:numId w:val="4"/>
        </w:numPr>
        <w:spacing w:lineRule="auto"/>
      </w:pPr>
      <w:r>
        <w:rPr>
          <w:rFonts w:eastAsia="Georgia" w:cs="Georgia" w:ascii="Georgia" w:hAnsi="Georgia"/>
        </w:rPr>
        <w:t xml:space="preserve">la pression à l'extérieur du creuset est négligeable devant la pression </w:t>
      </w:r>
      <m:oMath>
        <m:sSub>
          <m:sSubPr/>
          <m:e>
            <m:r>
              <m:rPr>
                <m:sty m:val="i"/>
              </m:rPr>
              <m:t>P</m:t>
            </m:r>
          </m:e>
          <m:sub>
            <m:r>
              <m:rPr>
                <m:sty m:val="i"/>
              </m:rPr>
              <m:t>V</m:t>
            </m:r>
          </m:sub>
        </m:sSub>
      </m:oMath>
      <w:r>
        <w:rPr>
          <w:rFonts w:eastAsia="Georgia" w:cs="Georgia" w:ascii="Georgia" w:hAnsi="Georgia"/>
        </w:rPr>
        <w:t xml:space="preserve"> la pression à l'intérieur du creuset</w:t>
      </w:r>
    </w:p>
    <w:p>
      <w:pPr>
        <w:numPr>
          <w:ilvl w:val="0"/>
          <w:numId w:val="4"/>
        </w:numPr>
        <w:spacing w:lineRule="auto"/>
      </w:pPr>
      <w:r>
        <w:rPr/>
        <w:t xml:space="preserve">dans ces conditions, on peut montrer que le flux particules </w:t>
      </w:r>
      <m:oMath>
        <m:r>
          <m:rPr>
            <m:sty m:val="p"/>
          </m:rPr>
          <m:t>Φ</m:t>
        </m:r>
        <m:r>
          <m:rPr>
            <m:sty m:val="p"/>
          </m:rPr>
          <m:t>=</m:t>
        </m:r>
        <m:f>
          <m:fPr>
            <m:ctrlPr>
              <w:rPr>
                <w:rFonts w:ascii="Cambria Math" w:hAnsi="Cambria Math"/>
              </w:rPr>
            </m:ctrlPr>
          </m:fPr>
          <m:num>
            <m:r>
              <m:rPr>
                <m:sty m:val="i"/>
              </m:rPr>
              <m:t>d</m:t>
            </m:r>
            <m:r>
              <m:rPr>
                <m:sty m:val="i"/>
              </m:rPr>
              <m:t>N</m:t>
            </m:r>
          </m:num>
          <m:den>
            <m:r>
              <m:rPr>
                <m:sty m:val="i"/>
              </m:rPr>
              <m:t>d</m:t>
            </m:r>
            <m:r>
              <m:rPr>
                <m:sty m:val="i"/>
              </m:rPr>
              <m:t>t</m:t>
            </m:r>
          </m:den>
        </m:f>
      </m:oMath>
      <w:r>
        <w:rPr>
          <w:rFonts w:eastAsia="Georgia" w:cs="Georgia" w:ascii="Georgia" w:hAnsi="Georgia"/>
        </w:rPr>
        <w:t xml:space="preserve"> à travers une petite section de surface s , c'est-à-dire le nombre de particules traversant une section s par unité de temps s'écrit :</w:t>
      </w:r>
    </w:p>
    <w:p>
      <w:pPr>
        <w:spacing w:after="220" w:lineRule="auto"/>
      </w:pPr>
      <m:oMathPara>
        <m:oMath>
          <m:r>
            <m:rPr>
              <m:sty m:val="p"/>
            </m:rPr>
            <m:t>Φ</m:t>
          </m:r>
          <m:r>
            <m:rPr>
              <m:sty m:val="p"/>
            </m:rPr>
            <m:t>=</m:t>
          </m:r>
          <m:f>
            <m:fPr>
              <m:ctrlPr>
                <w:rPr>
                  <w:rFonts w:ascii="Cambria Math" w:hAnsi="Cambria Math"/>
                </w:rPr>
              </m:ctrlPr>
            </m:fPr>
            <m:num>
              <m:r>
                <m:rPr>
                  <m:sty m:val="i"/>
                </m:rPr>
                <m:t>d</m:t>
              </m:r>
              <m:r>
                <m:rPr>
                  <m:sty m:val="i"/>
                </m:rPr>
                <m:t>N</m:t>
              </m:r>
            </m:num>
            <m:den>
              <m:r>
                <m:rPr>
                  <m:sty m:val="i"/>
                </m:rPr>
                <m:t>d</m:t>
              </m:r>
              <m:r>
                <m:rPr>
                  <m:sty m:val="i"/>
                </m:rPr>
                <m:t>t</m:t>
              </m:r>
            </m:den>
          </m:f>
          <m:r>
            <m:rPr>
              <m:sty m:val="p"/>
            </m:rPr>
            <m:t>=</m:t>
          </m:r>
          <m:rad>
            <m:radPr>
              <m:degHide m:val="1"/>
              <m:ctrlPr>
                <w:rPr>
                  <w:rFonts w:ascii="Cambria Math" w:hAnsi="Cambria Math"/>
                </w:rPr>
              </m:ctrlPr>
            </m:radPr>
            <m:deg/>
            <m:e>
              <m:f>
                <m:fPr>
                  <m:ctrlPr>
                    <w:rPr>
                      <w:rFonts w:ascii="Cambria Math" w:hAnsi="Cambria Math"/>
                    </w:rPr>
                  </m:ctrlPr>
                </m:fPr>
                <m:num>
                  <m:r>
                    <m:rPr>
                      <m:sty m:val="p"/>
                    </m:rPr>
                    <m:t>1</m:t>
                  </m:r>
                </m:num>
                <m:den>
                  <m:r>
                    <m:rPr>
                      <m:sty m:val="p"/>
                    </m:rPr>
                    <m:t>6</m:t>
                  </m:r>
                  <m:r>
                    <m:rPr>
                      <m:sty m:val="i"/>
                    </m:rPr>
                    <m:t>π</m:t>
                  </m:r>
                </m:den>
              </m:f>
            </m:e>
          </m:rad>
          <m:sSub>
            <m:sSubPr/>
            <m:e>
              <m:r>
                <m:rPr>
                  <m:sty m:val="i"/>
                </m:rPr>
                <m:t>N</m:t>
              </m:r>
            </m:e>
            <m:sub>
              <m:r>
                <m:rPr>
                  <m:sty m:val="i"/>
                </m:rPr>
                <m:t>V</m:t>
              </m:r>
            </m:sub>
          </m:sSub>
          <m:sSup>
            <m:sSupPr/>
            <m:e>
              <m:r>
                <m:rPr>
                  <m:sty m:val="i"/>
                </m:rPr>
                <m:t>u</m:t>
              </m:r>
            </m:e>
            <m:sup>
              <m:r>
                <m:rPr>
                  <m:sty m:val="i"/>
                </m:rPr>
                <m:t>a</m:t>
              </m:r>
            </m:sup>
          </m:sSup>
          <m:sSup>
            <m:sSupPr/>
            <m:e>
              <m:r>
                <m:rPr>
                  <m:sty m:val="i"/>
                </m:rPr>
                <m:t>s</m:t>
              </m:r>
            </m:e>
            <m:sup>
              <m:r>
                <m:rPr>
                  <m:sty m:val="i"/>
                </m:rPr>
                <m:t>b</m:t>
              </m:r>
            </m:sup>
          </m:sSup>
        </m:oMath>
      </m:oMathPara>
    </w:p>
    <w:p>
      <w:pPr>
        <w:spacing w:after="220" w:lineRule="auto"/>
      </w:pPr>
      <w:r>
        <w:rPr>
          <w:rFonts w:eastAsia="Georgia" w:cs="Georgia" w:ascii="Georgia" w:hAnsi="Georgia"/>
        </w:rPr>
        <w:t xml:space="preserve">où </w:t>
      </w:r>
      <m:oMath>
        <m:sSub>
          <m:sSubPr/>
          <m:e>
            <m:r>
              <m:rPr>
                <m:sty m:val="i"/>
              </m:rPr>
              <m:t>N</m:t>
            </m:r>
          </m:e>
          <m:sub>
            <m:r>
              <m:rPr>
                <m:sty m:val="i"/>
              </m:rPr>
              <m:t>V</m:t>
            </m:r>
          </m:sub>
        </m:sSub>
      </m:oMath>
      <w:r>
        <w:rPr>
          <w:rFonts w:eastAsia="Georgia" w:cs="Georgia" w:ascii="Georgia" w:hAnsi="Georgia"/>
        </w:rPr>
        <w:t xml:space="preserve"> est le nombre de particules de gaz par unités de volume de gaz, </w:t>
      </w:r>
      <m:oMath>
        <m:r>
          <m:rPr>
            <m:sty m:val="i"/>
          </m:rPr>
          <m:t>u</m:t>
        </m:r>
      </m:oMath>
      <w:r>
        <w:rPr/>
        <w:t xml:space="preserve"> la vitesse quadratique moyenne du gaz et </w:t>
      </w:r>
      <m:oMath>
        <m:r>
          <m:rPr>
            <m:sty m:val="i"/>
          </m:rPr>
          <m:t>a</m:t>
        </m:r>
      </m:oMath>
      <w:r>
        <w:rPr/>
        <w:t xml:space="preserve"> et </w:t>
      </w:r>
      <m:oMath>
        <m:r>
          <m:rPr>
            <m:sty m:val="i"/>
          </m:rPr>
          <m:t>b</m:t>
        </m:r>
      </m:oMath>
      <w:r>
        <w:rPr/>
        <w:t xml:space="preserve"> deux exposants entiers.</w:t>
      </w:r>
    </w:p>
    <w:p>
      <w:pPr>
        <w:spacing w:after="220" w:lineRule="auto"/>
      </w:pPr>
      <w:r>
        <w:rPr>
          <w:rFonts w:eastAsia="Georgia" w:cs="Georgia" w:ascii="Georgia" w:hAnsi="Georgia"/>
        </w:rPr>
        <w:t xml:space="preserve">On commence par étudier le système diphasé dans le creuset.</w:t>
      </w:r>
      <w:r>
        <w:rPr/>
        <w:br w:type="textWrapping"/>
      </w:r>
      <w:r>
        <w:rPr>
          <w:rFonts w:eastAsia="Georgia" w:cs="Georgia" w:ascii="Georgia" w:hAnsi="Georgia"/>
        </w:rPr>
        <w:t xml:space="preserve">Q15. Par une analyse dimensionnelle, déterminer les valeurs des exposants a et </w:t>
      </w:r>
      <m:oMath>
        <m:r>
          <m:rPr>
            <m:sty m:val="i"/>
          </m:rPr>
          <m:t>b</m:t>
        </m:r>
      </m:oMath>
      <w:r>
        <w:rPr/>
        <w:t xml:space="preserve">.</w:t>
      </w:r>
      <w:r>
        <w:rPr/>
        <w:br w:type="textWrapping"/>
      </w:r>
      <w:r>
        <w:rPr>
          <w:rFonts w:eastAsia="Georgia" w:cs="Georgia" w:ascii="Georgia" w:hAnsi="Georgia"/>
        </w:rPr>
        <w:t xml:space="preserve">Q16. Préciser, en le justifiant brièvement, la position des trois phases liquide, gaz et solide sur le diagramme ( </w:t>
      </w:r>
      <m:oMath>
        <m:r>
          <m:rPr>
            <m:sty m:val="p"/>
          </m:rPr>
          <m:t>T</m:t>
        </m:r>
        <m:r>
          <m:rPr>
            <m:sty m:val="p"/>
          </m:rPr>
          <m:t>,</m:t>
        </m:r>
        <m:r>
          <m:rPr>
            <m:sty m:val="p"/>
          </m:rPr>
          <m:t>P</m:t>
        </m:r>
      </m:oMath>
      <w:r>
        <w:rPr/>
        <w:t xml:space="preserve"> ) fourni sur la Figure C .3dans l'Annexe C .</w:t>
      </w:r>
      <w:r>
        <w:rPr/>
        <w:br w:type="textWrapping"/>
      </w:r>
      <w:r>
        <w:rPr>
          <w:rFonts w:eastAsia="Georgia" w:cs="Georgia" w:ascii="Georgia" w:hAnsi="Georgia"/>
        </w:rPr>
        <w:t xml:space="preserve">Q17. Préciser le nom et les caractéristiques particulières des points </w:t>
      </w:r>
      <m:oMath>
        <m:r>
          <m:rPr>
            <m:sty m:val="i"/>
          </m:rPr>
          <m:t>T</m:t>
        </m:r>
      </m:oMath>
      <w:r>
        <w:rPr/>
        <w:t xml:space="preserve"> et </w:t>
      </w:r>
      <m:oMath>
        <m:r>
          <m:rPr>
            <m:sty m:val="i"/>
          </m:rPr>
          <m:t>C</m:t>
        </m:r>
      </m:oMath>
      <w:r>
        <w:rPr/>
        <w:t xml:space="preserve">.</w:t>
      </w:r>
      <w:r>
        <w:rPr/>
        <w:br w:type="textWrapping"/>
      </w:r>
      <w:r>
        <w:rPr>
          <w:rFonts w:eastAsia="Georgia" w:cs="Georgia" w:ascii="Georgia" w:hAnsi="Georgia"/>
        </w:rPr>
        <w:t xml:space="preserve">Q18. En utilisant les données du problème, préciser si, à la température </w:t>
      </w:r>
      <m:oMath>
        <m:sSub>
          <m:sSubPr/>
          <m:e>
            <m:r>
              <m:rPr>
                <m:sty m:val="i"/>
              </m:rPr>
              <m:t>T</m:t>
            </m:r>
          </m:e>
          <m:sub>
            <m:r>
              <m:rPr>
                <m:sty m:val="i"/>
              </m:rPr>
              <m:t>V</m:t>
            </m:r>
          </m:sub>
        </m:sSub>
      </m:oMath>
      <w:r>
        <w:rPr>
          <w:rFonts w:eastAsia="Georgia" w:cs="Georgia" w:ascii="Georgia" w:hAnsi="Georgia"/>
        </w:rPr>
        <w:t xml:space="preserve">, la phase gazeuse est en équilibre avec une phase solide ou avec une phase liquide.</w:t>
      </w:r>
    </w:p>
    <w:p>
      <w:pPr>
        <w:spacing w:after="220" w:lineRule="auto"/>
      </w:pPr>
      <w:r>
        <w:rPr/>
        <w:t xml:space="preserve">On veut maintenant expliciter le flux de particules </w:t>
      </w:r>
      <m:oMath>
        <m:r>
          <m:rPr>
            <m:sty m:val="p"/>
          </m:rPr>
          <m:t>Φ</m:t>
        </m:r>
      </m:oMath>
      <w:r>
        <w:rPr>
          <w:rFonts w:eastAsia="Georgia" w:cs="Georgia" w:ascii="Georgia" w:hAnsi="Georgia"/>
        </w:rPr>
        <w:t xml:space="preserve"> qui s'échappe du creuset.</w:t>
      </w:r>
      <w:r>
        <w:rPr/>
        <w:br w:type="textWrapping"/>
      </w:r>
      <w:r>
        <w:rPr>
          <w:rFonts w:eastAsia="Georgia" w:cs="Georgia" w:ascii="Georgia" w:hAnsi="Georgia"/>
        </w:rPr>
        <w:t xml:space="preserve">Q19. Rappeler la définition de la vitesse quadratique moyenne, notée u.</w:t>
      </w:r>
      <w:r>
        <w:rPr/>
        <w:br w:type="textWrapping"/>
      </w:r>
      <w:r>
        <w:rPr>
          <w:rFonts w:eastAsia="Georgia" w:cs="Georgia" w:ascii="Georgia" w:hAnsi="Georgia"/>
        </w:rPr>
        <w:t xml:space="preserve">Q20. Quelle est la relation entre l'énergie cinétique moyenne d'une particule et la température du gaz d'un gaz parfait monoatomique?</w:t>
      </w:r>
      <w:r>
        <w:rPr/>
        <w:br w:type="textWrapping"/>
      </w:r>
      <w:r>
        <w:rPr>
          <w:rFonts w:eastAsia="Georgia" w:cs="Georgia" w:ascii="Georgia" w:hAnsi="Georgia"/>
        </w:rPr>
        <w:t xml:space="preserve">Q21. En déduire l'expression de la vitesse </w:t>
      </w:r>
      <m:oMath>
        <m:r>
          <m:rPr>
            <m:sty m:val="i"/>
          </m:rPr>
          <m:t>u</m:t>
        </m:r>
      </m:oMath>
      <w:r>
        <w:rPr>
          <w:rFonts w:eastAsia="Georgia" w:cs="Georgia" w:ascii="Georgia" w:hAnsi="Georgia"/>
        </w:rPr>
        <w:t xml:space="preserve"> en fonction de la température du gaz </w:t>
      </w:r>
      <m:oMath>
        <m:sSub>
          <m:sSubPr/>
          <m:e>
            <m:r>
              <m:rPr>
                <m:sty m:val="i"/>
              </m:rPr>
              <m:t>T</m:t>
            </m:r>
          </m:e>
          <m:sub>
            <m:r>
              <m:rPr>
                <m:sty m:val="i"/>
              </m:rPr>
              <m:t>V</m:t>
            </m:r>
          </m:sub>
        </m:sSub>
      </m:oMath>
      <w:r>
        <w:rPr/>
        <w:t xml:space="preserve">, de la masse molaire </w:t>
      </w:r>
      <m:oMath>
        <m:sSub>
          <m:sSubPr/>
          <m:e>
            <m:r>
              <m:rPr>
                <m:sty m:val="i"/>
              </m:rPr>
              <m:t>M</m:t>
            </m:r>
          </m:e>
          <m:sub>
            <m:r>
              <m:rPr>
                <m:sty m:val="i"/>
              </m:rPr>
              <m:t>G</m:t>
            </m:r>
            <m:r>
              <m:rPr>
                <m:sty m:val="i"/>
              </m:rPr>
              <m:t>a</m:t>
            </m:r>
          </m:sub>
        </m:sSub>
      </m:oMath>
      <w:r>
        <w:rPr/>
        <w:t xml:space="preserve"> et de la constante des gaz parfaits </w:t>
      </w:r>
      <m:oMath>
        <m:r>
          <m:rPr>
            <m:sty m:val="i"/>
          </m:rPr>
          <m:t>R</m:t>
        </m:r>
      </m:oMath>
      <w:r>
        <w:rPr/>
        <w:t xml:space="preserve">.</w:t>
      </w:r>
      <w:r>
        <w:rPr/>
        <w:br w:type="textWrapping"/>
      </w:r>
      <w:r>
        <w:rPr>
          <w:rFonts w:eastAsia="Georgia" w:cs="Georgia" w:ascii="Georgia" w:hAnsi="Georgia"/>
        </w:rPr>
        <w:t xml:space="preserve">Q22. En déduire que le flux de particules s'échappant du creuset s'écrit :</w:t>
      </w:r>
    </w:p>
    <w:p>
      <w:pPr>
        <w:spacing w:after="220" w:lineRule="auto"/>
      </w:pPr>
      <m:oMathPara>
        <m:oMath>
          <m:r>
            <m:rPr>
              <m:sty m:val="p"/>
            </m:rPr>
            <m:t>Φ</m:t>
          </m:r>
          <m:r>
            <m:rPr>
              <m:sty m:val="p"/>
            </m:rPr>
            <m:t>=</m:t>
          </m:r>
          <m:f>
            <m:fPr>
              <m:ctrlPr>
                <w:rPr>
                  <w:rFonts w:ascii="Cambria Math" w:hAnsi="Cambria Math"/>
                </w:rPr>
              </m:ctrlPr>
            </m:fPr>
            <m:num>
              <m:sSub>
                <m:sSubPr/>
                <m:e>
                  <m:r>
                    <m:rPr>
                      <m:sty m:val="i"/>
                    </m:rPr>
                    <m:t>P</m:t>
                  </m:r>
                </m:e>
                <m:sub>
                  <m:r>
                    <m:rPr>
                      <m:sty m:val="i"/>
                    </m:rPr>
                    <m:t>V</m:t>
                  </m:r>
                </m:sub>
              </m:sSub>
              <m:sSub>
                <m:sSubPr/>
                <m:e>
                  <m:r>
                    <m:rPr>
                      <m:sty m:val="i"/>
                    </m:rPr>
                    <m:t>N</m:t>
                  </m:r>
                </m:e>
                <m:sub>
                  <m:r>
                    <m:rPr>
                      <m:sty m:val="i"/>
                    </m:rPr>
                    <m:t>A</m:t>
                  </m:r>
                </m:sub>
              </m:sSub>
            </m:num>
            <m:den>
              <m:rad>
                <m:radPr>
                  <m:degHide m:val="1"/>
                  <m:ctrlPr>
                    <w:rPr>
                      <w:rFonts w:ascii="Cambria Math" w:hAnsi="Cambria Math"/>
                    </w:rPr>
                  </m:ctrlPr>
                </m:radPr>
                <m:deg/>
                <m:e>
                  <m:r>
                    <m:rPr>
                      <m:sty m:val="p"/>
                    </m:rPr>
                    <m:t>2</m:t>
                  </m:r>
                  <m:r>
                    <m:rPr>
                      <m:sty m:val="i"/>
                    </m:rPr>
                    <m:t>π</m:t>
                  </m:r>
                  <m:r>
                    <m:rPr>
                      <m:sty m:val="i"/>
                    </m:rPr>
                    <m:t>R</m:t>
                  </m:r>
                  <m:sSub>
                    <m:sSubPr/>
                    <m:e>
                      <m:r>
                        <m:rPr>
                          <m:sty m:val="i"/>
                        </m:rPr>
                        <m:t>M</m:t>
                      </m:r>
                    </m:e>
                    <m:sub>
                      <m:r>
                        <m:rPr>
                          <m:sty m:val="i"/>
                        </m:rPr>
                        <m:t>G</m:t>
                      </m:r>
                      <m:r>
                        <m:rPr>
                          <m:sty m:val="i"/>
                        </m:rPr>
                        <m:t>a</m:t>
                      </m:r>
                    </m:sub>
                  </m:sSub>
                  <m:sSub>
                    <m:sSubPr/>
                    <m:e>
                      <m:r>
                        <m:rPr>
                          <m:sty m:val="i"/>
                        </m:rPr>
                        <m:t>T</m:t>
                      </m:r>
                    </m:e>
                    <m:sub>
                      <m:r>
                        <m:rPr>
                          <m:sty m:val="i"/>
                        </m:rPr>
                        <m:t>V</m:t>
                      </m:r>
                    </m:sub>
                  </m:sSub>
                </m:e>
              </m:rad>
            </m:den>
          </m:f>
          <m:r>
            <m:rPr>
              <m:sty m:val="i"/>
            </m:rPr>
            <m:t>s</m:t>
          </m:r>
        </m:oMath>
      </m:oMathPara>
    </w:p>
    <w:p>
      <w:pPr>
        <w:spacing w:after="220" w:lineRule="auto"/>
      </w:pPr>
      <w:r>
        <w:rPr>
          <w:rFonts w:eastAsia="Georgia" w:cs="Georgia" w:ascii="Georgia" w:hAnsi="Georgia"/>
        </w:rPr>
        <w:t xml:space="preserve">Q23. Expliquer pourquoi, pour un creuset et un composé donné, il suffit de contrôler seulement la température pour contrôler le flux de particules.</w:t>
      </w:r>
    </w:p>
    <w:p>
      <w:pPr>
        <w:spacing w:line="271" w:before="330" w:lineRule="auto"/>
      </w:pPr>
      <w:r>
        <w:rPr>
          <w:b/>
          <w:sz w:val="42"/>
        </w:rPr>
        <w:t xml:space="preserve">De la cellule de Knudsen au substrat:</w:t>
      </w:r>
    </w:p>
    <w:p>
      <w:pPr>
        <w:spacing w:after="220" w:lineRule="auto"/>
      </w:pPr>
      <w:r>
        <w:rPr/>
        <w:t xml:space="preserve">Les atomes de Gallium sortent de la cellule de Knudsen avec un flux de particules </w:t>
      </w:r>
      <m:oMath>
        <m:r>
          <m:rPr>
            <m:sty m:val="p"/>
          </m:rPr>
          <m:t>Φ</m:t>
        </m:r>
      </m:oMath>
      <w:r>
        <w:rPr>
          <w:rFonts w:eastAsia="Georgia" w:cs="Georgia" w:ascii="Georgia" w:hAnsi="Georgia"/>
        </w:rPr>
        <w:t xml:space="preserve"> (nombre d'atomes sortant par unité de temps). Sans interaction et sans choc, ils continuent leur trajectoire, se répartissant dans l'espace. Seule une fraction de ces atomes va atteindre le substrat pour s'y déposer. Cette fraction dépend de la surface </w:t>
      </w:r>
      <m:oMath>
        <m:r>
          <m:rPr>
            <m:sty m:val="i"/>
          </m:rPr>
          <m:t>S</m:t>
        </m:r>
      </m:oMath>
      <w:r>
        <w:rPr/>
        <w:t xml:space="preserve"> du substrat, de la distance </w:t>
      </w:r>
      <m:oMath>
        <m:r>
          <m:rPr>
            <m:sty m:val="i"/>
          </m:rPr>
          <m:t>d</m:t>
        </m:r>
      </m:oMath>
      <w:r>
        <w:rPr/>
        <w:t xml:space="preserve"> entre le trou de la cellule et le substrat et de l'orientation relative de la cellule et le substrat. En notant </w:t>
      </w:r>
      <m:oMath>
        <m:r>
          <m:rPr>
            <m:sty m:val="i"/>
          </m:rPr>
          <m:t>α</m:t>
        </m:r>
      </m:oMath>
      <w:r>
        <w:rPr/>
        <w:t xml:space="preserve"> l'angle entre la normale au trou et l'axe trou-substrat et </w:t>
      </w:r>
      <m:oMath>
        <m:r>
          <m:rPr>
            <m:sty m:val="i"/>
          </m:rPr>
          <m:t>θ</m:t>
        </m:r>
      </m:oMath>
      <w:r>
        <w:rPr/>
        <w:t xml:space="preserve"> l'angle entre la normale au substrat et l'axe trou-substrat (cf. Figure B.3), on montre que la portion de flux </w:t>
      </w:r>
      <m:oMath>
        <m:sSub>
          <m:sSubPr/>
          <m:e>
            <m:r>
              <m:rPr>
                <m:sty m:val="p"/>
              </m:rPr>
              <m:t>Φ</m:t>
            </m:r>
          </m:e>
          <m:sub>
            <m:r>
              <m:rPr>
                <m:sty m:val="p"/>
              </m:rPr>
              <m:t>1</m:t>
            </m:r>
          </m:sub>
        </m:sSub>
      </m:oMath>
      <w:r>
        <w:rPr>
          <w:rFonts w:eastAsia="Georgia" w:cs="Georgia" w:ascii="Georgia" w:hAnsi="Georgia"/>
        </w:rPr>
        <w:t xml:space="preserve"> arrivant sur le substrat s'écrit :</w:t>
      </w:r>
    </w:p>
    <w:p>
      <w:pPr>
        <w:spacing w:after="220" w:lineRule="auto"/>
      </w:pPr>
      <m:oMathPara>
        <m:oMath>
          <m:sSub>
            <m:sSubPr/>
            <m:e>
              <m:r>
                <m:rPr>
                  <m:sty m:val="p"/>
                </m:rPr>
                <m:t>Φ</m:t>
              </m:r>
            </m:e>
            <m:sub>
              <m:r>
                <m:rPr>
                  <m:sty m:val="p"/>
                </m:rPr>
                <m:t>1</m:t>
              </m:r>
            </m:sub>
          </m:sSub>
          <m:r>
            <m:rPr>
              <m:sty m:val="p"/>
            </m:rPr>
            <m:t>=</m:t>
          </m:r>
          <m:r>
            <m:rPr>
              <m:sty m:val="p"/>
            </m:rPr>
            <m:t>Φ</m:t>
          </m:r>
          <m:f>
            <m:fPr>
              <m:ctrlPr>
                <w:rPr>
                  <w:rFonts w:ascii="Cambria Math" w:hAnsi="Cambria Math"/>
                </w:rPr>
              </m:ctrlPr>
            </m:fPr>
            <m:num>
              <m:r>
                <m:rPr>
                  <m:sty m:val="i"/>
                </m:rPr>
                <m:t>S</m:t>
              </m:r>
            </m:num>
            <m:den>
              <m:r>
                <m:rPr>
                  <m:sty m:val="i"/>
                </m:rPr>
                <m:t>π</m:t>
              </m:r>
              <m:sSup>
                <m:sSupPr/>
                <m:e>
                  <m:r>
                    <m:rPr>
                      <m:sty m:val="i"/>
                    </m:rPr>
                    <m:t>d</m:t>
                  </m:r>
                </m:e>
                <m:sup>
                  <m:r>
                    <m:rPr>
                      <m:sty m:val="p"/>
                    </m:rPr>
                    <m:t>2</m:t>
                  </m:r>
                </m:sup>
              </m:sSup>
            </m:den>
          </m:f>
          <m:r>
            <m:rPr>
              <m:sty m:val="p"/>
            </m:rPr>
            <m:t>cos</m:t>
          </m:r>
          <m:r>
            <m:rPr>
              <m:sty m:val="p"/>
            </m:rPr>
            <m:t>⁡</m:t>
          </m:r>
          <m:r>
            <m:rPr>
              <m:sty m:val="i"/>
            </m:rPr>
            <m:t>α</m:t>
          </m:r>
          <m:r>
            <m:rPr>
              <m:sty m:val="p"/>
            </m:rPr>
            <m:t>cos</m:t>
          </m:r>
          <m:r>
            <m:rPr>
              <m:sty m:val="p"/>
            </m:rPr>
            <m:t>⁡</m:t>
          </m:r>
          <m:r>
            <m:rPr>
              <m:sty m:val="i"/>
            </m:rPr>
            <m:t>θ</m:t>
          </m:r>
        </m:oMath>
      </m:oMathPara>
    </w:p>
    <w:p>
      <w:pPr>
        <w:spacing w:lineRule="auto"/>
        <w:jc w:val="center"/>
      </w:pPr>
      <w:r>
        <w:rPr/>
        <w:drawing>
          <wp:inline distB="0" distL="0" distR="0" distT="0">
            <wp:extent cx="5486400" cy="2631283"/>
            <wp:effectExtent b="0" l="0" r="0" t="0"/>
            <wp:docPr id="8" name="image-f6cbdc9ad296da1d1faff2bba6512b1777af3b32.jpg"/>
            <a:graphic>
              <a:graphicData uri="http://schemas.openxmlformats.org/drawingml/2006/picture">
                <pic:pic>
                  <pic:nvPicPr>
                    <pic:cNvPr id="8" name="image-f6cbdc9ad296da1d1faff2bba6512b1777af3b32.jpg" descr=""/>
                    <pic:cNvPicPr/>
                  </pic:nvPicPr>
                  <pic:blipFill>
                    <a:blip r:embed="rId12" cstate="print"/>
                    <a:srcRect b="0" l="0" r="0" t="0"/>
                    <a:stretch>
                      <a:fillRect/>
                    </a:stretch>
                  </pic:blipFill>
                  <pic:spPr>
                    <a:xfrm>
                      <a:off x="0" y="0"/>
                      <a:ext cx="5486400" cy="2631283"/>
                    </a:xfrm>
                    <a:prstGeom prst="rect"/>
                  </pic:spPr>
                </pic:pic>
              </a:graphicData>
            </a:graphic>
          </wp:inline>
        </w:drawing>
      </w:r>
    </w:p>
    <w:p>
      <w:pPr>
        <w:spacing w:line="271" w:before="330" w:lineRule="auto"/>
      </w:pPr>
      <w:r>
        <w:rPr>
          <w:rFonts w:eastAsia="Georgia" w:cs="Georgia" w:ascii="Georgia" w:hAnsi="Georgia"/>
          <w:b/>
          <w:sz w:val="42"/>
        </w:rPr>
        <w:t xml:space="preserve">Données et hypothèses relatives à cette partie:</w:t>
      </w:r>
    </w:p>
    <w:p>
      <w:pPr>
        <w:spacing w:after="220" w:lineRule="auto"/>
      </w:pPr>
      <m:oMathPara>
        <m:oMath>
          <m:r>
            <m:rPr>
              <m:sty m:val="i"/>
            </m:rPr>
            <m:t>d</m:t>
          </m:r>
          <m:r>
            <m:rPr>
              <m:sty m:val="p"/>
            </m:rPr>
            <m:t>=</m:t>
          </m:r>
          <m:r>
            <m:rPr>
              <m:sty m:val="p"/>
            </m:rPr>
            <m:t>2</m:t>
          </m:r>
          <m:r>
            <m:rPr>
              <m:nor/>
            </m:rPr>
            <m:t xml:space="preserve"> </m:t>
          </m:r>
          <m:r>
            <m:rPr>
              <m:sty m:val="p"/>
            </m:rPr>
            <m:t>cm</m:t>
          </m:r>
        </m:oMath>
      </m:oMathPara>
    </w:p>
    <w:p>
      <w:pPr>
        <w:numPr>
          <w:ilvl w:val="0"/>
          <w:numId w:val="5"/>
        </w:numPr>
        <w:spacing w:lineRule="auto"/>
      </w:pPr>
      <w:r>
        <w:rPr/>
        <w:t xml:space="preserve">Distance interatomique des atomes des Gallium sur une monocouche de substrat : </w:t>
      </w:r>
      <m:oMath>
        <m:r>
          <m:rPr>
            <m:sty m:val="i"/>
          </m:rPr>
          <m:t>a</m:t>
        </m:r>
        <m:r>
          <m:rPr>
            <m:sty m:val="p"/>
          </m:rPr>
          <m:t>=</m:t>
        </m:r>
        <m:r>
          <m:rPr>
            <m:sty m:val="p"/>
          </m:rPr>
          <m:t>0</m:t>
        </m:r>
        <m:r>
          <m:rPr>
            <m:sty m:val="p"/>
          </m:rPr>
          <m:t>,</m:t>
        </m:r>
        <m:r>
          <m:rPr>
            <m:sty m:val="p"/>
          </m:rPr>
          <m:t>3</m:t>
        </m:r>
        <m:r>
          <m:rPr>
            <m:nor/>
          </m:rPr>
          <m:t xml:space="preserve"> </m:t>
        </m:r>
        <m:r>
          <m:rPr>
            <m:sty m:val="p"/>
          </m:rPr>
          <m:t>nm</m:t>
        </m:r>
      </m:oMath>
      <w:r>
        <w:rPr>
          <w:rFonts w:eastAsia="Georgia" w:cs="Georgia" w:ascii="Georgia" w:hAnsi="Georgia"/>
        </w:rPr>
        <w:t xml:space="preserve">. Les atomes forment sur une couche un maillage carré.</w:t>
      </w:r>
    </w:p>
    <w:p>
      <w:pPr>
        <w:numPr>
          <w:ilvl w:val="0"/>
          <w:numId w:val="5"/>
        </w:numPr>
        <w:spacing w:lineRule="auto"/>
      </w:pPr>
      <m:oMath>
        <m:r>
          <m:rPr>
            <m:sty m:val="p"/>
          </m:rPr>
          <m:t>Φ</m:t>
        </m:r>
        <m:r>
          <m:rPr>
            <m:sty m:val="p"/>
          </m:rPr>
          <m:t>=</m:t>
        </m:r>
        <m:sSup>
          <m:sSupPr/>
          <m:e>
            <m:r>
              <m:rPr>
                <m:sty m:val="p"/>
              </m:rPr>
              <m:t>10</m:t>
            </m:r>
          </m:e>
          <m:sup>
            <m:r>
              <m:rPr>
                <m:sty m:val="p"/>
              </m:rPr>
              <m:t>16</m:t>
            </m:r>
          </m:sup>
        </m:sSup>
      </m:oMath>
      <w:r>
        <w:rPr/>
        <w:t xml:space="preserve"> atomes.s </w:t>
      </w:r>
      <m:oMath>
        <m:sSup>
          <m:sSupPr/>
          <m:e>
            <m:r>
              <m:t xml:space="preserve"> </m:t>
            </m:r>
          </m:e>
          <m:sup>
            <m:r>
              <m:rPr>
                <m:sty m:val="p"/>
              </m:rPr>
              <m:t>−</m:t>
            </m:r>
            <m:r>
              <m:rPr>
                <m:sty m:val="p"/>
              </m:rPr>
              <m:t>1</m:t>
            </m:r>
          </m:sup>
        </m:sSup>
      </m:oMath>
    </w:p>
    <w:p>
      <w:pPr>
        <w:spacing w:after="220" w:lineRule="auto"/>
      </w:pPr>
      <w:r>
        <w:rPr>
          <w:rFonts w:eastAsia="Georgia" w:cs="Georgia" w:ascii="Georgia" w:hAnsi="Georgia"/>
        </w:rPr>
        <w:t xml:space="preserve">Q24. Commenter la dépendance du rapport </w:t>
      </w:r>
      <m:oMath>
        <m:f>
          <m:fPr>
            <m:ctrlPr>
              <w:rPr>
                <w:rFonts w:ascii="Cambria Math" w:hAnsi="Cambria Math"/>
              </w:rPr>
            </m:ctrlPr>
          </m:fPr>
          <m:num>
            <m:sSub>
              <m:sSubPr/>
              <m:e>
                <m:r>
                  <m:rPr>
                    <m:sty m:val="p"/>
                  </m:rPr>
                  <m:t>Φ</m:t>
                </m:r>
              </m:e>
              <m:sub>
                <m:r>
                  <m:rPr>
                    <m:sty m:val="p"/>
                  </m:rPr>
                  <m:t>1</m:t>
                </m:r>
              </m:sub>
            </m:sSub>
          </m:num>
          <m:den>
            <m:r>
              <m:rPr>
                <m:sty m:val="p"/>
              </m:rPr>
              <m:t>Φ</m:t>
            </m:r>
          </m:den>
        </m:f>
      </m:oMath>
      <w:r>
        <w:rPr>
          <w:rFonts w:eastAsia="Georgia" w:cs="Georgia" w:ascii="Georgia" w:hAnsi="Georgia"/>
        </w:rPr>
        <w:t xml:space="preserve"> vis-à-vis de la surface du substrat et de la distance d (on commentera le fait que ce rapport dépend du carré de d ).</w:t>
      </w:r>
      <w:r>
        <w:rPr/>
        <w:br w:type="textWrapping"/>
      </w:r>
      <w:r>
        <w:rPr/>
        <w:t xml:space="preserve">Q25. On se place dans les conditions optimales </w:t>
      </w:r>
      <m:oMath>
        <m:r>
          <m:rPr>
            <m:sty m:val="i"/>
          </m:rPr>
          <m:t>α</m:t>
        </m:r>
        <m:r>
          <m:rPr>
            <m:sty m:val="p"/>
          </m:rPr>
          <m:t>=</m:t>
        </m:r>
        <m:r>
          <m:rPr>
            <m:sty m:val="i"/>
          </m:rPr>
          <m:t>θ</m:t>
        </m:r>
        <m:r>
          <m:rPr>
            <m:sty m:val="p"/>
          </m:rPr>
          <m:t>=</m:t>
        </m:r>
        <m:sSup>
          <m:sSupPr/>
          <m:e>
            <m:r>
              <m:rPr>
                <m:sty m:val="p"/>
              </m:rPr>
              <m:t>0</m:t>
            </m:r>
          </m:e>
          <m:sup>
            <m:r>
              <m:rPr>
                <m:sty m:val="p"/>
              </m:rPr>
              <m:t>∘</m:t>
            </m:r>
          </m:sup>
        </m:sSup>
      </m:oMath>
      <w:r>
        <w:rPr/>
        <w:t xml:space="preserve">.</w:t>
      </w:r>
      <w:r>
        <w:rPr/>
        <w:br w:type="textWrapping"/>
      </w:r>
      <w:r>
        <w:rPr>
          <w:rFonts w:eastAsia="Georgia" w:cs="Georgia" w:ascii="Georgia" w:hAnsi="Georgia"/>
        </w:rPr>
        <w:t xml:space="preserve">Q25.a. Déterminer le nombre d'atomes composant une monocouche de surface </w:t>
      </w:r>
      <m:oMath>
        <m:r>
          <m:rPr>
            <m:sty m:val="i"/>
          </m:rPr>
          <m:t>S</m:t>
        </m:r>
      </m:oMath>
      <w:r>
        <w:rPr/>
        <w:t xml:space="preserve"> en fonction de </w:t>
      </w:r>
      <m:oMath>
        <m:r>
          <m:rPr>
            <m:sty m:val="i"/>
          </m:rPr>
          <m:t>S</m:t>
        </m:r>
      </m:oMath>
      <w:r>
        <w:rPr/>
        <w:t xml:space="preserve"> et a.</w:t>
      </w:r>
      <w:r>
        <w:rPr/>
        <w:br w:type="textWrapping"/>
      </w:r>
      <w:r>
        <w:rPr>
          <w:rFonts w:eastAsia="Georgia" w:cs="Georgia" w:ascii="Georgia" w:hAnsi="Georgia"/>
        </w:rPr>
        <w:t xml:space="preserve">Q25.b. Estimer le temps nécessaire pour former une monocouche complète en supposant que tout atome arrivant à la surface du substrat s'y fixe en fonction de </w:t>
      </w:r>
      <m:oMath>
        <m:r>
          <m:rPr>
            <m:sty m:val="p"/>
          </m:rPr>
          <m:t>d</m:t>
        </m:r>
        <m:r>
          <m:rPr>
            <m:sty m:val="p"/>
          </m:rPr>
          <m:t>,</m:t>
        </m:r>
        <m:r>
          <m:rPr>
            <m:sty m:val="p"/>
          </m:rPr>
          <m:t>a</m:t>
        </m:r>
      </m:oMath>
      <w:r>
        <w:rPr/>
        <w:t xml:space="preserve"> et </w:t>
      </w:r>
      <m:oMath>
        <m:r>
          <m:rPr>
            <m:sty m:val="p"/>
          </m:rPr>
          <m:t>Φ</m:t>
        </m:r>
      </m:oMath>
      <w:r>
        <w:rPr/>
        <w:t xml:space="preserve">.</w:t>
      </w:r>
      <w:r>
        <w:rPr/>
        <w:br w:type="textWrapping"/>
      </w:r>
      <w:r>
        <w:rPr>
          <w:rFonts w:eastAsia="Georgia" w:cs="Georgia" w:ascii="Georgia" w:hAnsi="Georgia"/>
        </w:rPr>
        <w:t xml:space="preserve">Q25.C. Commenter le temps nécessaire pour fabriquer un composé usuel dont l'épaisseur est de l'ordre du micromètre.</w:t>
      </w:r>
    </w:p>
    <w:p>
      <w:pPr>
        <w:spacing w:line="271" w:before="330" w:lineRule="auto"/>
      </w:pPr>
      <w:r>
        <w:rPr>
          <w:rFonts w:eastAsia="Georgia" w:cs="Georgia" w:ascii="Georgia" w:hAnsi="Georgia"/>
          <w:b/>
          <w:sz w:val="42"/>
        </w:rPr>
        <w:t xml:space="preserve">B. 2 - «Mesure du vide»: les jauges de pression UHV</w:t>
      </w:r>
    </w:p>
    <w:p>
      <w:pPr>
        <w:spacing w:after="220" w:lineRule="auto"/>
      </w:pPr>
      <w:r>
        <w:rPr>
          <w:rFonts w:eastAsia="Georgia" w:cs="Georgia" w:ascii="Georgia" w:hAnsi="Georgia"/>
        </w:rPr>
        <w:t xml:space="preserve">Pour limiter les chocs et les impuretés, on doit imposer une pression dans l'enceinte très faible de l'ordre de </w:t>
      </w:r>
      <m:oMath>
        <m:sSup>
          <m:sSupPr/>
          <m:e>
            <m:r>
              <m:rPr>
                <m:sty m:val="p"/>
              </m:rPr>
              <m:t>10</m:t>
            </m:r>
          </m:e>
          <m:sup>
            <m:r>
              <m:rPr>
                <m:sty m:val="p"/>
              </m:rPr>
              <m:t>−</m:t>
            </m:r>
            <m:r>
              <m:rPr>
                <m:sty m:val="p"/>
              </m:rPr>
              <m:t>8</m:t>
            </m:r>
          </m:sup>
        </m:sSup>
        <m:r>
          <m:rPr>
            <m:nor/>
          </m:rPr>
          <m:t xml:space="preserve"> </m:t>
        </m:r>
        <m:r>
          <m:rPr>
            <m:sty m:val="p"/>
          </m:rPr>
          <m:t>Pa</m:t>
        </m:r>
      </m:oMath>
      <w:r>
        <w:rPr>
          <w:rFonts w:eastAsia="Georgia" w:cs="Georgia" w:ascii="Georgia" w:hAnsi="Georgia"/>
        </w:rPr>
        <w:t xml:space="preserve">. On se propose d'étudier ici un appareil de mesure des faibles pressions : la jauge de Bayard-Alpert.</w:t>
      </w:r>
    </w:p>
    <w:p>
      <w:pPr>
        <w:spacing w:line="271" w:before="330" w:lineRule="auto"/>
      </w:pPr>
      <w:r>
        <w:rPr>
          <w:b/>
          <w:sz w:val="42"/>
        </w:rPr>
        <w:t xml:space="preserve">Principe de la jauge de Bayard-Alpert :</w:t>
      </w:r>
    </w:p>
    <w:p>
      <w:pPr>
        <w:spacing w:after="220" w:lineRule="auto"/>
      </w:pPr>
      <w:r>
        <w:rPr>
          <w:rFonts w:eastAsia="Georgia" w:cs="Georgia" w:ascii="Georgia" w:hAnsi="Georgia"/>
        </w:rPr>
        <w:t xml:space="preserve">Une jauge de Bayard-Alpert est dite de type «ionique». Son principe est basé sur l'accélération d'électron émis par un filament (K) au moyen d'une grille (A) plongée dans le gaz à analyser. Les électrons accélérés, en heurtant les molécules du gaz les ionisent. Les ions ainsi formés sont récoltés par un collecteur (C) situé au centre de la grille. Le nombre d'ions collectés et donc le courant générer dans le collecteur est proportionnel au nombre d'électrons émis et au nombre de particules du gaz, donc indirectement à la pression.</w:t>
      </w:r>
      <w:r>
        <w:rPr/>
        <w:br w:type="textWrapping"/>
      </w:r>
      <w:r>
        <w:rPr>
          <w:rFonts w:eastAsia="Georgia" w:cs="Georgia" w:ascii="Georgia" w:hAnsi="Georgia"/>
        </w:rPr>
        <w:t xml:space="preserve">Pour maximiser le nombre de particules heurtés par les électrons, on</w:t>
      </w:r>
      <w:r>
        <w:rPr/>
        <w:br w:type="textWrapping"/>
      </w:r>
    </w:p>
    <w:p>
      <w:pPr>
        <w:spacing w:lineRule="auto"/>
        <w:jc w:val="center"/>
      </w:pPr>
      <w:r>
        <w:rPr/>
        <w:drawing>
          <wp:inline distB="0" distL="0" distR="0" distT="0">
            <wp:extent cx="3276600" cy="5400675"/>
            <wp:effectExtent b="0" l="0" r="0" t="0"/>
            <wp:docPr id="9" name="image-ab2866c730275c3c61c722ac1aa5d51460d5137b.jpg"/>
            <a:graphic>
              <a:graphicData uri="http://schemas.openxmlformats.org/drawingml/2006/picture">
                <pic:pic>
                  <pic:nvPicPr>
                    <pic:cNvPr id="9" name="image-ab2866c730275c3c61c722ac1aa5d51460d5137b.jpg" descr=""/>
                    <pic:cNvPicPr/>
                  </pic:nvPicPr>
                  <pic:blipFill>
                    <a:blip r:embed="rId13" cstate="print"/>
                    <a:srcRect b="0" l="0" r="0" t="0"/>
                    <a:stretch>
                      <a:fillRect/>
                    </a:stretch>
                  </pic:blipFill>
                  <pic:spPr>
                    <a:xfrm>
                      <a:off x="0" y="0"/>
                      <a:ext cx="3276600" cy="5400675"/>
                    </a:xfrm>
                    <a:prstGeom prst="rect"/>
                  </pic:spPr>
                </pic:pic>
              </a:graphicData>
            </a:graphic>
          </wp:inline>
        </w:drawing>
      </w:r>
    </w:p>
    <w:p>
      <w:pPr>
        <w:spacing w:after="220" w:lineRule="auto"/>
      </w:pPr>
      <w:r>
        <w:rPr/>
        <w:br w:type="textWrapping"/>
      </w:r>
      <w:r>
        <w:rPr>
          <w:rFonts w:eastAsia="Georgia" w:cs="Georgia" w:ascii="Georgia" w:hAnsi="Georgia"/>
        </w:rPr>
        <w:t xml:space="preserve">construit la grille de manière à confiner les électrons dans un mouvement oscillant au sein du gaz : ils sont ainsi certains de finir par heurter une particule du gaz. On se propose ici d'étudier le champ électrique de confinement ainsi créé.</w:t>
      </w:r>
    </w:p>
    <w:p>
      <w:pPr>
        <w:spacing w:line="271" w:before="330" w:lineRule="auto"/>
      </w:pPr>
      <w:r>
        <w:rPr>
          <w:rFonts w:eastAsia="Georgia" w:cs="Georgia" w:ascii="Georgia" w:hAnsi="Georgia"/>
          <w:b/>
          <w:sz w:val="42"/>
        </w:rPr>
        <w:t xml:space="preserve">Modéle pour le calcul du champ électrique intérieur à la grille :</w:t>
      </w:r>
    </w:p>
    <w:p>
      <w:pPr>
        <w:spacing w:after="220" w:lineRule="auto"/>
      </w:pPr>
      <w:r>
        <w:rPr>
          <w:rFonts w:eastAsia="Georgia" w:cs="Georgia" w:ascii="Georgia" w:hAnsi="Georgia"/>
        </w:rPr>
        <w:t xml:space="preserve">La géométrie réelle étant relativement complexe, on utilisera ici le modèle simplifié suivant :</w:t>
      </w:r>
    </w:p>
    <w:p>
      <w:pPr>
        <w:numPr>
          <w:ilvl w:val="0"/>
          <w:numId w:val="6"/>
        </w:numPr>
        <w:spacing w:lineRule="auto"/>
      </w:pPr>
      <w:r>
        <w:rPr>
          <w:rFonts w:eastAsia="Georgia" w:cs="Georgia" w:ascii="Georgia" w:hAnsi="Georgia"/>
        </w:rPr>
        <w:t xml:space="preserve">la grille (A) est un cylindre de longueur infinie et d'épaisseur négligeable et de rayon </w:t>
      </w:r>
      <m:oMath>
        <m:sSub>
          <m:sSubPr/>
          <m:e>
            <m:r>
              <m:rPr>
                <m:sty m:val="i"/>
              </m:rPr>
              <m:t>R</m:t>
            </m:r>
          </m:e>
          <m:sub>
            <m:r>
              <m:rPr>
                <m:sty m:val="i"/>
              </m:rPr>
              <m:t>g</m:t>
            </m:r>
          </m:sub>
        </m:sSub>
      </m:oMath>
      <w:r>
        <w:rPr>
          <w:rFonts w:eastAsia="Georgia" w:cs="Georgia" w:ascii="Georgia" w:hAnsi="Georgia"/>
        </w:rPr>
        <w:t xml:space="preserve">. Elle est porté au potentiel </w:t>
      </w:r>
      <m:oMath>
        <m:sSub>
          <m:sSubPr/>
          <m:e>
            <m:r>
              <m:rPr>
                <m:sty m:val="i"/>
              </m:rPr>
              <m:t>V</m:t>
            </m:r>
          </m:e>
          <m:sub>
            <m:r>
              <m:rPr>
                <m:sty m:val="i"/>
              </m:rPr>
              <m:t>g</m:t>
            </m:r>
          </m:sub>
        </m:sSub>
        <m:r>
          <m:rPr>
            <m:sty m:val="p"/>
          </m:rPr>
          <m:t>=</m:t>
        </m:r>
        <m:r>
          <m:rPr>
            <m:sty m:val="p"/>
          </m:rPr>
          <m:t>+</m:t>
        </m:r>
        <m:r>
          <m:rPr>
            <m:sty m:val="p"/>
          </m:rPr>
          <m:t>180</m:t>
        </m:r>
        <m:r>
          <m:rPr>
            <m:nor/>
          </m:rPr>
          <m:t xml:space="preserve"> </m:t>
        </m:r>
        <m:r>
          <m:rPr>
            <m:sty m:val="p"/>
          </m:rPr>
          <m:t>V</m:t>
        </m:r>
      </m:oMath>
      <w:r>
        <w:rPr/>
        <w:t xml:space="preserve"> uniforme</w:t>
      </w:r>
    </w:p>
    <w:p>
      <w:pPr>
        <w:numPr>
          <w:ilvl w:val="0"/>
          <w:numId w:val="6"/>
        </w:numPr>
        <w:spacing w:lineRule="auto"/>
      </w:pPr>
      <w:r>
        <w:rPr/>
        <w:t xml:space="preserve">le collecteur (C) est un cylindre infini plein de rayon </w:t>
      </w:r>
      <m:oMath>
        <m:sSub>
          <m:sSubPr/>
          <m:e>
            <m:r>
              <m:rPr>
                <m:sty m:val="i"/>
              </m:rPr>
              <m:t>R</m:t>
            </m:r>
          </m:e>
          <m:sub>
            <m:r>
              <m:rPr>
                <m:sty m:val="i"/>
              </m:rPr>
              <m:t>c</m:t>
            </m:r>
          </m:sub>
        </m:sSub>
      </m:oMath>
      <w:r>
        <w:rPr>
          <w:rFonts w:eastAsia="Georgia" w:cs="Georgia" w:ascii="Georgia" w:hAnsi="Georgia"/>
        </w:rPr>
        <w:t xml:space="preserve"> porté au potentiel </w:t>
      </w:r>
      <m:oMath>
        <m:sSub>
          <m:sSubPr/>
          <m:e>
            <m:r>
              <m:rPr>
                <m:sty m:val="i"/>
              </m:rPr>
              <m:t>V</m:t>
            </m:r>
          </m:e>
          <m:sub>
            <m:r>
              <m:rPr>
                <m:sty m:val="i"/>
              </m:rPr>
              <m:t>c</m:t>
            </m:r>
          </m:sub>
        </m:sSub>
        <m:r>
          <m:rPr>
            <m:sty m:val="p"/>
          </m:rPr>
          <m:t>=</m:t>
        </m:r>
        <m:r>
          <m:rPr>
            <m:sty m:val="p"/>
          </m:rPr>
          <m:t>0</m:t>
        </m:r>
        <m:r>
          <m:rPr>
            <m:nor/>
          </m:rPr>
          <m:t xml:space="preserve"> </m:t>
        </m:r>
        <m:r>
          <m:rPr>
            <m:sty m:val="p"/>
          </m:rPr>
          <m:t>V</m:t>
        </m:r>
      </m:oMath>
      <w:r>
        <w:rPr/>
        <w:t xml:space="preserve"> uniforme.</w:t>
      </w:r>
    </w:p>
    <w:p>
      <w:pPr>
        <w:numPr>
          <w:ilvl w:val="0"/>
          <w:numId w:val="6"/>
        </w:numPr>
        <w:spacing w:lineRule="auto"/>
      </w:pPr>
      <w:r>
        <w:rPr>
          <w:rFonts w:eastAsia="Georgia" w:cs="Georgia" w:ascii="Georgia" w:hAnsi="Georgia"/>
        </w:rPr>
        <w:t xml:space="preserve">Une enceinte métallique extérieure (E), cylindrique de rayon </w:t>
      </w:r>
      <m:oMath>
        <m:sSub>
          <m:sSubPr/>
          <m:e>
            <m:r>
              <m:rPr>
                <m:sty m:val="i"/>
              </m:rPr>
              <m:t>R</m:t>
            </m:r>
          </m:e>
          <m:sub>
            <m:r>
              <m:rPr>
                <m:sty m:val="p"/>
              </m:rPr>
              <m:t>2</m:t>
            </m:r>
          </m:sub>
        </m:sSub>
      </m:oMath>
      <w:r>
        <w:rPr/>
        <w:t xml:space="preserve"> est maintenue au potentiel </w:t>
      </w:r>
      <m:oMath>
        <m:sSub>
          <m:sSubPr/>
          <m:e>
            <m:r>
              <m:rPr>
                <m:sty m:val="i"/>
              </m:rPr>
              <m:t>V</m:t>
            </m:r>
          </m:e>
          <m:sub>
            <m:r>
              <m:rPr>
                <m:nor/>
              </m:rPr>
              <m:t>ext </m:t>
            </m:r>
          </m:sub>
        </m:sSub>
        <m:r>
          <m:rPr>
            <m:sty m:val="p"/>
          </m:rPr>
          <m:t>=</m:t>
        </m:r>
        <m:r>
          <m:rPr>
            <m:sty m:val="p"/>
          </m:rPr>
          <m:t>0</m:t>
        </m:r>
        <m:r>
          <m:rPr>
            <m:nor/>
          </m:rPr>
          <m:t xml:space="preserve"> </m:t>
        </m:r>
        <m:r>
          <m:rPr>
            <m:sty m:val="p"/>
          </m:rPr>
          <m:t>V</m:t>
        </m:r>
      </m:oMath>
      <w:r>
        <w:rPr/>
        <w:t xml:space="preserve"> uniforme.</w:t>
      </w:r>
    </w:p>
    <w:p>
      <w:pPr>
        <w:numPr>
          <w:ilvl w:val="0"/>
          <w:numId w:val="6"/>
        </w:numPr>
        <w:spacing w:lineRule="auto"/>
      </w:pPr>
      <w:r>
        <w:rPr>
          <w:rFonts w:eastAsia="Georgia" w:cs="Georgia" w:ascii="Georgia" w:hAnsi="Georgia"/>
        </w:rPr>
        <w:t xml:space="preserve">L'ensemble (A), (C), et (E), formés des cylindres coaxiaux, possède une symétrie cylindrique.</w:t>
      </w:r>
    </w:p>
    <w:p>
      <w:pPr>
        <w:numPr>
          <w:ilvl w:val="0"/>
          <w:numId w:val="6"/>
        </w:numPr>
        <w:spacing w:lineRule="auto"/>
      </w:pPr>
      <w:r>
        <w:rPr>
          <w:rFonts w:eastAsia="Georgia" w:cs="Georgia" w:ascii="Georgia" w:hAnsi="Georgia"/>
        </w:rPr>
        <w:t xml:space="preserve">un filament rectiligne K est positionné parallèlement à l'axe </w:t>
      </w:r>
      <m:oMath>
        <m:sSub>
          <m:sSubPr/>
          <m:e>
            <m:acc>
              <m:accPr>
                <m:chr m:val="⃗"/>
              </m:accPr>
              <m:e>
                <m:r>
                  <m:rPr>
                    <m:sty m:val="i"/>
                  </m:rPr>
                  <m:t>e</m:t>
                </m:r>
              </m:e>
            </m:acc>
          </m:e>
          <m:sub>
            <m:r>
              <m:rPr>
                <m:sty m:val="i"/>
              </m:rPr>
              <m:t>z</m:t>
            </m:r>
          </m:sub>
        </m:sSub>
      </m:oMath>
      <w:r>
        <w:rPr>
          <w:rFonts w:eastAsia="Georgia" w:cs="Georgia" w:ascii="Georgia" w:hAnsi="Georgia"/>
        </w:rPr>
        <w:t xml:space="preserve"> des cylindres, à la distance </w:t>
      </w:r>
      <m:oMath>
        <m:sSub>
          <m:sSubPr/>
          <m:e>
            <m:r>
              <m:rPr>
                <m:sty m:val="i"/>
              </m:rPr>
              <m:t>R</m:t>
            </m:r>
          </m:e>
          <m:sub>
            <m:r>
              <m:rPr>
                <m:sty m:val="i"/>
              </m:rPr>
              <m:t>K</m:t>
            </m:r>
          </m:sub>
        </m:sSub>
      </m:oMath>
      <w:r>
        <w:rPr>
          <w:rFonts w:eastAsia="Georgia" w:cs="Georgia" w:ascii="Georgia" w:hAnsi="Georgia"/>
        </w:rPr>
        <w:t xml:space="preserve"> du centre. On admet que sa présence conserve à l'ensemble </w:t>
      </w:r>
      <m:oMath>
        <m:r>
          <m:rPr>
            <m:sty m:val="p"/>
          </m:rPr>
          <m:t>{</m:t>
        </m:r>
        <m:r>
          <m:rPr>
            <m:sty m:val="p"/>
          </m:rPr>
          <m:t>A</m:t>
        </m:r>
        <m:r>
          <m:rPr>
            <m:sty m:val="p"/>
          </m:rPr>
          <m:t>,</m:t>
        </m:r>
        <m:r>
          <m:rPr>
            <m:sty m:val="p"/>
          </m:rPr>
          <m:t>C</m:t>
        </m:r>
        <m:r>
          <m:rPr>
            <m:sty m:val="p"/>
          </m:rPr>
          <m:t>,</m:t>
        </m:r>
        <m:r>
          <m:rPr>
            <m:sty m:val="p"/>
          </m:rPr>
          <m:t>E</m:t>
        </m:r>
        <m:r>
          <m:rPr>
            <m:sty m:val="p"/>
          </m:rPr>
          <m:t>,</m:t>
        </m:r>
        <m:r>
          <m:rPr>
            <m:sty m:val="p"/>
          </m:rPr>
          <m:t>K</m:t>
        </m:r>
        <m:r>
          <m:rPr>
            <m:sty m:val="p"/>
          </m:rPr>
          <m:t>}</m:t>
        </m:r>
      </m:oMath>
      <w:r>
        <w:rPr>
          <w:rFonts w:eastAsia="Georgia" w:cs="Georgia" w:ascii="Georgia" w:hAnsi="Georgia"/>
        </w:rPr>
        <w:t xml:space="preserve"> la symétrie cylindrique.</w:t>
      </w:r>
    </w:p>
    <w:p>
      <w:pPr>
        <w:numPr>
          <w:ilvl w:val="0"/>
          <w:numId w:val="6"/>
        </w:numPr>
        <w:spacing w:lineRule="auto"/>
      </w:pPr>
      <w:r>
        <w:rPr>
          <w:rFonts w:eastAsia="Georgia" w:cs="Georgia" w:ascii="Georgia" w:hAnsi="Georgia"/>
        </w:rPr>
        <w:t xml:space="preserve">À l'intérieur se trouve un gaz raréfié : le milieu est assimilable au vide.</w:t>
      </w:r>
    </w:p>
    <w:p>
      <w:pPr>
        <w:spacing w:lineRule="auto"/>
        <w:jc w:val="center"/>
      </w:pPr>
      <w:r>
        <w:rPr/>
        <w:drawing>
          <wp:inline distB="0" distL="0" distR="0" distT="0">
            <wp:extent cx="5486400" cy="5568083"/>
            <wp:effectExtent b="0" l="0" r="0" t="0"/>
            <wp:docPr id="10" name="image-40b0cf9660af96a5bc1ed69915ecd15a4400d443.jpg"/>
            <a:graphic>
              <a:graphicData uri="http://schemas.openxmlformats.org/drawingml/2006/picture">
                <pic:pic>
                  <pic:nvPicPr>
                    <pic:cNvPr id="10" name="image-40b0cf9660af96a5bc1ed69915ecd15a4400d443.jpg" descr=""/>
                    <pic:cNvPicPr/>
                  </pic:nvPicPr>
                  <pic:blipFill>
                    <a:blip r:embed="rId14" cstate="print"/>
                    <a:srcRect b="0" l="0" r="0" t="0"/>
                    <a:stretch>
                      <a:fillRect/>
                    </a:stretch>
                  </pic:blipFill>
                  <pic:spPr>
                    <a:xfrm>
                      <a:off x="0" y="0"/>
                      <a:ext cx="5486400" cy="5568083"/>
                    </a:xfrm>
                    <a:prstGeom prst="rect"/>
                  </pic:spPr>
                </pic:pic>
              </a:graphicData>
            </a:graphic>
          </wp:inline>
        </w:drawing>
      </w:r>
    </w:p>
    <w:p>
      <w:pPr>
        <w:spacing w:lineRule="auto"/>
      </w:pPr>
      <w:r>
        <w:rPr/>
        <w:t xml:space="preserve">Figure B.5 :</w:t>
      </w:r>
    </w:p>
    <w:p>
      <w:pPr>
        <w:spacing w:after="220" w:lineRule="auto"/>
      </w:pPr>
      <w:r>
        <w:rPr>
          <w:rFonts w:eastAsia="Georgia" w:cs="Georgia" w:ascii="Georgia" w:hAnsi="Georgia"/>
        </w:rPr>
        <w:t xml:space="preserve">On notera Oz l'axe de symétrie des cylindres (orienté par </w:t>
      </w:r>
      <m:oMath>
        <m:sSub>
          <m:sSubPr/>
          <m:e>
            <m:acc>
              <m:accPr>
                <m:chr m:val="⃗"/>
              </m:accPr>
              <m:e>
                <m:r>
                  <m:rPr>
                    <m:sty m:val="i"/>
                  </m:rPr>
                  <m:t>e</m:t>
                </m:r>
              </m:e>
            </m:acc>
          </m:e>
          <m:sub>
            <m:r>
              <m:rPr>
                <m:sty m:val="i"/>
              </m:rPr>
              <m:t>z</m:t>
            </m:r>
          </m:sub>
        </m:sSub>
      </m:oMath>
      <w:r>
        <w:rPr/>
        <w:t xml:space="preserve"> )</w:t>
      </w:r>
    </w:p>
    <w:p>
      <w:pPr>
        <w:spacing w:after="220" w:lineRule="auto"/>
      </w:pPr>
      <w:r>
        <w:rPr>
          <w:rFonts w:eastAsia="Georgia" w:cs="Georgia" w:ascii="Georgia" w:hAnsi="Georgia"/>
        </w:rPr>
        <w:t xml:space="preserve">Q26. On s'intéresse au champ électrique </w:t>
      </w:r>
      <m:oMath>
        <m:acc>
          <m:accPr>
            <m:chr m:val="⃗"/>
          </m:accPr>
          <m:e>
            <m:r>
              <m:rPr>
                <m:sty m:val="i"/>
              </m:rPr>
              <m:t>E</m:t>
            </m:r>
          </m:e>
        </m:acc>
        <m:r>
          <m:rPr>
            <m:sty m:val="p"/>
          </m:rPr>
          <m:t>(</m:t>
        </m:r>
        <m:r>
          <m:rPr>
            <m:sty m:val="i"/>
          </m:rPr>
          <m:t>M</m:t>
        </m:r>
        <m:r>
          <m:rPr>
            <m:sty m:val="p"/>
          </m:rPr>
          <m:t>)</m:t>
        </m:r>
      </m:oMath>
      <w:r>
        <w:rPr/>
        <w:t xml:space="preserve"> et au potentiel </w:t>
      </w:r>
      <m:oMath>
        <m:r>
          <m:rPr>
            <m:sty m:val="p"/>
          </m:rPr>
          <m:t>V</m:t>
        </m:r>
        <m:r>
          <m:rPr>
            <m:sty m:val="p"/>
          </m:rPr>
          <m:t>(</m:t>
        </m:r>
        <m:r>
          <m:rPr>
            <m:sty m:val="p"/>
          </m:rPr>
          <m:t>M</m:t>
        </m:r>
        <m:r>
          <m:rPr>
            <m:sty m:val="p"/>
          </m:rPr>
          <m:t>)</m:t>
        </m:r>
      </m:oMath>
      <w:r>
        <w:rPr>
          <w:rFonts w:eastAsia="Georgia" w:cs="Georgia" w:ascii="Georgia" w:hAnsi="Georgia"/>
        </w:rPr>
        <w:t xml:space="preserve"> en un point M repéré par ses coordonnées cylindriques </w:t>
      </w:r>
      <m:oMath>
        <m:r>
          <m:rPr>
            <m:sty m:val="p"/>
          </m:rPr>
          <m:t>(</m:t>
        </m:r>
        <m:r>
          <m:rPr>
            <m:sty m:val="i"/>
          </m:rPr>
          <m:t>r</m:t>
        </m:r>
        <m:r>
          <m:rPr>
            <m:sty m:val="p"/>
          </m:rPr>
          <m:t>,</m:t>
        </m:r>
        <m:r>
          <m:rPr>
            <m:sty m:val="i"/>
          </m:rPr>
          <m:t>θ</m:t>
        </m:r>
        <m:r>
          <m:rPr>
            <m:sty m:val="p"/>
          </m:rPr>
          <m:t>,</m:t>
        </m:r>
        <m:r>
          <m:rPr>
            <m:sty m:val="i"/>
          </m:rPr>
          <m:t>z</m:t>
        </m:r>
        <m:r>
          <m:rPr>
            <m:sty m:val="p"/>
          </m:rPr>
          <m:t>)</m:t>
        </m:r>
      </m:oMath>
      <w:r>
        <w:rPr/>
        <w:t xml:space="preserve">.</w:t>
      </w:r>
    </w:p>
    <w:p>
      <w:pPr>
        <w:spacing w:after="220" w:lineRule="auto"/>
      </w:pPr>
      <w:r>
        <w:rPr>
          <w:rFonts w:eastAsia="Georgia" w:cs="Georgia" w:ascii="Georgia" w:hAnsi="Georgia"/>
        </w:rPr>
        <w:t xml:space="preserve">Q26.a. Faire apparaître sur un schéma les vecteurs unitaire ( </w:t>
      </w:r>
      <m:oMath>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r>
          <m:rPr>
            <m:sty m:val="p"/>
          </m:rPr>
          <m:t>,</m:t>
        </m:r>
        <m:sSub>
          <m:sSubPr/>
          <m:e>
            <m:acc>
              <m:accPr>
                <m:chr m:val="⃗"/>
              </m:accPr>
              <m:e>
                <m:r>
                  <m:rPr>
                    <m:sty m:val="i"/>
                  </m:rPr>
                  <m:t>e</m:t>
                </m:r>
              </m:e>
            </m:acc>
          </m:e>
          <m:sub>
            <m:r>
              <m:rPr>
                <m:sty m:val="i"/>
              </m:rPr>
              <m:t>z</m:t>
            </m:r>
          </m:sub>
        </m:sSub>
      </m:oMath>
      <w:r>
        <w:rPr/>
        <w:t xml:space="preserve"> ) de la base cylindrique.</w:t>
      </w:r>
      <w:r>
        <w:rPr/>
        <w:br w:type="textWrapping"/>
      </w:r>
      <w:r>
        <w:rPr>
          <w:rFonts w:eastAsia="Georgia" w:cs="Georgia" w:ascii="Georgia" w:hAnsi="Georgia"/>
        </w:rPr>
        <w:t xml:space="preserve">Q26.b. Expliquer, par des arguments qualitatifs précis, pourquoi on a </w:t>
      </w:r>
      <m:oMath>
        <m:r>
          <m:rPr>
            <m:sty m:val="p"/>
          </m:rPr>
          <m:t>V</m:t>
        </m:r>
        <m:r>
          <m:rPr>
            <m:sty m:val="p"/>
          </m:rPr>
          <m:t>(</m:t>
        </m:r>
        <m:r>
          <m:rPr>
            <m:sty m:val="p"/>
          </m:rPr>
          <m:t>M</m:t>
        </m:r>
        <m:r>
          <m:rPr>
            <m:sty m:val="p"/>
          </m:rPr>
          <m:t>)</m:t>
        </m:r>
        <m:r>
          <m:rPr>
            <m:sty m:val="p"/>
          </m:rPr>
          <m:t>=</m:t>
        </m:r>
        <m:r>
          <m:rPr>
            <m:sty m:val="p"/>
          </m:rPr>
          <m:t>V</m:t>
        </m:r>
        <m:r>
          <m:rPr>
            <m:sty m:val="p"/>
          </m:rPr>
          <m:t>(</m:t>
        </m:r>
        <m:r>
          <m:rPr>
            <m:sty m:val="p"/>
          </m:rPr>
          <m:t>r</m:t>
        </m:r>
        <m:r>
          <m:rPr>
            <m:sty m:val="p"/>
          </m:rPr>
          <m:t>)</m:t>
        </m:r>
      </m:oMath>
      <w:r>
        <w:rPr/>
        <w:t xml:space="preserve"> et </w:t>
      </w:r>
      <m:oMath>
        <m:acc>
          <m:accPr>
            <m:chr m:val="⃗"/>
          </m:accPr>
          <m:e>
            <m:r>
              <m:rPr>
                <m:sty m:val="i"/>
              </m:rPr>
              <m:t>E</m:t>
            </m:r>
          </m:e>
        </m:acc>
        <m:r>
          <m:rPr>
            <m:sty m:val="p"/>
          </m:rPr>
          <m:t>=</m:t>
        </m:r>
        <m:r>
          <m:rPr>
            <m:sty m:val="i"/>
          </m:rPr>
          <m:t>E</m:t>
        </m:r>
        <m:r>
          <m:rPr>
            <m:sty m:val="p"/>
          </m:rPr>
          <m:t>(</m:t>
        </m:r>
        <m:r>
          <m:rPr>
            <m:sty m:val="i"/>
          </m:rPr>
          <m:t>r</m:t>
        </m:r>
        <m:r>
          <m:rPr>
            <m:sty m:val="p"/>
          </m:rPr>
          <m:t>)</m:t>
        </m:r>
        <m:sSub>
          <m:sSubPr/>
          <m:e>
            <m:acc>
              <m:accPr>
                <m:chr m:val="⃗"/>
              </m:accPr>
              <m:e>
                <m:r>
                  <m:rPr>
                    <m:sty m:val="i"/>
                  </m:rPr>
                  <m:t>e</m:t>
                </m:r>
              </m:e>
            </m:acc>
          </m:e>
          <m:sub>
            <m:r>
              <m:rPr>
                <m:sty m:val="i"/>
              </m:rPr>
              <m:t>r</m:t>
            </m:r>
          </m:sub>
        </m:sSub>
      </m:oMath>
      <w:r>
        <w:rPr/>
        <w:t xml:space="preserve">.</w:t>
      </w:r>
      <w:r>
        <w:rPr/>
        <w:br w:type="textWrapping"/>
      </w:r>
      <w:r>
        <w:rPr>
          <w:rFonts w:eastAsia="Georgia" w:cs="Georgia" w:ascii="Georgia" w:hAnsi="Georgia"/>
        </w:rPr>
        <w:t xml:space="preserve">Q27. On cherche à déterminer les grandeurs électrostatiques entre C et A .</w:t>
      </w:r>
      <w:r>
        <w:rPr/>
        <w:br w:type="textWrapping"/>
      </w:r>
      <w:r>
        <w:rPr>
          <w:rFonts w:eastAsia="Georgia" w:cs="Georgia" w:ascii="Georgia" w:hAnsi="Georgia"/>
        </w:rPr>
        <w:t xml:space="preserve">Q27.a. Donner l'équation de Maxwell-Gauss.</w:t>
      </w:r>
      <w:r>
        <w:rPr/>
        <w:br w:type="textWrapping"/>
      </w:r>
      <w:r>
        <w:rPr>
          <w:rFonts w:eastAsia="Georgia" w:cs="Georgia" w:ascii="Georgia" w:hAnsi="Georgia"/>
        </w:rPr>
        <w:t xml:space="preserve">Q27.b. En déduire l'équation différentielle que vérifie le potentiel </w:t>
      </w:r>
      <m:oMath>
        <m:r>
          <m:rPr>
            <m:sty m:val="i"/>
          </m:rPr>
          <m:t>V</m:t>
        </m:r>
        <m:r>
          <m:rPr>
            <m:sty m:val="p"/>
          </m:rPr>
          <m:t>(</m:t>
        </m:r>
        <m:r>
          <m:rPr>
            <m:sty m:val="i"/>
          </m:rPr>
          <m:t>r</m:t>
        </m:r>
        <m:r>
          <m:rPr>
            <m:sty m:val="p"/>
          </m:rPr>
          <m:t>)</m:t>
        </m:r>
      </m:oMath>
      <w:r>
        <w:rPr>
          <w:rFonts w:eastAsia="Georgia" w:cs="Georgia" w:ascii="Georgia" w:hAnsi="Georgia"/>
        </w:rPr>
        <w:t xml:space="preserve"> dans cette zone. (On pourra faire intervenir l'expression du laplacien fourni en fin d'énoncé).</w:t>
      </w:r>
      <w:r>
        <w:rPr/>
        <w:br w:type="textWrapping"/>
      </w:r>
      <w:r>
        <w:rPr/>
        <w:t xml:space="preserve">Q27.c. Exprimer </w:t>
      </w:r>
      <m:oMath>
        <m:r>
          <m:rPr>
            <m:sty m:val="p"/>
          </m:rPr>
          <m:t>V</m:t>
        </m:r>
        <m:r>
          <m:rPr>
            <m:sty m:val="p"/>
          </m:rPr>
          <m:t>(</m:t>
        </m:r>
        <m:r>
          <m:rPr>
            <m:sty m:val="p"/>
          </m:rPr>
          <m:t>r</m:t>
        </m:r>
        <m:r>
          <m:rPr>
            <m:sty m:val="p"/>
          </m:rPr>
          <m:t>)</m:t>
        </m:r>
      </m:oMath>
      <w:r>
        <w:rPr/>
        <w:t xml:space="preserve"> en fonction de </w:t>
      </w:r>
      <m:oMath>
        <m:r>
          <m:rPr>
            <m:sty m:val="i"/>
          </m:rPr>
          <m:t>r</m:t>
        </m:r>
        <m:r>
          <m:rPr>
            <m:sty m:val="p"/>
          </m:rPr>
          <m:t>,</m:t>
        </m:r>
        <m:sSub>
          <m:sSubPr/>
          <m:e>
            <m:r>
              <m:rPr>
                <m:sty m:val="i"/>
              </m:rPr>
              <m:t>R</m:t>
            </m:r>
          </m:e>
          <m:sub>
            <m:r>
              <m:rPr>
                <m:sty m:val="i"/>
              </m:rPr>
              <m:t>g</m:t>
            </m:r>
          </m:sub>
        </m:sSub>
        <m:r>
          <m:rPr>
            <m:sty m:val="p"/>
          </m:rPr>
          <m:t>,</m:t>
        </m:r>
        <m:sSub>
          <m:sSubPr/>
          <m:e>
            <m:r>
              <m:rPr>
                <m:sty m:val="i"/>
              </m:rPr>
              <m:t>R</m:t>
            </m:r>
          </m:e>
          <m:sub>
            <m:r>
              <m:rPr>
                <m:sty m:val="i"/>
              </m:rPr>
              <m:t>c</m:t>
            </m:r>
          </m:sub>
        </m:sSub>
      </m:oMath>
      <w:r>
        <w:rPr/>
        <w:t xml:space="preserve"> et </w:t>
      </w:r>
      <m:oMath>
        <m:sSub>
          <m:sSubPr/>
          <m:e>
            <m:r>
              <m:rPr>
                <m:sty m:val="i"/>
              </m:rPr>
              <m:t>V</m:t>
            </m:r>
          </m:e>
          <m:sub>
            <m:r>
              <m:rPr>
                <m:sty m:val="i"/>
              </m:rPr>
              <m:t>g</m:t>
            </m:r>
          </m:sub>
        </m:sSub>
      </m:oMath>
      <w:r>
        <w:rPr/>
        <w:t xml:space="preserve">.</w:t>
      </w:r>
      <w:r>
        <w:rPr/>
        <w:br w:type="textWrapping"/>
      </w:r>
      <w:r>
        <w:rPr>
          <w:rFonts w:eastAsia="Georgia" w:cs="Georgia" w:ascii="Georgia" w:hAnsi="Georgia"/>
        </w:rPr>
        <w:t xml:space="preserve">Q28. Déduire de la question précédente l'expression du champ </w:t>
      </w:r>
      <m:oMath>
        <m:acc>
          <m:accPr>
            <m:chr m:val="⃗"/>
          </m:accPr>
          <m:e>
            <m:r>
              <m:rPr>
                <m:sty m:val="i"/>
              </m:rPr>
              <m:t>E</m:t>
            </m:r>
          </m:e>
        </m:acc>
        <m:r>
          <m:rPr>
            <m:sty m:val="p"/>
          </m:rPr>
          <m:t>(</m:t>
        </m:r>
        <m:r>
          <m:rPr>
            <m:sty m:val="i"/>
          </m:rPr>
          <m:t>M</m:t>
        </m:r>
        <m:r>
          <m:rPr>
            <m:sty m:val="p"/>
          </m:rPr>
          <m:t>)</m:t>
        </m:r>
      </m:oMath>
      <w:r>
        <w:rPr/>
        <w:t xml:space="preserve"> entre A et C .</w:t>
      </w:r>
    </w:p>
    <w:p>
      <w:pPr>
        <w:spacing w:lineRule="auto"/>
        <w:jc w:val="center"/>
      </w:pPr>
      <w:r>
        <w:rPr/>
        <w:drawing>
          <wp:inline distB="0" distL="0" distR="0" distT="0">
            <wp:extent cx="5486400" cy="4248319"/>
            <wp:effectExtent b="0" l="0" r="0" t="0"/>
            <wp:docPr id="11" name="image-885fca7bc139e9c81cb12bb0ad049d5065f3b2e4.jpg"/>
            <a:graphic>
              <a:graphicData uri="http://schemas.openxmlformats.org/drawingml/2006/picture">
                <pic:pic>
                  <pic:nvPicPr>
                    <pic:cNvPr id="11" name="image-885fca7bc139e9c81cb12bb0ad049d5065f3b2e4.jpg" descr=""/>
                    <pic:cNvPicPr/>
                  </pic:nvPicPr>
                  <pic:blipFill>
                    <a:blip r:embed="rId15" cstate="print"/>
                    <a:srcRect b="0" l="0" r="0" t="0"/>
                    <a:stretch>
                      <a:fillRect/>
                    </a:stretch>
                  </pic:blipFill>
                  <pic:spPr>
                    <a:xfrm>
                      <a:off x="0" y="0"/>
                      <a:ext cx="5486400" cy="4248319"/>
                    </a:xfrm>
                    <a:prstGeom prst="rect"/>
                  </pic:spPr>
                </pic:pic>
              </a:graphicData>
            </a:graphic>
          </wp:inline>
        </w:drawing>
      </w:r>
    </w:p>
    <w:p>
      <w:pPr>
        <w:spacing w:lineRule="auto"/>
      </w:pPr>
      <w:r>
        <w:rPr/>
        <w:t xml:space="preserve">Figure B.6 : Potentiel </w:t>
      </w:r>
      <m:oMath>
        <m:sSub>
          <m:sSubPr/>
          <m:e>
            <m:r>
              <m:rPr>
                <m:sty m:val="i"/>
              </m:rPr>
              <m:t>V</m:t>
            </m:r>
          </m:e>
          <m:sub>
            <m:r>
              <m:rPr>
                <m:nor/>
              </m:rPr>
              <m:t>sim </m:t>
            </m:r>
          </m:sub>
        </m:sSub>
        <m:r>
          <m:rPr>
            <m:sty m:val="p"/>
          </m:rPr>
          <m:t>(</m:t>
        </m:r>
        <m:r>
          <m:rPr>
            <m:sty m:val="i"/>
          </m:rPr>
          <m:t>r</m:t>
        </m:r>
        <m:r>
          <m:rPr>
            <m:sty m:val="p"/>
          </m:rPr>
          <m:t>)</m:t>
        </m:r>
        <m:limUpp>
          <m:limUppPr/>
          <m:e>
            <m:r>
              <m:rPr>
                <m:sty m:val="p"/>
              </m:rPr>
              <m:t>=</m:t>
            </m:r>
          </m:e>
          <m:lim>
            <m:phant>
              <m:phantPr/>
              <m:e>
                <m:r>
                  <m:rPr>
                    <m:sty m:val="p"/>
                  </m:rPr>
                  <m:t>(</m:t>
                </m:r>
                <m:r>
                  <m:rPr>
                    <m:sty m:val="p"/>
                  </m:rPr>
                  <m:t>r</m:t>
                </m:r>
                <m:r>
                  <m:rPr>
                    <m:nor/>
                  </m:rPr>
                  <m:t> est en </m:t>
                </m:r>
                <m:r>
                  <m:rPr>
                    <m:sty m:val="p"/>
                  </m:rPr>
                  <m:t>mm</m:t>
                </m:r>
                <m:r>
                  <m:rPr>
                    <m:sty m:val="p"/>
                  </m:rPr>
                  <m:t>)</m:t>
                </m:r>
                <m:r>
                  <m:rPr>
                    <m:sty m:val="p"/>
                  </m:rPr>
                  <m:t xml:space="preserve"> </m:t>
                </m:r>
              </m:e>
            </m:phant>
          </m:lim>
        </m:limUpp>
      </m:oMath>
    </w:p>
    <w:p>
      <w:pPr>
        <w:spacing w:after="220" w:lineRule="auto"/>
      </w:pPr>
      <w:r>
        <w:rPr>
          <w:rFonts w:eastAsia="Georgia" w:cs="Georgia" w:ascii="Georgia" w:hAnsi="Georgia"/>
        </w:rPr>
        <w:t xml:space="preserve">Q29. L'allure du champ électrique en tout point intérieur de la jauge est donné sur la Figure B.6. représentant </w:t>
      </w:r>
      <m:oMath>
        <m:sSub>
          <m:sSubPr/>
          <m:e>
            <m:r>
              <m:rPr>
                <m:sty m:val="i"/>
              </m:rPr>
              <m:t>V</m:t>
            </m:r>
          </m:e>
          <m:sub>
            <m:r>
              <m:rPr>
                <m:nor/>
              </m:rPr>
              <m:t>sim </m:t>
            </m:r>
          </m:sub>
        </m:sSub>
        <m:r>
          <m:rPr>
            <m:sty m:val="p"/>
          </m:rPr>
          <m:t>(</m:t>
        </m:r>
        <m:r>
          <m:rPr>
            <m:sty m:val="i"/>
          </m:rPr>
          <m:t>M</m:t>
        </m:r>
        <m:r>
          <m:rPr>
            <m:sty m:val="p"/>
          </m:rPr>
          <m:t>)</m:t>
        </m:r>
        <m:r>
          <m:rPr>
            <m:sty m:val="p"/>
          </m:rPr>
          <m:t>=</m:t>
        </m:r>
        <m:sSub>
          <m:sSubPr/>
          <m:e>
            <m:r>
              <m:rPr>
                <m:sty m:val="i"/>
              </m:rPr>
              <m:t>V</m:t>
            </m:r>
          </m:e>
          <m:sub>
            <m:r>
              <m:rPr>
                <m:nor/>
              </m:rPr>
              <m:t>sim </m:t>
            </m:r>
          </m:sub>
        </m:sSub>
        <m:r>
          <m:rPr>
            <m:sty m:val="p"/>
          </m:rPr>
          <m:t>(</m:t>
        </m:r>
        <m:r>
          <m:rPr>
            <m:sty m:val="i"/>
          </m:rPr>
          <m:t>r</m:t>
        </m:r>
        <m:r>
          <m:rPr>
            <m:sty m:val="p"/>
          </m:rPr>
          <m:t>)</m:t>
        </m:r>
      </m:oMath>
      <w:r>
        <w:rPr/>
        <w:t xml:space="preserve"> en fonction de r.</w:t>
      </w:r>
    </w:p>
    <w:p>
      <w:pPr>
        <w:spacing w:after="220" w:lineRule="auto"/>
      </w:pPr>
      <w:r>
        <w:rPr/>
        <w:t xml:space="preserve">Q29.a. A partir de ce graphique, donner une estimation de </w:t>
      </w:r>
      <m:oMath>
        <m:sSub>
          <m:sSubPr/>
          <m:e>
            <m:r>
              <m:rPr>
                <m:sty m:val="i"/>
              </m:rPr>
              <m:t>R</m:t>
            </m:r>
          </m:e>
          <m:sub>
            <m:r>
              <m:rPr>
                <m:sty m:val="i"/>
              </m:rPr>
              <m:t>c</m:t>
            </m:r>
          </m:sub>
        </m:sSub>
      </m:oMath>
      <w:r>
        <w:rPr/>
        <w:t xml:space="preserve"> et </w:t>
      </w:r>
      <m:oMath>
        <m:sSub>
          <m:sSubPr/>
          <m:e>
            <m:r>
              <m:rPr>
                <m:sty m:val="i"/>
              </m:rPr>
              <m:t>R</m:t>
            </m:r>
          </m:e>
          <m:sub>
            <m:r>
              <m:rPr>
                <m:sty m:val="i"/>
              </m:rPr>
              <m:t>g</m:t>
            </m:r>
          </m:sub>
        </m:sSub>
      </m:oMath>
      <w:r>
        <w:rPr/>
        <w:t xml:space="preserve">.</w:t>
      </w:r>
      <w:r>
        <w:rPr/>
        <w:br w:type="textWrapping"/>
      </w:r>
      <w:r>
        <w:rPr>
          <w:rFonts w:eastAsia="Georgia" w:cs="Georgia" w:ascii="Georgia" w:hAnsi="Georgia"/>
        </w:rPr>
        <w:t xml:space="preserve">Q29.b. Donner l'équation littérale du potentiel </w:t>
      </w:r>
      <m:oMath>
        <m:r>
          <m:rPr>
            <m:sty m:val="p"/>
          </m:rPr>
          <m:t>V</m:t>
        </m:r>
        <m:r>
          <m:rPr>
            <m:sty m:val="p"/>
          </m:rPr>
          <m:t>(</m:t>
        </m:r>
        <m:r>
          <m:rPr>
            <m:sty m:val="p"/>
          </m:rPr>
          <m:t>r</m:t>
        </m:r>
        <m:r>
          <m:rPr>
            <m:sty m:val="p"/>
          </m:rPr>
          <m:t>)</m:t>
        </m:r>
      </m:oMath>
      <w:r>
        <w:rPr/>
        <w:t xml:space="preserve"> entre G et E .</w:t>
      </w:r>
      <w:r>
        <w:rPr/>
        <w:br w:type="textWrapping"/>
      </w:r>
      <w:r>
        <w:rPr>
          <w:rFonts w:eastAsia="Georgia" w:cs="Georgia" w:ascii="Georgia" w:hAnsi="Georgia"/>
        </w:rPr>
        <w:t xml:space="preserve">Q29.c. En déduire l'expression littérale du champ électrique </w:t>
      </w:r>
      <m:oMath>
        <m:acc>
          <m:accPr>
            <m:chr m:val="⃗"/>
          </m:accPr>
          <m:e>
            <m:r>
              <m:rPr>
                <m:sty m:val="i"/>
              </m:rPr>
              <m:t>E</m:t>
            </m:r>
          </m:e>
        </m:acc>
      </m:oMath>
      <w:r>
        <w:rPr/>
        <w:t xml:space="preserve"> entre G et E .</w:t>
      </w:r>
      <w:r>
        <w:rPr/>
        <w:br w:type="textWrapping"/>
      </w:r>
      <w:r>
        <w:rPr>
          <w:rFonts w:eastAsia="Georgia" w:cs="Georgia" w:ascii="Georgia" w:hAnsi="Georgia"/>
        </w:rPr>
        <w:t xml:space="preserve">Q29.d. Reproduire la Figure B. 5 et représenter les lignes de champ électrique en précisant leur orientation.</w:t>
      </w:r>
      <w:r>
        <w:rPr/>
        <w:br w:type="textWrapping"/>
      </w:r>
      <w:r>
        <w:rPr>
          <w:rFonts w:eastAsia="Georgia" w:cs="Georgia" w:ascii="Georgia" w:hAnsi="Georgia"/>
        </w:rPr>
        <w:t xml:space="preserve">On s'intéresse à présent, au comportement des électrons émis par K. Ils sont libérés avec une vitesse très faible, K étant au potentiel </w:t>
      </w:r>
      <m:oMath>
        <m:sSub>
          <m:sSubPr/>
          <m:e>
            <m:r>
              <m:rPr>
                <m:sty m:val="i"/>
              </m:rPr>
              <m:t>V</m:t>
            </m:r>
          </m:e>
          <m:sub>
            <m:r>
              <m:rPr>
                <m:sty m:val="i"/>
              </m:rPr>
              <m:t>K</m:t>
            </m:r>
          </m:sub>
        </m:sSub>
        <m:r>
          <m:rPr>
            <m:sty m:val="p"/>
          </m:rPr>
          <m:t>=</m:t>
        </m:r>
        <m:r>
          <m:rPr>
            <m:sty m:val="p"/>
          </m:rPr>
          <m:t>80</m:t>
        </m:r>
        <m:r>
          <m:rPr>
            <m:nor/>
          </m:rPr>
          <m:t xml:space="preserve"> </m:t>
        </m:r>
        <m:r>
          <m:rPr>
            <m:sty m:val="p"/>
          </m:rPr>
          <m:t>V</m:t>
        </m:r>
      </m:oMath>
      <w:r>
        <w:rPr/>
        <w:t xml:space="preserve">.</w:t>
      </w:r>
      <w:r>
        <w:rPr/>
        <w:br w:type="textWrapping"/>
      </w:r>
      <w:r>
        <w:rPr>
          <w:rFonts w:eastAsia="Georgia" w:cs="Georgia" w:ascii="Georgia" w:hAnsi="Georgia"/>
        </w:rPr>
        <w:t xml:space="preserve">Q30. Estimer numériquement la position </w:t>
      </w:r>
      <m:oMath>
        <m:sSub>
          <m:sSubPr/>
          <m:e>
            <m:r>
              <m:rPr>
                <m:sty m:val="i"/>
              </m:rPr>
              <m:t>R</m:t>
            </m:r>
          </m:e>
          <m:sub>
            <m:r>
              <m:rPr>
                <m:sty m:val="i"/>
              </m:rPr>
              <m:t>K</m:t>
            </m:r>
          </m:sub>
        </m:sSub>
      </m:oMath>
      <w:r>
        <w:rPr>
          <w:rFonts w:eastAsia="Georgia" w:cs="Georgia" w:ascii="Georgia" w:hAnsi="Georgia"/>
        </w:rPr>
        <w:t xml:space="preserve"> du filament (situé entre G et E ).</w:t>
      </w:r>
      <w:r>
        <w:rPr/>
        <w:br w:type="textWrapping"/>
      </w:r>
      <w:r>
        <w:rPr>
          <w:rFonts w:eastAsia="Georgia" w:cs="Georgia" w:ascii="Georgia" w:hAnsi="Georgia"/>
        </w:rPr>
        <w:t xml:space="preserve">Q31. On fait l'hypothèse d'une émission d'électrons à vitesse initiale nulle ( </w:t>
      </w:r>
      <m:oMath>
        <m:sSub>
          <m:sSubPr/>
          <m:e>
            <m:r>
              <m:rPr>
                <m:sty m:val="i"/>
              </m:rPr>
              <m:t>v</m:t>
            </m:r>
          </m:e>
          <m:sub>
            <m:r>
              <m:rPr>
                <m:sty m:val="i"/>
              </m:rPr>
              <m:t>K</m:t>
            </m:r>
          </m:sub>
        </m:sSub>
        <m:r>
          <m:rPr>
            <m:sty m:val="p"/>
          </m:rPr>
          <m:t>=</m:t>
        </m:r>
        <m:r>
          <m:rPr>
            <m:sty m:val="p"/>
          </m:rPr>
          <m:t>0</m:t>
        </m:r>
      </m:oMath>
      <w:r>
        <w:rPr>
          <w:rFonts w:eastAsia="Georgia" w:cs="Georgia" w:ascii="Georgia" w:hAnsi="Georgia"/>
        </w:rPr>
        <w:t xml:space="preserve"> ). On suppose de plus que l'électron n'est soumis qu'à l'action du champ électrique étudié précédemment.</w:t>
      </w:r>
    </w:p>
    <w:p>
      <w:pPr>
        <w:spacing w:after="220" w:lineRule="auto"/>
      </w:pPr>
      <w:r>
        <w:rPr>
          <w:rFonts w:eastAsia="Georgia" w:cs="Georgia" w:ascii="Georgia" w:hAnsi="Georgia"/>
        </w:rPr>
        <w:t xml:space="preserve">Q31.a. Montrer que la trajectoire de l'électron est rectiligne.</w:t>
      </w:r>
      <w:r>
        <w:rPr/>
        <w:br w:type="textWrapping"/>
      </w:r>
      <w:r>
        <w:rPr>
          <w:rFonts w:eastAsia="Georgia" w:cs="Georgia" w:ascii="Georgia" w:hAnsi="Georgia"/>
        </w:rPr>
        <w:t xml:space="preserve">Q31.b. Donner l'expression de l'énergie potentielle </w:t>
      </w:r>
      <m:oMath>
        <m:sSub>
          <m:sSubPr/>
          <m:e>
            <m:r>
              <m:rPr>
                <m:sty m:val="i"/>
              </m:rPr>
              <m:t>E</m:t>
            </m:r>
          </m:e>
          <m:sub>
            <m:r>
              <m:rPr>
                <m:sty m:val="i"/>
              </m:rPr>
              <m:t>p</m:t>
            </m:r>
          </m:sub>
        </m:sSub>
        <m:r>
          <m:rPr>
            <m:sty m:val="p"/>
          </m:rPr>
          <m:t>(</m:t>
        </m:r>
        <m:r>
          <m:rPr>
            <m:sty m:val="i"/>
          </m:rPr>
          <m:t>r</m:t>
        </m:r>
        <m:r>
          <m:rPr>
            <m:sty m:val="p"/>
          </m:rPr>
          <m:t>)</m:t>
        </m:r>
      </m:oMath>
      <w:r>
        <w:rPr>
          <w:rFonts w:eastAsia="Georgia" w:cs="Georgia" w:ascii="Georgia" w:hAnsi="Georgia"/>
        </w:rPr>
        <w:t xml:space="preserve"> d'un électron dans le champ électrique </w:t>
      </w:r>
      <m:oMath>
        <m:acc>
          <m:accPr>
            <m:chr m:val="⃗"/>
          </m:accPr>
          <m:e>
            <m:r>
              <m:rPr>
                <m:sty m:val="i"/>
              </m:rPr>
              <m:t>E</m:t>
            </m:r>
          </m:e>
        </m:acc>
      </m:oMath>
      <w:r>
        <w:rPr/>
        <w:t xml:space="preserve">.</w:t>
      </w:r>
      <w:r>
        <w:rPr/>
        <w:br w:type="textWrapping"/>
      </w:r>
      <w:r>
        <w:rPr>
          <w:rFonts w:eastAsia="Georgia" w:cs="Georgia" w:ascii="Georgia" w:hAnsi="Georgia"/>
        </w:rPr>
        <w:t xml:space="preserve">Q31.c. Montrer que l'énergie mécanique de l'électron émis se conserve.</w:t>
      </w:r>
      <w:r>
        <w:rPr/>
        <w:br w:type="textWrapping"/>
      </w:r>
      <w:r>
        <w:rPr>
          <w:rFonts w:eastAsia="Georgia" w:cs="Georgia" w:ascii="Georgia" w:hAnsi="Georgia"/>
        </w:rPr>
        <w:t xml:space="preserve">Q31.d. Représenter graphiquement </w:t>
      </w:r>
      <m:oMath>
        <m:sSub>
          <m:sSubPr/>
          <m:e>
            <m:r>
              <m:rPr>
                <m:sty m:val="i"/>
              </m:rPr>
              <m:t>E</m:t>
            </m:r>
          </m:e>
          <m:sub>
            <m:r>
              <m:rPr>
                <m:sty m:val="i"/>
              </m:rPr>
              <m:t>p</m:t>
            </m:r>
          </m:sub>
        </m:sSub>
        <m:r>
          <m:rPr>
            <m:sty m:val="p"/>
          </m:rPr>
          <m:t>(</m:t>
        </m:r>
        <m:r>
          <m:rPr>
            <m:sty m:val="i"/>
          </m:rPr>
          <m:t>r</m:t>
        </m:r>
        <m:r>
          <m:rPr>
            <m:sty m:val="p"/>
          </m:rPr>
          <m:t>)</m:t>
        </m:r>
      </m:oMath>
      <w:r>
        <w:rPr>
          <w:rFonts w:eastAsia="Georgia" w:cs="Georgia" w:ascii="Georgia" w:hAnsi="Georgia"/>
        </w:rPr>
        <w:t xml:space="preserve"> puis reporter sur un même graphique </w:t>
      </w:r>
      <m:oMath>
        <m:sSub>
          <m:sSubPr/>
          <m:e>
            <m:r>
              <m:rPr>
                <m:sty m:val="i"/>
              </m:rPr>
              <m:t>E</m:t>
            </m:r>
          </m:e>
          <m:sub>
            <m:r>
              <m:rPr>
                <m:sty m:val="i"/>
              </m:rPr>
              <m:t>m</m:t>
            </m:r>
          </m:sub>
        </m:sSub>
      </m:oMath>
      <w:r>
        <w:rPr/>
        <w:br w:type="textWrapping"/>
      </w:r>
      <w:r>
        <w:rPr>
          <w:rFonts w:eastAsia="Georgia" w:cs="Georgia" w:ascii="Georgia" w:hAnsi="Georgia"/>
        </w:rPr>
        <w:t xml:space="preserve">Q31.e. En déduire que l'électron est piégé dans une portion d'espace comprise entre deux cylindres de rayons </w:t>
      </w:r>
      <m:oMath>
        <m:sSub>
          <m:sSubPr/>
          <m:e>
            <m:r>
              <m:rPr>
                <m:sty m:val="i"/>
              </m:rPr>
              <m:t>r</m:t>
            </m:r>
          </m:e>
          <m:sub>
            <m:r>
              <m:rPr>
                <m:nor/>
              </m:rPr>
              <m:t>min </m:t>
            </m:r>
          </m:sub>
        </m:sSub>
      </m:oMath>
      <w:r>
        <w:rPr/>
        <w:t xml:space="preserve"> et </w:t>
      </w:r>
      <m:oMath>
        <m:sSub>
          <m:sSubPr/>
          <m:e>
            <m:r>
              <m:rPr>
                <m:sty m:val="i"/>
              </m:rPr>
              <m:t>r</m:t>
            </m:r>
          </m:e>
          <m:sub>
            <m:r>
              <m:rPr>
                <m:nor/>
              </m:rPr>
              <m:t>max </m:t>
            </m:r>
          </m:sub>
        </m:sSub>
      </m:oMath>
      <w:r>
        <w:rPr/>
        <w:t xml:space="preserve">. Estimer les valeurs de </w:t>
      </w:r>
      <m:oMath>
        <m:sSub>
          <m:sSubPr/>
          <m:e>
            <m:r>
              <m:rPr>
                <m:sty m:val="i"/>
              </m:rPr>
              <m:t>r</m:t>
            </m:r>
          </m:e>
          <m:sub>
            <m:r>
              <m:rPr>
                <m:nor/>
              </m:rPr>
              <m:t>min </m:t>
            </m:r>
          </m:sub>
        </m:sSub>
      </m:oMath>
      <w:r>
        <w:rPr/>
        <w:t xml:space="preserve"> et </w:t>
      </w:r>
      <m:oMath>
        <m:sSub>
          <m:sSubPr/>
          <m:e>
            <m:r>
              <m:rPr>
                <m:sty m:val="i"/>
              </m:rPr>
              <m:t>r</m:t>
            </m:r>
          </m:e>
          <m:sub>
            <m:r>
              <m:rPr>
                <m:nor/>
              </m:rPr>
              <m:t>max </m:t>
            </m:r>
          </m:sub>
        </m:sSub>
      </m:oMath>
      <w:r>
        <w:rPr/>
        <w:t xml:space="preserve">.</w:t>
      </w:r>
    </w:p>
    <w:p>
      <w:pPr>
        <w:spacing w:after="220" w:lineRule="auto"/>
      </w:pPr>
      <w:r>
        <w:rPr>
          <w:rFonts w:eastAsia="Georgia" w:cs="Georgia" w:ascii="Georgia" w:hAnsi="Georgia"/>
        </w:rPr>
        <w:t xml:space="preserve">Q32. En réalité, l'électron est émis avec une vitesse faible mais non nulle. On s'intéresse aux électrons émis avec une vitesse perpendiculaire à Oz.</w:t>
      </w:r>
    </w:p>
    <w:p>
      <w:pPr>
        <w:spacing w:after="220" w:lineRule="auto"/>
      </w:pPr>
      <w:r>
        <w:rPr>
          <w:rFonts w:eastAsia="Georgia" w:cs="Georgia" w:ascii="Georgia" w:hAnsi="Georgia"/>
        </w:rPr>
        <w:t xml:space="preserve">Q32.a. Tant qu'ils ne subissent pas de choc (sur un atome ou sur la grille), les électrons ne sont soumis qu'à l'action du champ électrique. Montrer que le moment cinétique de l'électron sur l'axe Oz , noté </w:t>
      </w:r>
      <m:oMath>
        <m:sSub>
          <m:sSubPr/>
          <m:e>
            <m:r>
              <m:rPr>
                <m:sty m:val="i"/>
              </m:rPr>
              <m:t>L</m:t>
            </m:r>
          </m:e>
          <m:sub>
            <m:r>
              <m:rPr>
                <m:sty m:val="i"/>
              </m:rPr>
              <m:t>z</m:t>
            </m:r>
          </m:sub>
        </m:sSub>
      </m:oMath>
      <w:r>
        <w:rPr>
          <w:rFonts w:eastAsia="Georgia" w:cs="Georgia" w:ascii="Georgia" w:hAnsi="Georgia"/>
        </w:rPr>
        <w:t xml:space="preserve">, est conservé. On pourra utilisé la grandeur </w:t>
      </w:r>
      <m:oMath>
        <m:sSub>
          <m:sSubPr/>
          <m:e>
            <m:r>
              <m:rPr>
                <m:sty m:val="i"/>
              </m:rPr>
              <m:t>L</m:t>
            </m:r>
          </m:e>
          <m:sub>
            <m:r>
              <m:rPr>
                <m:sty m:val="i"/>
              </m:rPr>
              <m:t>z</m:t>
            </m:r>
          </m:sub>
        </m:sSub>
      </m:oMath>
      <w:r>
        <w:rPr/>
        <w:t xml:space="preserve"> pour la suite.</w:t>
      </w:r>
      <w:r>
        <w:rPr/>
        <w:br w:type="textWrapping"/>
      </w:r>
      <w:r>
        <w:rPr>
          <w:rFonts w:eastAsia="Georgia" w:cs="Georgia" w:ascii="Georgia" w:hAnsi="Georgia"/>
        </w:rPr>
        <w:t xml:space="preserve">Q32.b. Montrer que l'énergie mécanique peut s'écrire sous la forme : </w:t>
      </w:r>
      <m:oMath>
        <m:sSub>
          <m:sSubPr/>
          <m:e>
            <m:r>
              <m:rPr>
                <m:sty m:val="i"/>
              </m:rPr>
              <m:t>E</m:t>
            </m:r>
          </m:e>
          <m:sub>
            <m:r>
              <m:rPr>
                <m:sty m:val="i"/>
              </m:rPr>
              <m:t>m</m:t>
            </m:r>
          </m:sub>
        </m:sSub>
        <m:r>
          <m:rPr>
            <m:sty m:val="p"/>
          </m:rPr>
          <m:t>=</m:t>
        </m:r>
        <m:f>
          <m:fPr>
            <m:ctrlPr>
              <w:rPr>
                <w:rFonts w:ascii="Cambria Math" w:hAnsi="Cambria Math"/>
              </w:rPr>
            </m:ctrlPr>
          </m:fPr>
          <m:num>
            <m:r>
              <m:rPr>
                <m:sty m:val="p"/>
              </m:rPr>
              <m:t>1</m:t>
            </m:r>
          </m:num>
          <m:den>
            <m:r>
              <m:rPr>
                <m:sty m:val="p"/>
              </m:rPr>
              <m:t>2</m:t>
            </m:r>
          </m:den>
        </m:f>
        <m:sSub>
          <m:sSubPr/>
          <m:e>
            <m:r>
              <m:rPr>
                <m:sty m:val="i"/>
              </m:rPr>
              <m:t>m</m:t>
            </m:r>
          </m:e>
          <m:sub>
            <m:r>
              <m:rPr>
                <m:sty m:val="i"/>
              </m:rPr>
              <m:t>e</m:t>
            </m:r>
          </m:sub>
        </m:sSub>
        <m:sSup>
          <m:sSupPr/>
          <m:e>
            <m:acc>
              <m:accPr>
                <m:chr m:val="˙"/>
              </m:accPr>
              <m:e>
                <m:r>
                  <m:rPr>
                    <m:sty m:val="i"/>
                  </m:rPr>
                  <m:t>r</m:t>
                </m:r>
              </m:e>
            </m:acc>
          </m:e>
          <m:sup>
            <m:r>
              <m:rPr>
                <m:sty m:val="p"/>
              </m:rPr>
              <m:t>2</m:t>
            </m:r>
          </m:sup>
        </m:sSup>
        <m:r>
          <m:rPr>
            <m:sty m:val="p"/>
          </m:rPr>
          <m:t>+</m:t>
        </m:r>
        <m:sSub>
          <m:sSubPr/>
          <m:e>
            <m:r>
              <m:rPr>
                <m:sty m:val="i"/>
              </m:rPr>
              <m:t>E</m:t>
            </m:r>
          </m:e>
          <m:sub>
            <m:r>
              <m:rPr>
                <m:nor/>
              </m:rPr>
              <m:t>peff </m:t>
            </m:r>
          </m:sub>
        </m:sSub>
        <m:r>
          <m:rPr>
            <m:sty m:val="p"/>
          </m:rPr>
          <m:t>(</m:t>
        </m:r>
        <m:r>
          <m:rPr>
            <m:sty m:val="i"/>
          </m:rPr>
          <m:t>r</m:t>
        </m:r>
        <m:r>
          <m:rPr>
            <m:sty m:val="p"/>
          </m:rPr>
          <m:t>)</m:t>
        </m:r>
      </m:oMath>
      <w:r>
        <w:rPr>
          <w:rFonts w:eastAsia="Georgia" w:cs="Georgia" w:ascii="Georgia" w:hAnsi="Georgia"/>
        </w:rPr>
        <w:t xml:space="preserve"> où </w:t>
      </w:r>
      <m:oMath>
        <m:sSub>
          <m:sSubPr/>
          <m:e>
            <m:r>
              <m:rPr>
                <m:sty m:val="i"/>
              </m:rPr>
              <m:t>E</m:t>
            </m:r>
          </m:e>
          <m:sub>
            <m:r>
              <m:rPr>
                <m:nor/>
              </m:rPr>
              <m:t>peff </m:t>
            </m:r>
          </m:sub>
        </m:sSub>
        <m:r>
          <m:rPr>
            <m:sty m:val="p"/>
          </m:rPr>
          <m:t>(</m:t>
        </m:r>
        <m:r>
          <m:rPr>
            <m:sty m:val="i"/>
          </m:rPr>
          <m:t>r</m:t>
        </m:r>
        <m:r>
          <m:rPr>
            <m:sty m:val="p"/>
          </m:rPr>
          <m:t>)</m:t>
        </m:r>
      </m:oMath>
      <w:r>
        <w:rPr>
          <w:rFonts w:eastAsia="Georgia" w:cs="Georgia" w:ascii="Georgia" w:hAnsi="Georgia"/>
        </w:rPr>
        <w:t xml:space="preserve"> est une fonction ne dépendant que de la position radiale r de l'électron qu'on exprimera en fonction de </w:t>
      </w:r>
      <m:oMath>
        <m:r>
          <m:rPr>
            <m:sty m:val="p"/>
          </m:rPr>
          <m:t>r</m:t>
        </m:r>
        <m:r>
          <m:rPr>
            <m:sty m:val="p"/>
          </m:rPr>
          <m:t>,</m:t>
        </m:r>
        <m:sSub>
          <m:sSubPr/>
          <m:e>
            <m:r>
              <m:rPr>
                <m:sty m:val="i"/>
              </m:rPr>
              <m:t>L</m:t>
            </m:r>
          </m:e>
          <m:sub>
            <m:r>
              <m:rPr>
                <m:sty m:val="i"/>
              </m:rPr>
              <m:t>z</m:t>
            </m:r>
          </m:sub>
        </m:sSub>
        <m:r>
          <m:rPr>
            <m:sty m:val="p"/>
          </m:rPr>
          <m:t>,</m:t>
        </m:r>
        <m:sSub>
          <m:sSubPr/>
          <m:e>
            <m:r>
              <m:rPr>
                <m:sty m:val="i"/>
              </m:rPr>
              <m:t>m</m:t>
            </m:r>
          </m:e>
          <m:sub>
            <m:r>
              <m:rPr>
                <m:sty m:val="i"/>
              </m:rPr>
              <m:t>e</m:t>
            </m:r>
          </m:sub>
        </m:sSub>
      </m:oMath>
      <w:r>
        <w:rPr/>
        <w:t xml:space="preserve"> et </w:t>
      </w:r>
      <m:oMath>
        <m:sSub>
          <m:sSubPr/>
          <m:e>
            <m:r>
              <m:rPr>
                <m:sty m:val="i"/>
              </m:rPr>
              <m:t>V</m:t>
            </m:r>
          </m:e>
          <m:sub>
            <m:r>
              <m:rPr>
                <m:nor/>
              </m:rPr>
              <m:t>sim </m:t>
            </m:r>
          </m:sub>
        </m:sSub>
        <m:r>
          <m:rPr>
            <m:sty m:val="p"/>
          </m:rPr>
          <m:t>(</m:t>
        </m:r>
        <m:r>
          <m:rPr>
            <m:sty m:val="i"/>
          </m:rPr>
          <m:t>r</m:t>
        </m:r>
        <m:r>
          <m:rPr>
            <m:sty m:val="p"/>
          </m:rPr>
          <m:t>)</m:t>
        </m:r>
      </m:oMath>
      <w:r>
        <w:rPr/>
        <w:br w:type="textWrapping"/>
      </w:r>
      <w:r>
        <w:rPr>
          <w:rFonts w:eastAsia="Georgia" w:cs="Georgia" w:ascii="Georgia" w:hAnsi="Georgia"/>
        </w:rPr>
        <w:t xml:space="preserve">Q32.C. Au moyen d'un traitement énergétique approprié, montrer soigneusement que l'électron va rester confiné autour de l'anode tant qu'il ne subit pas de choc. On ne demande pas de déterminer l'équation de la trajectoire de l'électron.</w:t>
      </w:r>
      <w:r>
        <w:rPr/>
        <w:br w:type="textWrapping"/>
      </w:r>
      <w:r>
        <w:rPr>
          <w:rFonts w:eastAsia="Georgia" w:cs="Georgia" w:ascii="Georgia" w:hAnsi="Georgia"/>
        </w:rPr>
        <w:t xml:space="preserve">Q33. Projeter le principe fondamental de la dynamique appliqué à un électron sur l'axe Oz. Quel est le mouvement de l'électron suivant Oz ? Pour palier à ce problème, on peut rajouter une grille aux extrémités du cylindre.</w:t>
      </w:r>
    </w:p>
    <w:p>
      <w:pPr>
        <w:spacing w:line="271" w:before="330" w:lineRule="auto"/>
      </w:pPr>
      <w:r>
        <w:rPr>
          <w:b/>
          <w:sz w:val="42"/>
        </w:rPr>
        <w:t xml:space="preserve">B. 3 - Suivi de la croissance d'une monocouche par diffraction RHEED</w:t>
      </w:r>
    </w:p>
    <w:p>
      <w:pPr>
        <w:spacing w:line="271" w:before="330" w:lineRule="auto"/>
      </w:pPr>
      <w:r>
        <w:rPr>
          <w:b/>
          <w:sz w:val="42"/>
        </w:rPr>
        <w:t xml:space="preserve">Principe de l'analyse RHEED :</w:t>
      </w:r>
    </w:p>
    <w:p>
      <w:pPr>
        <w:spacing w:after="220" w:lineRule="auto"/>
      </w:pPr>
      <w:r>
        <w:rPr>
          <w:rFonts w:eastAsia="Georgia" w:cs="Georgia" w:ascii="Georgia" w:hAnsi="Georgia"/>
        </w:rPr>
        <w:t xml:space="preserve">Le contrôle de la croissance d'une monocouche se fait en temps réel au moyen d'une technique appelée diffraction d'électrons de hautes énergie en incidente rasante (en anglais RHEED). Le principe est d'envoyer des électrons d'énergie élevées sur le cristal en formation. Les électrons arrivant en incidence rasante, ils ne pénètrent pas dans le cristal et n'interagissent qu'avec la surface : on obtient donc une information uniquement sur la surface du cristal (ce qu'on cherche!). A la surface, les électrons vont être diffractés par chaque atome de Gallium du réseau cristallin. L'observation de la figure de diffraction (forme et intensité) donne des informations sur la structure de la couche formée et sur l'état d'avancement de la couche.</w:t>
      </w:r>
    </w:p>
    <w:p>
      <w:pPr>
        <w:spacing w:line="271" w:before="330" w:lineRule="auto"/>
      </w:pPr>
      <w:r>
        <w:rPr>
          <w:rFonts w:eastAsia="Georgia" w:cs="Georgia" w:ascii="Georgia" w:hAnsi="Georgia"/>
          <w:b/>
          <w:sz w:val="42"/>
        </w:rPr>
        <w:t xml:space="preserve">Modèle étudié :</w:t>
      </w:r>
    </w:p>
    <w:p>
      <w:pPr>
        <w:spacing w:after="220" w:lineRule="auto"/>
      </w:pPr>
      <w:r>
        <w:rPr>
          <w:rFonts w:eastAsia="Georgia" w:cs="Georgia" w:ascii="Georgia" w:hAnsi="Georgia"/>
        </w:rPr>
        <w:t xml:space="preserve">Pour simplifier l'étude, on considérera une ligne d'atomes de Gallium uniformément répartis et non une surface. On limitera l'étude au plan d'incidence, c'est-à-dire le plan formé par le faisceau unidirectionnel incident d'électron et la « ligne» d'atomes de Gallium.</w:t>
      </w:r>
      <w:r>
        <w:rPr/>
        <w:br w:type="textWrapping"/>
      </w:r>
      <w:r>
        <w:rPr>
          <w:rFonts w:eastAsia="Georgia" w:cs="Georgia" w:ascii="Georgia" w:hAnsi="Georgia"/>
        </w:rPr>
        <w:t xml:space="preserve">Soit un faisceau d'électron monodirectionnelle et monocinétique (tous les électrons ont la même énergie cinétique) arrivant sur une ligne d'atomes de Gallium avec un angle </w:t>
      </w:r>
      <m:oMath>
        <m:sSub>
          <m:sSubPr/>
          <m:e>
            <m:r>
              <m:rPr>
                <m:sty m:val="i"/>
              </m:rPr>
              <m:t>θ</m:t>
            </m:r>
          </m:e>
          <m:sub>
            <m:r>
              <m:rPr>
                <m:sty m:val="p"/>
              </m:rPr>
              <m:t>0</m:t>
            </m:r>
          </m:sub>
        </m:sSub>
      </m:oMath>
      <w:r>
        <w:rPr/>
        <w:t xml:space="preserve"> (angle entre la ligne d'atomes et le faisceau (cf. Figure B.7)). Chaque atome agit comme un obstacle qui diffracte le faisceau incident dans toutes les directions de l'espace. On note </w:t>
      </w:r>
      <m:oMath>
        <m:r>
          <m:rPr>
            <m:sty m:val="i"/>
          </m:rPr>
          <m:t>θ</m:t>
        </m:r>
      </m:oMath>
      <w:r>
        <w:rPr>
          <w:rFonts w:eastAsia="Georgia" w:cs="Georgia" w:ascii="Georgia" w:hAnsi="Georgia"/>
        </w:rPr>
        <w:t xml:space="preserve"> l'angle entre la ligne d'atomes et un rayon électronique diffracté.</w:t>
      </w:r>
      <w:r>
        <w:rPr/>
        <w:br w:type="textWrapping"/>
      </w:r>
      <w:r>
        <w:rPr/>
        <w:t xml:space="preserve">On place en aval une lentille convergente de distance focale </w:t>
      </w:r>
      <m:oMath>
        <m:sSup>
          <m:sSupPr/>
          <m:e>
            <m:r>
              <m:rPr>
                <m:sty m:val="i"/>
              </m:rPr>
              <m:t>f</m:t>
            </m:r>
          </m:e>
          <m:sup>
            <m:r>
              <m:rPr>
                <m:sty m:val="i"/>
              </m:rPr>
              <m:t>′</m:t>
            </m:r>
          </m:sup>
        </m:sSup>
      </m:oMath>
      <w:r>
        <w:rPr>
          <w:rFonts w:eastAsia="Georgia" w:cs="Georgia" w:ascii="Georgia" w:hAnsi="Georgia"/>
        </w:rPr>
        <w:t xml:space="preserve"> et un écran fluorescent dans le plan focal image de la lentille. Les tâches lumineuses sur l'écran sont proportionnelle à l'intensité du faisceau électronique incident.</w:t>
      </w:r>
    </w:p>
    <w:p>
      <w:pPr>
        <w:spacing w:line="271" w:before="330" w:lineRule="auto"/>
      </w:pPr>
      <w:r>
        <w:rPr>
          <w:rFonts w:eastAsia="Georgia" w:cs="Georgia" w:ascii="Georgia" w:hAnsi="Georgia"/>
          <w:b/>
          <w:sz w:val="42"/>
        </w:rPr>
        <w:t xml:space="preserve">Données:</w:t>
      </w:r>
    </w:p>
    <w:p>
      <w:pPr>
        <w:numPr>
          <w:ilvl w:val="0"/>
          <w:numId w:val="7"/>
        </w:numPr>
        <w:spacing w:lineRule="auto"/>
      </w:pPr>
      <w:r>
        <w:rPr>
          <w:rFonts w:eastAsia="Georgia" w:cs="Georgia" w:ascii="Georgia" w:hAnsi="Georgia"/>
        </w:rPr>
        <w:t xml:space="preserve">Distance entre deux atomes de Gallium successifs à la surface : </w:t>
      </w:r>
      <m:oMath>
        <m:r>
          <m:rPr>
            <m:sty m:val="i"/>
          </m:rPr>
          <m:t>a</m:t>
        </m:r>
        <m:r>
          <m:rPr>
            <m:sty m:val="p"/>
          </m:rPr>
          <m:t>=</m:t>
        </m:r>
        <m:r>
          <m:rPr>
            <m:sty m:val="p"/>
          </m:rPr>
          <m:t>0</m:t>
        </m:r>
        <m:r>
          <m:rPr>
            <m:sty m:val="p"/>
          </m:rPr>
          <m:t>,</m:t>
        </m:r>
        <m:r>
          <m:rPr>
            <m:sty m:val="p"/>
          </m:rPr>
          <m:t>3</m:t>
        </m:r>
        <m:r>
          <m:rPr>
            <m:nor/>
          </m:rPr>
          <m:t xml:space="preserve"> </m:t>
        </m:r>
        <m:r>
          <m:rPr>
            <m:sty m:val="p"/>
          </m:rPr>
          <m:t>nm</m:t>
        </m:r>
      </m:oMath>
    </w:p>
    <w:p>
      <w:pPr>
        <w:numPr>
          <w:ilvl w:val="0"/>
          <w:numId w:val="7"/>
        </w:numPr>
        <w:spacing w:lineRule="auto"/>
      </w:pPr>
      <w:r>
        <w:rPr/>
        <w:t xml:space="preserve">Ordre de grandeur de la taille d'un atome de Gallium : </w:t>
      </w:r>
      <m:oMath>
        <m:sSub>
          <m:sSubPr/>
          <m:e>
            <m:r>
              <m:rPr>
                <m:sty m:val="i"/>
              </m:rPr>
              <m:t>r</m:t>
            </m:r>
          </m:e>
          <m:sub>
            <m:r>
              <m:rPr>
                <m:sty m:val="i"/>
              </m:rPr>
              <m:t>G</m:t>
            </m:r>
            <m:r>
              <m:rPr>
                <m:sty m:val="i"/>
              </m:rPr>
              <m:t>a</m:t>
            </m:r>
          </m:sub>
        </m:sSub>
        <m:r>
          <m:rPr>
            <m:sty m:val="p"/>
          </m:rPr>
          <m:t>≈</m:t>
        </m:r>
        <m:r>
          <m:rPr>
            <m:sty m:val="p"/>
          </m:rPr>
          <m:t>130</m:t>
        </m:r>
        <m:r>
          <m:rPr>
            <m:sty m:val="i"/>
          </m:rPr>
          <m:t>p</m:t>
        </m:r>
        <m:r>
          <m:rPr>
            <m:sty m:val="i"/>
          </m:rPr>
          <m:t>m</m:t>
        </m:r>
      </m:oMath>
    </w:p>
    <w:p>
      <w:pPr>
        <w:numPr>
          <w:ilvl w:val="0"/>
          <w:numId w:val="7"/>
        </w:numPr>
        <w:spacing w:lineRule="auto"/>
      </w:pPr>
      <w:r>
        <w:rPr>
          <w:rFonts w:eastAsia="Georgia" w:cs="Georgia" w:ascii="Georgia" w:hAnsi="Georgia"/>
        </w:rPr>
        <w:t xml:space="preserve">Énergie cinétique des électrons émis </w:t>
      </w:r>
      <m:oMath>
        <m:sSub>
          <m:sSubPr/>
          <m:e>
            <m:r>
              <m:rPr>
                <m:sty m:val="i"/>
              </m:rPr>
              <m:t>E</m:t>
            </m:r>
          </m:e>
          <m:sub>
            <m:r>
              <m:rPr>
                <m:sty m:val="i"/>
              </m:rPr>
              <m:t>c</m:t>
            </m:r>
          </m:sub>
        </m:sSub>
        <m:r>
          <m:rPr>
            <m:sty m:val="p"/>
          </m:rPr>
          <m:t>=</m:t>
        </m:r>
        <m:r>
          <m:rPr>
            <m:sty m:val="p"/>
          </m:rPr>
          <m:t>1</m:t>
        </m:r>
        <m:r>
          <m:rPr>
            <m:sty m:val="p"/>
          </m:rPr>
          <m:t>×</m:t>
        </m:r>
        <m:sSup>
          <m:sSupPr/>
          <m:e>
            <m:r>
              <m:rPr>
                <m:sty m:val="p"/>
              </m:rPr>
              <m:t>10</m:t>
            </m:r>
          </m:e>
          <m:sup>
            <m:r>
              <m:rPr>
                <m:sty m:val="p"/>
              </m:rPr>
              <m:t>4</m:t>
            </m:r>
          </m:sup>
        </m:sSup>
        <m:r>
          <m:rPr>
            <m:sty m:val="p"/>
          </m:rPr>
          <m:t>eV</m:t>
        </m:r>
      </m:oMath>
      <w:r>
        <w:rPr/>
        <w:t xml:space="preserve"> (on prendra </w:t>
      </w:r>
      <m:oMath>
        <m:r>
          <m:rPr>
            <m:sty m:val="p"/>
          </m:rPr>
          <m:t>1</m:t>
        </m:r>
        <m:r>
          <m:rPr>
            <m:sty m:val="p"/>
          </m:rPr>
          <m:t>eV</m:t>
        </m:r>
        <m:r>
          <m:rPr>
            <m:sty m:val="p"/>
          </m:rPr>
          <m:t>=</m:t>
        </m:r>
        <m:r>
          <m:rPr>
            <m:sty m:val="p"/>
          </m:rPr>
          <m:t>2</m:t>
        </m:r>
        <m:r>
          <m:rPr>
            <m:sty m:val="p"/>
          </m:rPr>
          <m:t>×</m:t>
        </m:r>
        <m:sSup>
          <m:sSupPr/>
          <m:e>
            <m:r>
              <m:rPr>
                <m:sty m:val="p"/>
              </m:rPr>
              <m:t>10</m:t>
            </m:r>
          </m:e>
          <m:sup>
            <m:r>
              <m:rPr>
                <m:sty m:val="p"/>
              </m:rPr>
              <m:t>−</m:t>
            </m:r>
            <m:r>
              <m:rPr>
                <m:sty m:val="p"/>
              </m:rPr>
              <m:t>19</m:t>
            </m:r>
          </m:sup>
        </m:sSup>
        <m:r>
          <m:rPr>
            <m:nor/>
          </m:rPr>
          <m:t xml:space="preserve"> </m:t>
        </m:r>
        <m:r>
          <m:rPr>
            <m:sty m:val="p"/>
          </m:rPr>
          <m:t>J</m:t>
        </m:r>
      </m:oMath>
      <w:r>
        <w:rPr/>
        <w:t xml:space="preserve"> )</w:t>
      </w:r>
    </w:p>
    <w:p>
      <w:pPr>
        <w:numPr>
          <w:ilvl w:val="0"/>
          <w:numId w:val="7"/>
        </w:numPr>
        <w:spacing w:lineRule="auto"/>
      </w:pPr>
      <w:r>
        <w:rPr/>
        <w:t xml:space="preserve">Distance focale de la lentille </w:t>
      </w:r>
      <m:oMath>
        <m:sSup>
          <m:sSupPr/>
          <m:e>
            <m:r>
              <m:rPr>
                <m:sty m:val="i"/>
              </m:rPr>
              <m:t>f</m:t>
            </m:r>
          </m:e>
          <m:sup>
            <m:r>
              <m:rPr>
                <m:sty m:val="i"/>
              </m:rPr>
              <m:t>′</m:t>
            </m:r>
          </m:sup>
        </m:sSup>
        <m:r>
          <m:rPr>
            <m:sty m:val="p"/>
          </m:rPr>
          <m:t>=</m:t>
        </m:r>
        <m:r>
          <m:rPr>
            <m:sty m:val="p"/>
          </m:rPr>
          <m:t>50</m:t>
        </m:r>
        <m:r>
          <m:rPr>
            <m:nor/>
          </m:rPr>
          <m:t xml:space="preserve"> </m:t>
        </m:r>
        <m:r>
          <m:rPr>
            <m:sty m:val="p"/>
          </m:rPr>
          <m:t>cm</m:t>
        </m:r>
      </m:oMath>
    </w:p>
    <w:p>
      <w:pPr>
        <w:spacing w:lineRule="auto"/>
        <w:jc w:val="center"/>
      </w:pPr>
      <w:r>
        <w:rPr/>
        <w:drawing>
          <wp:inline distB="0" distL="0" distR="0" distT="0">
            <wp:extent cx="5486400" cy="1446415"/>
            <wp:effectExtent b="0" l="0" r="0" t="0"/>
            <wp:docPr id="12" name="image-1f3ef6c4acb67181c198d53c4549aa988a2d4e4a.jpg"/>
            <a:graphic>
              <a:graphicData uri="http://schemas.openxmlformats.org/drawingml/2006/picture">
                <pic:pic>
                  <pic:nvPicPr>
                    <pic:cNvPr id="12" name="image-1f3ef6c4acb67181c198d53c4549aa988a2d4e4a.jpg" descr=""/>
                    <pic:cNvPicPr/>
                  </pic:nvPicPr>
                  <pic:blipFill>
                    <a:blip r:embed="rId16" cstate="print"/>
                    <a:srcRect b="0" l="0" r="0" t="0"/>
                    <a:stretch>
                      <a:fillRect/>
                    </a:stretch>
                  </pic:blipFill>
                  <pic:spPr>
                    <a:xfrm>
                      <a:off x="0" y="0"/>
                      <a:ext cx="5486400" cy="1446415"/>
                    </a:xfrm>
                    <a:prstGeom prst="rect"/>
                  </pic:spPr>
                </pic:pic>
              </a:graphicData>
            </a:graphic>
          </wp:inline>
        </w:drawing>
      </w:r>
    </w:p>
    <w:p>
      <w:pPr>
        <w:spacing w:lineRule="auto"/>
      </w:pPr>
      <w:r>
        <w:rPr>
          <w:rFonts w:eastAsia="Georgia" w:cs="Georgia" w:ascii="Georgia" w:hAnsi="Georgia"/>
        </w:rPr>
        <w:t xml:space="preserve">Figure B. 7 : Diffraction du faisceau électronique sur le réseau d'atomes.</w:t>
      </w:r>
    </w:p>
    <w:p>
      <w:pPr>
        <w:spacing w:after="220" w:lineRule="auto"/>
      </w:pPr>
      <w:r>
        <w:rPr>
          <w:rFonts w:eastAsia="Georgia" w:cs="Georgia" w:ascii="Georgia" w:hAnsi="Georgia"/>
        </w:rPr>
        <w:t xml:space="preserve">Q34. La relation de De Broglie s'écrit </w:t>
      </w:r>
      <m:oMath>
        <m:r>
          <m:rPr>
            <m:sty m:val="i"/>
          </m:rPr>
          <m:t>p</m:t>
        </m:r>
        <m:r>
          <m:rPr>
            <m:sty m:val="p"/>
          </m:rPr>
          <m:t>=</m:t>
        </m:r>
        <m:f>
          <m:fPr>
            <m:ctrlPr>
              <w:rPr>
                <w:rFonts w:ascii="Cambria Math" w:hAnsi="Cambria Math"/>
              </w:rPr>
            </m:ctrlPr>
          </m:fPr>
          <m:num>
            <m:r>
              <m:rPr>
                <m:sty m:val="i"/>
              </m:rPr>
              <m:t>h</m:t>
            </m:r>
          </m:num>
          <m:den>
            <m:r>
              <m:rPr>
                <m:sty m:val="i"/>
              </m:rPr>
              <m:t>λ</m:t>
            </m:r>
          </m:den>
        </m:f>
      </m:oMath>
      <w:r>
        <w:rPr>
          <w:rFonts w:eastAsia="Georgia" w:cs="Georgia" w:ascii="Georgia" w:hAnsi="Georgia"/>
        </w:rPr>
        <w:t xml:space="preserve">. Quel aspect dual de la matière souligne-t-elle?</w:t>
      </w:r>
      <w:r>
        <w:rPr/>
        <w:br w:type="textWrapping"/>
      </w:r>
      <w:r>
        <w:rPr>
          <w:rFonts w:eastAsia="Georgia" w:cs="Georgia" w:ascii="Georgia" w:hAnsi="Georgia"/>
        </w:rPr>
        <w:t xml:space="preserve">Q35. Justifier qu'un faisceau électronique dit «monocinétique» est aussi un faisceau électronique «monochromatique», c'est-à-dire ne possédant qu'une seule longueur d'onde </w:t>
      </w:r>
      <m:oMath>
        <m:r>
          <m:rPr>
            <m:sty m:val="i"/>
          </m:rPr>
          <m:t>λ</m:t>
        </m:r>
      </m:oMath>
      <w:r>
        <w:rPr>
          <w:rFonts w:eastAsia="Georgia" w:cs="Georgia" w:ascii="Georgia" w:hAnsi="Georgia"/>
        </w:rPr>
        <w:t xml:space="preserve">. Déterminer l'expression puis la valeur numérique de </w:t>
      </w:r>
      <m:oMath>
        <m:r>
          <m:rPr>
            <m:sty m:val="i"/>
          </m:rPr>
          <m:t>λ</m:t>
        </m:r>
      </m:oMath>
      <w:r>
        <w:rPr>
          <w:rFonts w:eastAsia="Georgia" w:cs="Georgia" w:ascii="Georgia" w:hAnsi="Georgia"/>
        </w:rPr>
        <w:t xml:space="preserve"> (on négligera toute considération relativiste, bien qu'en réalité, les vitesses mises en jeu sont très importantes).</w:t>
      </w:r>
      <w:r>
        <w:rPr/>
        <w:br w:type="textWrapping"/>
      </w:r>
      <w:r>
        <w:rPr>
          <w:rFonts w:eastAsia="Georgia" w:cs="Georgia" w:ascii="Georgia" w:hAnsi="Georgia"/>
        </w:rPr>
        <w:t xml:space="preserve">Q36. Dans quel cas le phénomène de diffraction devient-il non négligeable ? Est-on dans cette configuration ici ?</w:t>
      </w:r>
    </w:p>
    <w:p>
      <w:pPr>
        <w:spacing w:after="220" w:lineRule="auto"/>
      </w:pPr>
      <w:r>
        <w:rPr>
          <w:rFonts w:eastAsia="Georgia" w:cs="Georgia" w:ascii="Georgia" w:hAnsi="Georgia"/>
        </w:rPr>
        <w:t xml:space="preserve">Le traitement du faisceau électronique étant ondulatoire, nous allons étudier la figure obtenue comme s'il s'agit d'une figure d'interférences obtenues par un faisceau lumineux. On considère donc des ondes planes de longueur d'onde </w:t>
      </w:r>
      <m:oMath>
        <m:r>
          <m:rPr>
            <m:sty m:val="i"/>
          </m:rPr>
          <m:t>λ</m:t>
        </m:r>
      </m:oMath>
      <w:r>
        <w:rPr>
          <w:rFonts w:eastAsia="Georgia" w:cs="Georgia" w:ascii="Georgia" w:hAnsi="Georgia"/>
        </w:rPr>
        <w:t xml:space="preserve"> arrivant sur les atomes assimilable à des objets ponctuels diffractants. On se limite dans un premier temps à la diffraction par deux atomes de Gallium seulement. On considère deux rayons incidents sur ces deux objets et les deux rayons diffractés dans la direction </w:t>
      </w:r>
      <m:oMath>
        <m:r>
          <m:rPr>
            <m:sty m:val="i"/>
          </m:rPr>
          <m:t>θ</m:t>
        </m:r>
      </m:oMath>
      <w:r>
        <w:rPr/>
        <w:t xml:space="preserve"> issu de ces deux rayons incidents (cf. Figure B.8).</w:t>
      </w:r>
    </w:p>
    <w:p>
      <w:pPr>
        <w:spacing w:after="220" w:lineRule="auto"/>
      </w:pPr>
      <w:r>
        <w:rPr>
          <w:rFonts w:eastAsia="Georgia" w:cs="Georgia" w:ascii="Georgia" w:hAnsi="Georgia"/>
        </w:rPr>
        <w:t xml:space="preserve">On veut déterminer l'intensité lumineuse sur l'écran. On note O le centre optique de la lentille. On rappelle que l'écran est placé dans le plan focal image de la lentille.</w:t>
      </w:r>
    </w:p>
    <w:p>
      <w:pPr>
        <w:spacing w:lineRule="auto"/>
        <w:jc w:val="center"/>
      </w:pPr>
      <w:r>
        <w:rPr/>
        <w:drawing>
          <wp:inline distB="0" distL="0" distR="0" distT="0">
            <wp:extent cx="5486400" cy="3501464"/>
            <wp:effectExtent b="0" l="0" r="0" t="0"/>
            <wp:docPr id="13" name="image-f58613714f9f571850af05f3d59dcde5cf69f0f0.jpg"/>
            <a:graphic>
              <a:graphicData uri="http://schemas.openxmlformats.org/drawingml/2006/picture">
                <pic:pic>
                  <pic:nvPicPr>
                    <pic:cNvPr id="13" name="image-f58613714f9f571850af05f3d59dcde5cf69f0f0.jpg" descr=""/>
                    <pic:cNvPicPr/>
                  </pic:nvPicPr>
                  <pic:blipFill>
                    <a:blip r:embed="rId17" cstate="print"/>
                    <a:srcRect b="0" l="0" r="0" t="0"/>
                    <a:stretch>
                      <a:fillRect/>
                    </a:stretch>
                  </pic:blipFill>
                  <pic:spPr>
                    <a:xfrm>
                      <a:off x="0" y="0"/>
                      <a:ext cx="5486400" cy="3501464"/>
                    </a:xfrm>
                    <a:prstGeom prst="rect"/>
                  </pic:spPr>
                </pic:pic>
              </a:graphicData>
            </a:graphic>
          </wp:inline>
        </w:drawing>
      </w:r>
    </w:p>
    <w:p>
      <w:pPr>
        <w:spacing w:lineRule="auto"/>
      </w:pPr>
      <w:r>
        <w:rPr/>
        <w:t xml:space="preserve">Figure B.8:</w:t>
      </w:r>
    </w:p>
    <w:p>
      <w:pPr>
        <w:spacing w:after="220" w:lineRule="auto"/>
      </w:pPr>
      <w:r>
        <w:rPr>
          <w:rFonts w:eastAsia="Georgia" w:cs="Georgia" w:ascii="Georgia" w:hAnsi="Georgia"/>
        </w:rPr>
        <w:t xml:space="preserve">Q37. Reprendre le schéma de la Figure B. 8 et prolonger le tracé des deux rayons diffractés. En déduire que ces deux rayons vont interférer sur l'écran.</w:t>
      </w:r>
      <w:r>
        <w:rPr/>
        <w:br w:type="textWrapping"/>
      </w:r>
      <w:r>
        <w:rPr>
          <w:rFonts w:eastAsia="Georgia" w:cs="Georgia" w:ascii="Georgia" w:hAnsi="Georgia"/>
        </w:rPr>
        <w:t xml:space="preserve">Q38. Déterminer la différence de marche entre les deux rayons sur l'écran. En déduire que les directions </w:t>
      </w:r>
      <m:oMath>
        <m:r>
          <m:rPr>
            <m:sty m:val="i"/>
          </m:rPr>
          <m:t>θ</m:t>
        </m:r>
      </m:oMath>
      <w:r>
        <w:rPr>
          <w:rFonts w:eastAsia="Georgia" w:cs="Georgia" w:ascii="Georgia" w:hAnsi="Georgia"/>
        </w:rPr>
        <w:t xml:space="preserve"> donnant lieu à des interférences constructives doivent vérifier : </w:t>
      </w:r>
      <m:oMath>
        <m:r>
          <m:rPr>
            <m:sty m:val="p"/>
          </m:rPr>
          <m:t>cos</m:t>
        </m:r>
        <m:r>
          <m:rPr>
            <m:sty m:val="p"/>
          </m:rPr>
          <m:t>⁡</m:t>
        </m:r>
        <m:r>
          <m:rPr>
            <m:sty m:val="i"/>
          </m:rPr>
          <m:t>θ</m:t>
        </m:r>
        <m:r>
          <m:rPr>
            <m:sty m:val="p"/>
          </m:rPr>
          <m:t>=</m:t>
        </m:r>
        <m:r>
          <m:rPr>
            <m:sty m:val="p"/>
          </m:rPr>
          <m:t>cos</m:t>
        </m:r>
        <m:r>
          <m:rPr>
            <m:sty m:val="p"/>
          </m:rPr>
          <m:t>⁡</m:t>
        </m:r>
        <m:sSub>
          <m:sSubPr/>
          <m:e>
            <m:r>
              <m:rPr>
                <m:sty m:val="i"/>
              </m:rPr>
              <m:t>θ</m:t>
            </m:r>
          </m:e>
          <m:sub>
            <m:r>
              <m:rPr>
                <m:sty m:val="p"/>
              </m:rPr>
              <m:t>0</m:t>
            </m:r>
          </m:sub>
        </m:sSub>
        <m:r>
          <m:rPr>
            <m:sty m:val="p"/>
          </m:rPr>
          <m:t>+</m:t>
        </m:r>
        <m:r>
          <m:rPr>
            <m:sty m:val="i"/>
          </m:rPr>
          <m:t>m</m:t>
        </m:r>
        <m:f>
          <m:fPr>
            <m:ctrlPr>
              <w:rPr>
                <w:rFonts w:ascii="Cambria Math" w:hAnsi="Cambria Math"/>
              </w:rPr>
            </m:ctrlPr>
          </m:fPr>
          <m:num>
            <m:r>
              <m:rPr>
                <m:sty m:val="i"/>
              </m:rPr>
              <m:t>λ</m:t>
            </m:r>
          </m:num>
          <m:den>
            <m:r>
              <m:rPr>
                <m:sty m:val="i"/>
              </m:rPr>
              <m:t>a</m:t>
            </m:r>
          </m:den>
        </m:f>
      </m:oMath>
      <w:r>
        <w:rPr/>
        <w:t xml:space="preserve"> avec </w:t>
      </w:r>
      <m:oMath>
        <m:r>
          <m:rPr>
            <m:sty m:val="i"/>
          </m:rPr>
          <m:t>m</m:t>
        </m:r>
        <m:r>
          <m:rPr>
            <m:sty m:val="p"/>
          </m:rPr>
          <m:t>∈</m:t>
        </m:r>
        <m:r>
          <m:rPr>
            <m:scr m:val="double-struck"/>
          </m:rPr>
          <m:t>N</m:t>
        </m:r>
      </m:oMath>
      <w:r>
        <w:rPr/>
        <w:t xml:space="preserve">.</w:t>
      </w:r>
    </w:p>
    <w:p>
      <w:pPr>
        <w:spacing w:after="220" w:lineRule="auto"/>
      </w:pPr>
      <w:r>
        <w:rPr>
          <w:rFonts w:eastAsia="Georgia" w:cs="Georgia" w:ascii="Georgia" w:hAnsi="Georgia"/>
        </w:rPr>
        <w:t xml:space="preserve">On considère maintenant la ligne composé de N objets.</w:t>
      </w:r>
      <w:r>
        <w:rPr/>
        <w:br w:type="textWrapping"/>
      </w:r>
      <w:r>
        <w:rPr>
          <w:rFonts w:eastAsia="Georgia" w:cs="Georgia" w:ascii="Georgia" w:hAnsi="Georgia"/>
        </w:rPr>
        <w:t xml:space="preserve">Q39. Justifier soigneusement que les positions des maxima d'intensité sont toujours les positions déterminées par la condition trouvée à la question Q38.</w:t>
      </w:r>
      <w:r>
        <w:rPr/>
        <w:br w:type="textWrapping"/>
      </w:r>
      <w:r>
        <w:rPr>
          <w:rFonts w:eastAsia="Georgia" w:cs="Georgia" w:ascii="Georgia" w:hAnsi="Georgia"/>
        </w:rPr>
        <w:t xml:space="preserve">Q40. Déterminer les positions </w:t>
      </w:r>
      <m:oMath>
        <m:sSub>
          <m:sSubPr/>
          <m:e>
            <m:r>
              <m:rPr>
                <m:sty m:val="i"/>
              </m:rPr>
              <m:t>x</m:t>
            </m:r>
          </m:e>
          <m:sub>
            <m:r>
              <m:rPr>
                <m:sty m:val="i"/>
              </m:rPr>
              <m:t>m</m:t>
            </m:r>
          </m:sub>
        </m:sSub>
      </m:oMath>
      <w:r>
        <w:rPr>
          <w:rFonts w:eastAsia="Georgia" w:cs="Georgia" w:ascii="Georgia" w:hAnsi="Georgia"/>
        </w:rPr>
        <w:t xml:space="preserve"> des maxima d'intensité sur l'écran. On se placera dans le cadre de l'approximation de Gauss. On donne </w:t>
      </w:r>
      <m:oMath>
        <m:r>
          <m:rPr>
            <m:sty m:val="p"/>
          </m:rPr>
          <m:t>cos</m:t>
        </m:r>
        <m:r>
          <m:rPr>
            <m:sty m:val="p"/>
          </m:rPr>
          <m:t>⁡</m:t>
        </m:r>
        <m:r>
          <m:rPr>
            <m:sty m:val="p"/>
          </m:rPr>
          <m:t>(</m:t>
        </m:r>
        <m:r>
          <m:rPr>
            <m:sty m:val="i"/>
          </m:rPr>
          <m:t>α</m:t>
        </m:r>
        <m:r>
          <m:rPr>
            <m:sty m:val="p"/>
          </m:rPr>
          <m:t>)</m:t>
        </m:r>
        <m:r>
          <m:rPr>
            <m:sty m:val="p"/>
          </m:rPr>
          <m:t>≈</m:t>
        </m:r>
        <m:r>
          <m:rPr>
            <m:sty m:val="p"/>
          </m:rPr>
          <m:t>1</m:t>
        </m:r>
        <m:r>
          <m:rPr>
            <m:sty m:val="p"/>
          </m:rPr>
          <m:t>−</m:t>
        </m:r>
        <m:f>
          <m:fPr>
            <m:ctrlPr>
              <w:rPr>
                <w:rFonts w:ascii="Cambria Math" w:hAnsi="Cambria Math"/>
              </w:rPr>
            </m:ctrlPr>
          </m:fPr>
          <m:num>
            <m:sSup>
              <m:sSupPr/>
              <m:e>
                <m:r>
                  <m:rPr>
                    <m:sty m:val="i"/>
                  </m:rPr>
                  <m:t>α</m:t>
                </m:r>
              </m:e>
              <m:sup>
                <m:r>
                  <m:rPr>
                    <m:sty m:val="p"/>
                  </m:rPr>
                  <m:t>2</m:t>
                </m:r>
              </m:sup>
            </m:sSup>
          </m:num>
          <m:den>
            <m:r>
              <m:rPr>
                <m:sty m:val="p"/>
              </m:rPr>
              <m:t>2</m:t>
            </m:r>
          </m:den>
        </m:f>
      </m:oMath>
      <w:r>
        <w:rPr/>
        <w:t xml:space="preserve"> pour </w:t>
      </w:r>
      <m:oMath>
        <m:r>
          <m:rPr>
            <m:sty m:val="i"/>
          </m:rPr>
          <m:t>α</m:t>
        </m:r>
        <m:r>
          <m:rPr>
            <m:sty m:val="p"/>
          </m:rPr>
          <m:t>≪</m:t>
        </m:r>
        <m:r>
          <m:rPr>
            <m:sty m:val="p"/>
          </m:rPr>
          <m:t>1</m:t>
        </m:r>
      </m:oMath>
      <w:r>
        <w:rPr/>
        <w:t xml:space="preserve">.</w:t>
      </w:r>
      <w:r>
        <w:rPr/>
        <w:br w:type="textWrapping"/>
      </w:r>
      <w:r>
        <w:rPr>
          <w:rFonts w:eastAsia="Georgia" w:cs="Georgia" w:ascii="Georgia" w:hAnsi="Georgia"/>
        </w:rPr>
        <w:t xml:space="preserve">Q41. Pour obtenir un maximum d'informations, il est préférable d'augmenter le nombre de maxima d'intensité observables. Est-il préférable dans ces conditions d'utiliser des faisceaux de haute ou de basse énergie?</w:t>
      </w:r>
    </w:p>
    <w:p>
      <w:pPr>
        <w:spacing w:after="220" w:lineRule="auto"/>
      </w:pPr>
      <w:r>
        <w:rPr>
          <w:rFonts w:eastAsia="Georgia" w:cs="Georgia" w:ascii="Georgia" w:hAnsi="Georgia"/>
        </w:rPr>
        <w:t xml:space="preserve">L'étude précédente peut se généraliser pour une surface et non une ligne d'atomes mais elle n'est valable que si la monocouche est entièrement remplie (pas de «trous» ou de «bosses» d'atomes). Une étude expérimentale a montré que l'intensité d'un point de la figure d'interférence (un maxima par exemple) va osciller lorsque la monocouche se remplit. L'intensité est maximale</w:t>
      </w:r>
      <w:r>
        <w:rPr/>
        <w:br w:type="textWrapping"/>
      </w:r>
      <w:r>
        <w:rPr>
          <w:rFonts w:eastAsia="Georgia" w:cs="Georgia" w:ascii="Georgia" w:hAnsi="Georgia"/>
        </w:rPr>
        <w:t xml:space="preserve">quand la couche commence à se remplir (la couche inférieure est remplie). Au fur et à mesure que la couche d'atome se remplie, l'intensité sur l'écran diminue jusqu'à ce que la moitié de la surface ait été remplie puis l'intensité augmente à nouveau jusqu'à être maximale quand la couche est finie d'être remplie). On a représenté Figure B. 9 la mesure d'intensité d'un pic d'interférence constructive pendant la croissance d'une surface de Gallium.</w:t>
      </w:r>
      <w:r>
        <w:rPr/>
        <w:br w:type="textWrapping"/>
      </w:r>
    </w:p>
    <w:p>
      <w:pPr>
        <w:spacing w:lineRule="auto"/>
        <w:jc w:val="center"/>
      </w:pPr>
      <w:r>
        <w:rPr/>
        <w:drawing>
          <wp:inline distB="0" distL="0" distR="0" distT="0">
            <wp:extent cx="5486400" cy="3040912"/>
            <wp:effectExtent b="0" l="0" r="0" t="0"/>
            <wp:docPr id="14" name="image-e7dec2461192cb1e0f785d0df47499cfd9aab928.jpg"/>
            <a:graphic>
              <a:graphicData uri="http://schemas.openxmlformats.org/drawingml/2006/picture">
                <pic:pic>
                  <pic:nvPicPr>
                    <pic:cNvPr id="14" name="image-e7dec2461192cb1e0f785d0df47499cfd9aab928.jpg" descr=""/>
                    <pic:cNvPicPr/>
                  </pic:nvPicPr>
                  <pic:blipFill>
                    <a:blip r:embed="rId18" cstate="print"/>
                    <a:srcRect b="0" l="0" r="0" t="0"/>
                    <a:stretch>
                      <a:fillRect/>
                    </a:stretch>
                  </pic:blipFill>
                  <pic:spPr>
                    <a:xfrm>
                      <a:off x="0" y="0"/>
                      <a:ext cx="5486400" cy="3040912"/>
                    </a:xfrm>
                    <a:prstGeom prst="rect"/>
                  </pic:spPr>
                </pic:pic>
              </a:graphicData>
            </a:graphic>
          </wp:inline>
        </w:drawing>
      </w:r>
    </w:p>
    <w:p>
      <w:pPr>
        <w:spacing w:after="220" w:lineRule="auto"/>
      </w:pPr>
      <w:r>
        <w:rPr>
          <w:rFonts w:eastAsia="Georgia" w:cs="Georgia" w:ascii="Georgia" w:hAnsi="Georgia"/>
        </w:rPr>
        <w:t xml:space="preserve">Q42. Combien de couche ont été formées durant la mesure ?</w:t>
      </w:r>
      <w:r>
        <w:rPr/>
        <w:br w:type="textWrapping"/>
      </w:r>
      <w:r>
        <w:rPr>
          <w:rFonts w:eastAsia="Georgia" w:cs="Georgia" w:ascii="Georgia" w:hAnsi="Georgia"/>
        </w:rPr>
        <w:t xml:space="preserve">Q43. Estimer la vitesse de formation d'une couche. Commenter les différences entre la valeur trouvée et celle estimée à la question Q25.</w:t>
      </w:r>
      <w:r>
        <w:rPr/>
        <w:br w:type="textWrapping"/>
      </w:r>
      <w:r>
        <w:rPr>
          <w:rFonts w:eastAsia="Georgia" w:cs="Georgia" w:ascii="Georgia" w:hAnsi="Georgia"/>
        </w:rPr>
        <w:t xml:space="preserve">Q44. Proposer une explication de la décroissance de l'amplitude des oscillations mesurée au fur et à mesure de la formation.</w:t>
      </w:r>
    </w:p>
    <w:p>
      <w:pPr>
        <w:spacing w:line="271" w:before="330" w:lineRule="auto"/>
      </w:pPr>
      <w:r>
        <w:rPr>
          <w:rFonts w:eastAsia="Georgia" w:cs="Georgia" w:ascii="Georgia" w:hAnsi="Georgia"/>
          <w:b/>
          <w:sz w:val="42"/>
        </w:rPr>
        <w:t xml:space="preserve">Données générales:</w:t>
      </w:r>
    </w:p>
    <w:p>
      <w:pPr>
        <w:spacing w:after="220" w:lineRule="auto"/>
      </w:pPr>
      <w:r>
        <w:rPr/>
        <w:t xml:space="preserve">Constante d'Avogadro :</w:t>
      </w:r>
      <w:r>
        <w:rPr/>
        <w:br w:type="textWrapping"/>
      </w:r>
      <w:r>
        <w:rPr/>
        <w:t xml:space="preserve">Constante des gaz parfaits :</w:t>
      </w:r>
      <w:r>
        <w:rPr/>
        <w:br w:type="textWrapping"/>
      </w:r>
      <w:r>
        <w:rPr/>
        <w:t xml:space="preserve">Constante de Boltzmann :</w:t>
      </w:r>
      <w:r>
        <w:rPr/>
        <w:br w:type="textWrapping"/>
      </w:r>
      <w:r>
        <w:rPr/>
        <w:t xml:space="preserve">Constante de Plank :</w:t>
      </w:r>
      <w:r>
        <w:rPr/>
        <w:br w:type="textWrapping"/>
      </w:r>
      <w:r>
        <w:rPr>
          <w:rFonts w:eastAsia="Georgia" w:cs="Georgia" w:ascii="Georgia" w:hAnsi="Georgia"/>
        </w:rPr>
        <w:t xml:space="preserve">Masse d'un électron :</w:t>
      </w:r>
      <w:r>
        <w:rPr/>
        <w:br w:type="textWrapping"/>
      </w:r>
      <w:r>
        <w:rPr/>
        <w:t xml:space="preserve">Masse molaire du Gallium :</w:t>
      </w:r>
      <w:r>
        <w:rPr/>
        <w:br w:type="textWrapping"/>
      </w:r>
      <w:r>
        <w:rPr>
          <w:rFonts w:eastAsia="Georgia" w:cs="Georgia" w:ascii="Georgia" w:hAnsi="Georgia"/>
        </w:rPr>
        <w:t xml:space="preserve">Expression du Laplacien en coordonnées cylindriques</w:t>
      </w:r>
      <w:r>
        <w:rPr/>
        <w:br w:type="textWrapping"/>
      </w:r>
      <w:r>
        <w:rPr>
          <w:rFonts w:eastAsia="Georgia" w:cs="Georgia" w:ascii="Georgia" w:hAnsi="Georgia"/>
        </w:rPr>
        <w:t xml:space="preserve">Données numériques :</w:t>
      </w:r>
      <w:r>
        <w:rPr/>
        <w:br w:type="textWrapping"/>
      </w:r>
      <m:oMathPara>
        <m:oMathParaPr>
          <m:jc m:val="left"/>
        </m:oMathParaPr>
        <m:oMath>
          <m:sSub>
            <m:sSubPr/>
            <m:e>
              <m:r>
                <m:rPr>
                  <m:sty m:val="i"/>
                </m:rPr>
                <m:t>N</m:t>
              </m:r>
            </m:e>
            <m:sub>
              <m:r>
                <m:rPr>
                  <m:sty m:val="i"/>
                </m:rPr>
                <m:t>A</m:t>
              </m:r>
            </m:sub>
          </m:sSub>
          <m:r>
            <m:rPr>
              <m:sty m:val="p"/>
            </m:rPr>
            <m:t>=</m:t>
          </m:r>
          <m:r>
            <m:rPr>
              <m:sty m:val="p"/>
            </m:rPr>
            <m:t>6</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R</m:t>
          </m:r>
          <m:r>
            <m:rPr>
              <m:sty m:val="p"/>
            </m:rPr>
            <m:t>=</m:t>
          </m:r>
          <m:sSub>
            <m:sSubPr/>
            <m:e>
              <m:r>
                <m:rPr>
                  <m:sty m:val="i"/>
                </m:rPr>
                <m:t>k</m:t>
              </m:r>
            </m:e>
            <m:sub>
              <m:r>
                <m:rPr>
                  <m:sty m:val="i"/>
                </m:rPr>
                <m:t>B</m:t>
              </m:r>
            </m:sub>
          </m:sSub>
          <m:sSub>
            <m:sSubPr/>
            <m:e>
              <m:r>
                <m:rPr>
                  <m:sty m:val="i"/>
                </m:rPr>
                <m:t>N</m:t>
              </m:r>
            </m:e>
            <m:sub>
              <m:r>
                <m:rPr>
                  <m:sty m:val="i"/>
                </m:rPr>
                <m:t>A</m:t>
              </m:r>
            </m:sub>
          </m:sSub>
          <m:r>
            <m:rPr>
              <m:sty m:val="p"/>
            </m:rPr>
            <m:t>=</m:t>
          </m:r>
          <m:r>
            <m:rPr>
              <m:sty m:val="p"/>
            </m:rPr>
            <m:t>8</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m:oMathPara>
      <w:r>
        <w:rPr/>
        <w:br w:type="textWrapping"/>
      </w:r>
      <m:oMathPara>
        <m:oMathParaPr>
          <m:jc m:val="left"/>
        </m:oMathParaPr>
        <m:oMath>
          <m:sSub>
            <m:sSubPr/>
            <m:e>
              <m:r>
                <m:rPr>
                  <m:sty m:val="i"/>
                </m:rPr>
                <m:t>k</m:t>
              </m:r>
            </m:e>
            <m:sub>
              <m:r>
                <m:rPr>
                  <m:sty m:val="i"/>
                </m:rPr>
                <m:t>B</m:t>
              </m:r>
            </m:sub>
          </m:sSub>
          <m:r>
            <m:rPr>
              <m:sty m:val="p"/>
            </m:rPr>
            <m:t>=</m:t>
          </m:r>
          <m:r>
            <m:rPr>
              <m:sty m:val="i"/>
            </m:rPr>
            <m:t>R</m:t>
          </m:r>
          <m:r>
            <m:rPr>
              <m:sty m:val="p"/>
            </m:rPr>
            <m:t>/</m:t>
          </m:r>
          <m:sSub>
            <m:sSubPr/>
            <m:e>
              <m:r>
                <m:rPr>
                  <m:sty m:val="i"/>
                </m:rPr>
                <m:t>N</m:t>
              </m:r>
            </m:e>
            <m:sub>
              <m:r>
                <m:rPr>
                  <m:sty m:val="i"/>
                </m:rPr>
                <m:t>A</m:t>
              </m:r>
            </m:sub>
          </m:sSub>
        </m:oMath>
      </m:oMathPara>
      <w:r>
        <w:rPr/>
        <w:br w:type="textWrapping"/>
      </w:r>
      <m:oMath>
        <m:r>
          <m:rPr>
            <m:sty m:val="i"/>
          </m:rPr>
          <m:t>h</m:t>
        </m:r>
        <m:r>
          <m:rPr>
            <m:sty m:val="p"/>
          </m:rPr>
          <m:t>=</m:t>
        </m:r>
        <m:r>
          <m:rPr>
            <m:sty m:val="p"/>
          </m:rPr>
          <m:t>6</m:t>
        </m:r>
        <m:r>
          <m:rPr>
            <m:sty m:val="p"/>
          </m:rPr>
          <m:t>×</m:t>
        </m:r>
        <m:sSup>
          <m:sSupPr/>
          <m:e>
            <m:r>
              <m:rPr>
                <m:sty m:val="p"/>
              </m:rPr>
              <m:t>10</m:t>
            </m:r>
          </m:e>
          <m:sup>
            <m:r>
              <m:rPr>
                <m:sty m:val="p"/>
              </m:rPr>
              <m:t>−</m:t>
            </m:r>
            <m:r>
              <m:rPr>
                <m:sty m:val="p"/>
              </m:rPr>
              <m:t>34</m:t>
            </m:r>
          </m:sup>
        </m:sSup>
      </m:oMath>
      <w:r>
        <w:rPr/>
        <w:t xml:space="preserve"> J.s</w:t>
      </w:r>
      <w:r>
        <w:rPr/>
        <w:br w:type="textWrapping"/>
      </w:r>
      <m:oMathPara>
        <m:oMathParaPr>
          <m:jc m:val="left"/>
        </m:oMathParaPr>
        <m:oMath>
          <m:sSub>
            <m:sSubPr/>
            <m:e>
              <m:r>
                <m:rPr>
                  <m:sty m:val="i"/>
                </m:rPr>
                <m:t>m</m:t>
              </m:r>
            </m:e>
            <m:sub>
              <m:r>
                <m:rPr>
                  <m:sty m:val="i"/>
                </m:rPr>
                <m:t>e</m:t>
              </m:r>
            </m:sub>
          </m:sSub>
          <m:r>
            <m:rPr>
              <m:sty m:val="p"/>
            </m:rPr>
            <m:t>=</m:t>
          </m:r>
          <m:r>
            <m:rPr>
              <m:sty m:val="p"/>
            </m:rPr>
            <m:t>9</m:t>
          </m:r>
          <m:r>
            <m:rPr>
              <m:sty m:val="p"/>
            </m:rPr>
            <m:t>×</m:t>
          </m:r>
          <m:sSup>
            <m:sSupPr/>
            <m:e>
              <m:r>
                <m:rPr>
                  <m:sty m:val="p"/>
                </m:rPr>
                <m:t>10</m:t>
              </m:r>
            </m:e>
            <m:sup>
              <m:r>
                <m:rPr>
                  <m:sty m:val="p"/>
                </m:rPr>
                <m:t>−</m:t>
              </m:r>
              <m:r>
                <m:rPr>
                  <m:sty m:val="p"/>
                </m:rPr>
                <m:t>31</m:t>
              </m:r>
            </m:sup>
          </m:sSup>
          <m:r>
            <m:rPr>
              <m:nor/>
            </m:rPr>
            <m:t xml:space="preserve"> </m:t>
          </m:r>
          <m:r>
            <m:rPr>
              <m:sty m:val="p"/>
            </m:rPr>
            <m:t>kg</m:t>
          </m:r>
        </m:oMath>
      </m:oMathPara>
      <w:r>
        <w:rPr/>
        <w:br w:type="textWrapping"/>
      </w:r>
      <m:oMathPara>
        <m:oMathParaPr>
          <m:jc m:val="left"/>
        </m:oMathParaPr>
        <m:oMath>
          <m:sSub>
            <m:sSubPr/>
            <m:e>
              <m:r>
                <m:rPr>
                  <m:sty m:val="i"/>
                </m:rPr>
                <m:t>M</m:t>
              </m:r>
            </m:e>
            <m:sub>
              <m:r>
                <m:rPr>
                  <m:sty m:val="i"/>
                </m:rPr>
                <m:t>G</m:t>
              </m:r>
              <m:r>
                <m:rPr>
                  <m:sty m:val="i"/>
                </m:rPr>
                <m:t>a</m:t>
              </m:r>
            </m:sub>
          </m:sSub>
          <m:r>
            <m:rPr>
              <m:sty m:val="p"/>
            </m:rPr>
            <m:t>=</m:t>
          </m:r>
          <m:r>
            <m:rPr>
              <m:sty m:val="p"/>
            </m:rPr>
            <m:t>70</m:t>
          </m:r>
          <m:sSup>
            <m:sSupPr/>
            <m:e>
              <m:r>
                <m:rPr>
                  <m:sty m:val="p"/>
                </m:rPr>
                <m:t>g</m:t>
              </m:r>
              <m:r>
                <m:rPr>
                  <m:sty m:val="p"/>
                </m:rPr>
                <m:t>.</m:t>
              </m:r>
              <m:r>
                <m:rPr>
                  <m:sty m:val="p"/>
                </m:rPr>
                <m:t>mol</m:t>
              </m:r>
            </m:e>
            <m:sup>
              <m:r>
                <m:rPr>
                  <m:sty m:val="p"/>
                </m:rPr>
                <m:t>−</m:t>
              </m:r>
              <m:r>
                <m:rPr>
                  <m:sty m:val="p"/>
                </m:rPr>
                <m:t>1</m:t>
              </m:r>
            </m:sup>
          </m:sSup>
        </m:oMath>
      </m:oMathPara>
      <w:r>
        <w:rPr/>
        <w:br w:type="textWrapping"/>
      </w:r>
      <m:oMathPara>
        <m:oMathParaPr>
          <m:jc m:val="left"/>
        </m:oMathParaPr>
        <m:oMath>
          <m:r>
            <m:rPr>
              <m:sty m:val="p"/>
            </m:rPr>
            <m:t>:</m:t>
          </m:r>
          <m:r>
            <m:rPr>
              <m:sty m:val="p"/>
            </m:rPr>
            <m:t>Δ</m:t>
          </m:r>
          <m:r>
            <m:rPr>
              <m:sty m:val="i"/>
            </m:rPr>
            <m:t>f</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f</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z</m:t>
                  </m:r>
                </m:e>
                <m:sup>
                  <m:r>
                    <m:rPr>
                      <m:sty m:val="p"/>
                    </m:rPr>
                    <m:t>2</m:t>
                  </m:r>
                </m:sup>
              </m:sSup>
            </m:den>
          </m:f>
        </m:oMath>
      </m:oMathPara>
      <w:r>
        <w:rPr/>
        <w:br w:type="textWrapping"/>
      </w:r>
      <m:oMathPara>
        <m:oMathParaPr>
          <m:jc m:val="left"/>
        </m:oMathParaPr>
        <m:oMath>
          <m:rad>
            <m:radPr>
              <m:degHide m:val="1"/>
              <m:ctrlPr>
                <w:rPr>
                  <w:rFonts w:ascii="Cambria Math" w:hAnsi="Cambria Math"/>
                </w:rPr>
              </m:ctrlPr>
            </m:radPr>
            <m:deg/>
            <m:e/>
          </m:rad>
          <m:r>
            <m:rPr>
              <m:sty m:val="p"/>
            </m:rPr>
            <m:t>21</m:t>
          </m:r>
          <m:r>
            <m:rPr>
              <m:sty m:val="i"/>
            </m:rPr>
            <m:t>π</m:t>
          </m:r>
          <m:r>
            <m:rPr>
              <m:sty m:val="p"/>
            </m:rPr>
            <m:t>≈</m:t>
          </m:r>
          <m:r>
            <m:rPr>
              <m:sty m:val="p"/>
            </m:rPr>
            <m:t>8</m:t>
          </m:r>
        </m:oMath>
      </m:oMathPara>
      <w:r>
        <w:rPr/>
        <w:br w:type="textWrapping"/>
      </w:r>
    </w:p>
    <w:p>
      <w:pPr>
        <w:spacing w:lineRule="auto"/>
        <w:jc w:val="center"/>
      </w:pPr>
      <w:r>
        <w:rPr/>
        <w:drawing>
          <wp:inline distB="0" distL="0" distR="0" distT="0">
            <wp:extent cx="247650" cy="5848350"/>
            <wp:effectExtent b="0" l="0" r="0" t="0"/>
            <wp:docPr id="15" name="image-81047065217df78e634d55185ddb79f4b8edc628.jpg"/>
            <a:graphic>
              <a:graphicData uri="http://schemas.openxmlformats.org/drawingml/2006/picture">
                <pic:pic>
                  <pic:nvPicPr>
                    <pic:cNvPr id="15" name="image-81047065217df78e634d55185ddb79f4b8edc628.jpg" descr=""/>
                    <pic:cNvPicPr/>
                  </pic:nvPicPr>
                  <pic:blipFill>
                    <a:blip r:embed="rId19" cstate="print"/>
                    <a:srcRect b="0" l="0" r="0" t="0"/>
                    <a:stretch>
                      <a:fillRect/>
                    </a:stretch>
                  </pic:blipFill>
                  <pic:spPr>
                    <a:xfrm>
                      <a:off x="0" y="0"/>
                      <a:ext cx="247650" cy="5848350"/>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Académie :</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Modèle EN.</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Examen ou Concours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Série*: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Spécialité/option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Repère de l'épreuve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Épreuve/sous-épreuve: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523875" cy="2352675"/>
                  <wp:effectExtent b="0" l="0" r="0" t="0"/>
                  <wp:docPr id="16" name="image-f6792c91d710b159a5ea5dfb4c2dcc09c01bb455.jpg"/>
                  <a:graphic>
                    <a:graphicData uri="http://schemas.openxmlformats.org/drawingml/2006/picture">
                      <pic:pic>
                        <pic:nvPicPr>
                          <pic:cNvPr id="16" name="image-f6792c91d710b159a5ea5dfb4c2dcc09c01bb455.jpg" descr=""/>
                          <pic:cNvPicPr/>
                        </pic:nvPicPr>
                        <pic:blipFill>
                          <a:blip r:embed="rId20" cstate="print"/>
                          <a:srcRect b="0" l="0" r="0" t="0"/>
                          <a:stretch>
                            <a:fillRect/>
                          </a:stretch>
                        </pic:blipFill>
                        <pic:spPr>
                          <a:xfrm>
                            <a:off x="0" y="0"/>
                            <a:ext cx="523875" cy="23526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133</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3245413"/>
                  <wp:effectExtent b="0" l="0" r="0" t="0"/>
                  <wp:docPr id="17" name="image-25f729654ab624d7bf8a55b5e0dc142f0dba9842.jpg"/>
                  <a:graphic>
                    <a:graphicData uri="http://schemas.openxmlformats.org/drawingml/2006/picture">
                      <pic:pic>
                        <pic:nvPicPr>
                          <pic:cNvPr id="17" name="image-25f729654ab624d7bf8a55b5e0dc142f0dba9842.jpg" descr=""/>
                          <pic:cNvPicPr/>
                        </pic:nvPicPr>
                        <pic:blipFill>
                          <a:blip r:embed="rId21" cstate="print"/>
                          <a:srcRect b="0" l="0" r="0" t="0"/>
                          <a:stretch>
                            <a:fillRect/>
                          </a:stretch>
                        </pic:blipFill>
                        <pic:spPr>
                          <a:xfrm>
                            <a:off x="0" y="0"/>
                            <a:ext cx="5486400" cy="3245413"/>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486400" cy="3664367"/>
                  <wp:effectExtent b="0" l="0" r="0" t="0"/>
                  <wp:docPr id="18" name="image-93b5bed0e5f16489428df94859e8066c7bb9b361.jpg"/>
                  <a:graphic>
                    <a:graphicData uri="http://schemas.openxmlformats.org/drawingml/2006/picture">
                      <pic:pic>
                        <pic:nvPicPr>
                          <pic:cNvPr id="18" name="image-93b5bed0e5f16489428df94859e8066c7bb9b361.jpg" descr=""/>
                          <pic:cNvPicPr/>
                        </pic:nvPicPr>
                        <pic:blipFill>
                          <a:blip r:embed="rId22" cstate="print"/>
                          <a:srcRect b="0" l="0" r="0" t="0"/>
                          <a:stretch>
                            <a:fillRect/>
                          </a:stretch>
                        </pic:blipFill>
                        <pic:spPr>
                          <a:xfrm>
                            <a:off x="0" y="0"/>
                            <a:ext cx="5486400" cy="3664367"/>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gridSpan w:val="4"/>
            <w:tcBorders>
              <w:left w:val="single" w:sz="8" w:space="0" w:color="000000"/>
              <w:bottom w:val="single" w:sz="8" w:space="0" w:color="000000"/>
              <w:right w:val="single" w:sz="8" w:space="0" w:color="000000"/>
            </w:tcBorders>
          </w:tcPr>
          <w:p>
            <w:pPr>
              <w:spacing w:lineRule="auto"/>
              <w:jc w:val="center"/>
            </w:pPr>
            <w:r>
              <w:rPr/>
              <w:t xml:space="preserve">Figure C.1 : Chronogramme du signal </w:t>
            </w:r>
            <m:oMath>
              <m:sSub>
                <m:sSubPr/>
                <m:e>
                  <m:r>
                    <m:rPr>
                      <m:sty m:val="i"/>
                    </m:rPr>
                    <m:t>u</m:t>
                  </m:r>
                </m:e>
                <m:sub>
                  <m:r>
                    <m:rPr>
                      <m:sty m:val="i"/>
                    </m:rPr>
                    <m:t>e</m:t>
                  </m:r>
                </m:sub>
              </m:sSub>
              <m:r>
                <m:rPr>
                  <m:sty m:val="p"/>
                </m:rPr>
                <m:t>(</m:t>
              </m:r>
              <m:r>
                <m:rPr>
                  <m:sty m:val="i"/>
                </m:rPr>
                <m:t>t</m:t>
              </m:r>
              <m:r>
                <m:rPr>
                  <m:sty m:val="p"/>
                </m:rPr>
                <m:t>)</m:t>
              </m:r>
            </m:oMath>
            <w:r>
              <w:rPr>
                <w:rFonts w:eastAsia="Georgia" w:cs="Georgia" w:ascii="Georgia" w:hAnsi="Georgia"/>
              </w:rPr>
              <w:t xml:space="preserve"> sur une période.</w:t>
            </w:r>
          </w:p>
        </w:tc>
      </w:tr>
    </w:tbl>
    <w:p>
      <w:pPr>
        <w:spacing w:lineRule="auto"/>
      </w:pPr>
    </w:p>
    <w:p>
      <w:pPr>
        <w:spacing w:after="220" w:lineRule="auto"/>
      </w:pPr>
      <w:r>
        <w:rPr>
          <w:rFonts w:eastAsia="Georgia" w:cs="Georgia" w:ascii="Georgia" w:hAnsi="Georgia"/>
        </w:rPr>
        <w:t xml:space="preserve">C. 2 - Création d'un signal dent de scie - Question Q13.</w:t>
      </w:r>
    </w:p>
    <w:p>
      <w:pPr>
        <w:spacing w:lineRule="auto"/>
        <w:jc w:val="center"/>
      </w:pPr>
      <w:r>
        <w:rPr/>
        <w:drawing>
          <wp:inline distB="0" distL="0" distR="0" distT="0">
            <wp:extent cx="5486400" cy="3831771"/>
            <wp:effectExtent b="0" l="0" r="0" t="0"/>
            <wp:docPr id="19" name="image-b7417b9760011cab4edcd2b25fdb9346098b8714.jpg"/>
            <a:graphic>
              <a:graphicData uri="http://schemas.openxmlformats.org/drawingml/2006/picture">
                <pic:pic>
                  <pic:nvPicPr>
                    <pic:cNvPr id="19" name="image-b7417b9760011cab4edcd2b25fdb9346098b8714.jpg" descr=""/>
                    <pic:cNvPicPr/>
                  </pic:nvPicPr>
                  <pic:blipFill>
                    <a:blip r:embed="rId23" cstate="print"/>
                    <a:srcRect b="0" l="0" r="0" t="0"/>
                    <a:stretch>
                      <a:fillRect/>
                    </a:stretch>
                  </pic:blipFill>
                  <pic:spPr>
                    <a:xfrm>
                      <a:off x="0" y="0"/>
                      <a:ext cx="5486400" cy="3831771"/>
                    </a:xfrm>
                    <a:prstGeom prst="rect"/>
                  </pic:spPr>
                </pic:pic>
              </a:graphicData>
            </a:graphic>
          </wp:inline>
        </w:drawing>
      </w:r>
    </w:p>
    <w:p>
      <w:pPr>
        <w:spacing w:lineRule="auto"/>
      </w:pPr>
      <w:r>
        <w:rPr>
          <w:rFonts w:eastAsia="Georgia" w:cs="Georgia" w:ascii="Georgia" w:hAnsi="Georgia"/>
        </w:rPr>
        <w:t xml:space="preserve">Figure C. 2 : Chronogramme à compléter : on fera apparaître les grandeurs </w:t>
      </w:r>
      <m:oMath>
        <m:r>
          <m:rPr>
            <m:sty m:val="p"/>
          </m:rPr>
          <m:t>Δ</m:t>
        </m:r>
        <m:sSub>
          <m:sSubPr/>
          <m:e>
            <m:r>
              <m:rPr>
                <m:sty m:val="i"/>
              </m:rPr>
              <m:t>t</m:t>
            </m:r>
          </m:e>
          <m:sub>
            <m:r>
              <m:rPr>
                <m:nor/>
              </m:rPr>
              <m:t>haut </m:t>
            </m:r>
          </m:sub>
        </m:sSub>
      </m:oMath>
      <w:r>
        <w:rPr/>
        <w:t xml:space="preserve"> et </w:t>
      </w:r>
      <m:oMath>
        <m:r>
          <m:rPr>
            <m:sty m:val="p"/>
          </m:rPr>
          <m:t>Δ</m:t>
        </m:r>
        <m:sSub>
          <m:sSubPr/>
          <m:e>
            <m:r>
              <m:rPr>
                <m:sty m:val="i"/>
              </m:rPr>
              <m:t>t</m:t>
            </m:r>
          </m:e>
          <m:sub>
            <m:r>
              <m:rPr>
                <m:nor/>
              </m:rPr>
              <m:t>bas </m:t>
            </m:r>
          </m:sub>
        </m:sSub>
      </m:oMath>
      <w:r>
        <w:rPr/>
        <w:t xml:space="preserve"> :</w:t>
      </w:r>
    </w:p>
    <w:p>
      <w:pPr>
        <w:spacing w:lineRule="auto"/>
        <w:jc w:val="center"/>
      </w:pPr>
      <w:r>
        <w:rPr/>
        <w:drawing>
          <wp:inline distB="0" distL="0" distR="0" distT="0">
            <wp:extent cx="5486400" cy="1618414"/>
            <wp:effectExtent b="0" l="0" r="0" t="0"/>
            <wp:docPr id="20" name="image-884b756b7355cf7bcf868f531a57f7f60221af39.jpg"/>
            <a:graphic>
              <a:graphicData uri="http://schemas.openxmlformats.org/drawingml/2006/picture">
                <pic:pic>
                  <pic:nvPicPr>
                    <pic:cNvPr id="20" name="image-884b756b7355cf7bcf868f531a57f7f60221af39.jpg" descr=""/>
                    <pic:cNvPicPr/>
                  </pic:nvPicPr>
                  <pic:blipFill>
                    <a:blip r:embed="rId24" cstate="print"/>
                    <a:srcRect b="0" l="0" r="0" t="0"/>
                    <a:stretch>
                      <a:fillRect/>
                    </a:stretch>
                  </pic:blipFill>
                  <pic:spPr>
                    <a:xfrm>
                      <a:off x="0" y="0"/>
                      <a:ext cx="5486400" cy="1618414"/>
                    </a:xfrm>
                    <a:prstGeom prst="rect"/>
                  </pic:spPr>
                </pic:pic>
              </a:graphicData>
            </a:graphic>
          </wp:inline>
        </w:drawing>
      </w:r>
    </w:p>
    <w:p>
      <w:pPr>
        <w:spacing w:after="220" w:lineRule="auto"/>
      </w:pPr>
      <w:r>
        <w:rPr/>
        <w:br w:type="textWrapping"/>
      </w:r>
      <w:r>
        <w:rPr/>
        <w:t xml:space="preserve">C. 3 - Diagramme (T,P) d'un corps pur - Question Q16.</w:t>
      </w:r>
      <w:r>
        <w:rPr/>
        <w:br w:type="textWrapping"/>
      </w:r>
    </w:p>
    <w:p>
      <w:pPr>
        <w:spacing w:lineRule="auto"/>
        <w:jc w:val="center"/>
      </w:pPr>
      <w:r>
        <w:rPr/>
        <w:drawing>
          <wp:inline distB="0" distL="0" distR="0" distT="0">
            <wp:extent cx="5486400" cy="5486400"/>
            <wp:effectExtent b="0" l="0" r="0" t="0"/>
            <wp:docPr id="21" name="image-7537fb38390a7ab9c1ab7c8dff9017b96173ded5.jpg"/>
            <a:graphic>
              <a:graphicData uri="http://schemas.openxmlformats.org/drawingml/2006/picture">
                <pic:pic>
                  <pic:nvPicPr>
                    <pic:cNvPr id="21" name="image-7537fb38390a7ab9c1ab7c8dff9017b96173ded5.jpg" descr=""/>
                    <pic:cNvPicPr/>
                  </pic:nvPicPr>
                  <pic:blipFill>
                    <a:blip r:embed="rId25" cstate="print"/>
                    <a:srcRect b="0" l="0" r="0" t="0"/>
                    <a:stretch>
                      <a:fillRect/>
                    </a:stretch>
                  </pic:blipFill>
                  <pic:spPr>
                    <a:xfrm>
                      <a:off x="0" y="0"/>
                      <a:ext cx="5486400" cy="5486400"/>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2c4c1f0cbb65f46bcfec95f9af71dc769b5976c.jpg" TargetMode="Internal"/><Relationship Id="rId6" Type="http://schemas.openxmlformats.org/officeDocument/2006/relationships/image" Target="media/image-1afe23cfbc2505b94e6a581e12219e1536d8f782.jpg" TargetMode="Internal"/><Relationship Id="rId7" Type="http://schemas.openxmlformats.org/officeDocument/2006/relationships/image" Target="media/image-5531f76c35175cf748148c2809c9958ad008aacf.jpg" TargetMode="Internal"/><Relationship Id="rId8" Type="http://schemas.openxmlformats.org/officeDocument/2006/relationships/image" Target="media/image-47845184a752fcfbdb3f0651da381336ed7193e2.jpg" TargetMode="Internal"/><Relationship Id="rId9" Type="http://schemas.openxmlformats.org/officeDocument/2006/relationships/image" Target="media/image-7bb466e9ea2559249280fc02904718cafecc510c.jpg" TargetMode="Internal"/><Relationship Id="rId10" Type="http://schemas.openxmlformats.org/officeDocument/2006/relationships/image" Target="media/image-1389729da97063ecb036b917629b41bc29652140.jpg" TargetMode="Internal"/><Relationship Id="rId11" Type="http://schemas.openxmlformats.org/officeDocument/2006/relationships/image" Target="media/image-8be38ddbfacc4dc81ddf47fc00f92a9ad38b2ba8.jpg" TargetMode="Internal"/><Relationship Id="rId12" Type="http://schemas.openxmlformats.org/officeDocument/2006/relationships/image" Target="media/image-f6cbdc9ad296da1d1faff2bba6512b1777af3b32.jpg" TargetMode="Internal"/><Relationship Id="rId13" Type="http://schemas.openxmlformats.org/officeDocument/2006/relationships/image" Target="media/image-ab2866c730275c3c61c722ac1aa5d51460d5137b.jpg" TargetMode="Internal"/><Relationship Id="rId14" Type="http://schemas.openxmlformats.org/officeDocument/2006/relationships/image" Target="media/image-40b0cf9660af96a5bc1ed69915ecd15a4400d443.jpg" TargetMode="Internal"/><Relationship Id="rId15" Type="http://schemas.openxmlformats.org/officeDocument/2006/relationships/image" Target="media/image-885fca7bc139e9c81cb12bb0ad049d5065f3b2e4.jpg" TargetMode="Internal"/><Relationship Id="rId16" Type="http://schemas.openxmlformats.org/officeDocument/2006/relationships/image" Target="media/image-1f3ef6c4acb67181c198d53c4549aa988a2d4e4a.jpg" TargetMode="Internal"/><Relationship Id="rId17" Type="http://schemas.openxmlformats.org/officeDocument/2006/relationships/image" Target="media/image-f58613714f9f571850af05f3d59dcde5cf69f0f0.jpg" TargetMode="Internal"/><Relationship Id="rId18" Type="http://schemas.openxmlformats.org/officeDocument/2006/relationships/image" Target="media/image-e7dec2461192cb1e0f785d0df47499cfd9aab928.jpg" TargetMode="Internal"/><Relationship Id="rId19" Type="http://schemas.openxmlformats.org/officeDocument/2006/relationships/image" Target="media/image-81047065217df78e634d55185ddb79f4b8edc628.jpg" TargetMode="Internal"/><Relationship Id="rId20" Type="http://schemas.openxmlformats.org/officeDocument/2006/relationships/image" Target="media/image-f6792c91d710b159a5ea5dfb4c2dcc09c01bb455.jpg" TargetMode="Internal"/><Relationship Id="rId21" Type="http://schemas.openxmlformats.org/officeDocument/2006/relationships/image" Target="media/image-25f729654ab624d7bf8a55b5e0dc142f0dba9842.jpg" TargetMode="Internal"/><Relationship Id="rId22" Type="http://schemas.openxmlformats.org/officeDocument/2006/relationships/image" Target="media/image-93b5bed0e5f16489428df94859e8066c7bb9b361.jpg" TargetMode="Internal"/><Relationship Id="rId23" Type="http://schemas.openxmlformats.org/officeDocument/2006/relationships/image" Target="media/image-b7417b9760011cab4edcd2b25fdb9346098b8714.jpg" TargetMode="Internal"/><Relationship Id="rId24" Type="http://schemas.openxmlformats.org/officeDocument/2006/relationships/image" Target="media/image-884b756b7355cf7bcf868f531a57f7f60221af39.jpg" TargetMode="Internal"/><Relationship Id="rId25" Type="http://schemas.openxmlformats.org/officeDocument/2006/relationships/image" Target="media/image-7537fb38390a7ab9c1ab7c8dff9017b96173ded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