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de Physique C - Chimie</w:t>
      </w:r>
    </w:p>
    <w:p>
      <w:pPr>
        <w:spacing w:after="220" w:lineRule="auto"/>
      </w:pPr>
      <w:r>
        <w:rPr>
          <w:rFonts w:eastAsia="Georgia" w:cs="Georgia" w:ascii="Georgia" w:hAnsi="Georgia"/>
        </w:rPr>
        <w:t xml:space="preserve">Durée 2 h</w:t>
      </w:r>
      <w:r>
        <w:rPr/>
        <w:br w:type="textWrapping"/>
      </w: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after="220" w:lineRule="auto"/>
      </w:pPr>
      <w:r>
        <w:rPr>
          <w:rFonts w:eastAsia="Georgia" w:cs="Georgia" w:ascii="Georgia" w:hAnsi="Georgia"/>
        </w:rPr>
        <w:t xml:space="preserve">L'usage de calculatrices n'est pas autorisé.</w:t>
      </w:r>
    </w:p>
    <w:p>
      <w:pPr>
        <w:spacing w:line="271" w:before="330" w:lineRule="auto"/>
      </w:pPr>
      <w:r>
        <w:rPr>
          <w:rFonts w:eastAsia="Georgia" w:cs="Georgia" w:ascii="Georgia" w:hAnsi="Georgia"/>
          <w:b/>
          <w:sz w:val="42"/>
        </w:rPr>
        <w:t xml:space="preserve">À rendre avec la copie 1 document réponse non plié</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encadrés et non justifiés ne seront pas pris en compte.</w:t>
      </w:r>
    </w:p>
    <w:p>
      <w:pPr>
        <w:spacing w:line="271" w:before="330" w:lineRule="auto"/>
      </w:pPr>
      <w:r>
        <w:rPr>
          <w:rFonts w:eastAsia="Georgia" w:cs="Georgia" w:ascii="Georgia" w:hAnsi="Georgia"/>
          <w:b/>
          <w:sz w:val="42"/>
        </w:rPr>
        <w:t xml:space="preserve">l-Elément et cristallographie</w:t>
      </w:r>
    </w:p>
    <w:p>
      <w:pPr>
        <w:spacing w:after="220" w:lineRule="auto"/>
      </w:pPr>
      <w:r>
        <w:rPr>
          <w:rFonts w:eastAsia="Georgia" w:cs="Georgia" w:ascii="Georgia" w:hAnsi="Georgia"/>
        </w:rPr>
        <w:t xml:space="preserve">l.1. Un des isotopes de l'élément fer a pour représentation: </w:t>
      </w:r>
      <m:oMath>
        <m:sSubSup>
          <m:sSubSupPr/>
          <m:e>
            <m:r>
              <m:t xml:space="preserve"> </m:t>
            </m:r>
          </m:e>
          <m:sub>
            <m:r>
              <m:rPr>
                <m:sty m:val="p"/>
              </m:rPr>
              <m:t>26</m:t>
            </m:r>
          </m:sub>
          <m:sup>
            <m:r>
              <m:rPr>
                <m:sty m:val="p"/>
              </m:rPr>
              <m:t>56</m:t>
            </m:r>
          </m:sup>
        </m:sSubSup>
        <m:r>
          <m:rPr>
            <m:sty m:val="p"/>
          </m:rPr>
          <m:t>Fe</m:t>
        </m:r>
      </m:oMath>
      <w:r>
        <w:rPr/>
        <w:br w:type="textWrapping"/>
      </w:r>
      <w:r>
        <w:rPr>
          <w:rFonts w:eastAsia="Georgia" w:cs="Georgia" w:ascii="Georgia" w:hAnsi="Georgia"/>
        </w:rPr>
        <w:t xml:space="preserve">I.1.1 Donner la signification de chacun des nombres accolés ci-dessus au symbole Fe , pour cet isotope</w:t>
      </w:r>
      <w:r>
        <w:rPr/>
        <w:br w:type="textWrapping"/>
      </w:r>
      <w:r>
        <w:rPr>
          <w:rFonts w:eastAsia="Georgia" w:cs="Georgia" w:ascii="Georgia" w:hAnsi="Georgia"/>
        </w:rPr>
        <w:t xml:space="preserve">1.1.2 Indiquer la configuration électronique de l'atome de fer à l'état fondamental. On indiquera quelles sont les règles classiques suivies pour effectuer cette détermination.</w:t>
      </w:r>
      <w:r>
        <w:rPr/>
        <w:br w:type="textWrapping"/>
      </w:r>
      <w:r>
        <w:rPr>
          <w:rFonts w:eastAsia="Georgia" w:cs="Georgia" w:ascii="Georgia" w:hAnsi="Georgia"/>
        </w:rPr>
        <w:t xml:space="preserve">1.1.3 Indiquer le nombre et la localisation des électrons de valence et préciser les configurations électroniques des ions ferreux et ferrique.</w:t>
      </w:r>
      <w:r>
        <w:rPr/>
        <w:br w:type="textWrapping"/>
      </w:r>
      <w:r>
        <w:rPr/>
        <w:t xml:space="preserve">I.1.4 A quel groupe appartient le fer? Pourquoi?</w:t>
      </w:r>
      <w:r>
        <w:rPr/>
        <w:br w:type="textWrapping"/>
      </w:r>
      <w:r>
        <w:rPr/>
        <w:t xml:space="preserve">I.1.5 La masse atomique exacte du fer est de </w:t>
      </w:r>
      <m:oMath>
        <m:r>
          <m:rPr>
            <m:sty m:val="p"/>
          </m:rPr>
          <m:t>55</m:t>
        </m:r>
        <m:r>
          <m:rPr>
            <m:sty m:val="p"/>
          </m:rPr>
          <m:t>,</m:t>
        </m:r>
        <m:r>
          <m:rPr>
            <m:sty m:val="p"/>
          </m:rPr>
          <m:t>847</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 Expliquer.</w:t>
      </w:r>
      <w:r>
        <w:rPr/>
        <w:br w:type="textWrapping"/>
      </w:r>
      <w:r>
        <w:rPr>
          <w:rFonts w:eastAsia="Georgia" w:cs="Georgia" w:ascii="Georgia" w:hAnsi="Georgia"/>
        </w:rPr>
        <w:t xml:space="preserve">1.2. Le fer existe sous trois variétés cubiques polymorphiques. Pour des températures comprises entre </w:t>
      </w:r>
      <m:oMath>
        <m:sSup>
          <m:sSupPr/>
          <m:e>
            <m:r>
              <m:rPr>
                <m:sty m:val="p"/>
              </m:rPr>
              <m:t>910</m:t>
            </m:r>
          </m:e>
          <m:sup>
            <m:r>
              <m:rPr>
                <m:sty m:val="p"/>
              </m:rPr>
              <m:t>∘</m:t>
            </m:r>
          </m:sup>
        </m:sSup>
        <m:r>
          <m:rPr>
            <m:sty m:val="p"/>
          </m:rPr>
          <m:t>C</m:t>
        </m:r>
      </m:oMath>
      <w:r>
        <w:rPr/>
        <w:t xml:space="preserve"> et </w:t>
      </w:r>
      <m:oMath>
        <m:sSup>
          <m:sSupPr/>
          <m:e>
            <m:r>
              <m:rPr>
                <m:sty m:val="p"/>
              </m:rPr>
              <m:t>1400</m:t>
            </m:r>
          </m:e>
          <m:sup>
            <m:r>
              <m:rPr>
                <m:sty m:val="p"/>
              </m:rPr>
              <m:t>∘</m:t>
            </m:r>
          </m:sup>
        </m:sSup>
        <m:r>
          <m:rPr>
            <m:sty m:val="p"/>
          </m:rPr>
          <m:t>C</m:t>
        </m:r>
      </m:oMath>
      <w:r>
        <w:rPr>
          <w:rFonts w:eastAsia="Georgia" w:cs="Georgia" w:ascii="Georgia" w:hAnsi="Georgia"/>
        </w:rPr>
        <w:t xml:space="preserve">, la variété cristalline stable (notée Fe y ou austénite) est de structure cubique face centrée.</w:t>
      </w:r>
      <w:r>
        <w:rPr/>
        <w:br w:type="textWrapping"/>
      </w:r>
      <w:r>
        <w:rPr>
          <w:rFonts w:eastAsia="Georgia" w:cs="Georgia" w:ascii="Georgia" w:hAnsi="Georgia"/>
        </w:rPr>
        <w:t xml:space="preserve">1.2.1 Représenter la maille élémentaire de l'austénite</w:t>
      </w:r>
      <w:r>
        <w:rPr/>
        <w:br w:type="textWrapping"/>
      </w:r>
      <w:r>
        <w:rPr>
          <w:rFonts w:eastAsia="Georgia" w:cs="Georgia" w:ascii="Georgia" w:hAnsi="Georgia"/>
        </w:rPr>
        <w:t xml:space="preserve">1.2.2 On suppose que les atomes de fer sont des sphères indéformables et que la structure est compacte. Donner la définition et déterminer l'expression littérale de la compacité de l'austénite. Est-elle égale à </w:t>
      </w:r>
      <m:oMath>
        <m:f>
          <m:fPr>
            <m:ctrlPr>
              <w:rPr>
                <w:rFonts w:ascii="Cambria Math" w:hAnsi="Cambria Math"/>
              </w:rPr>
            </m:ctrlPr>
          </m:fPr>
          <m:num>
            <m:r>
              <m:rPr>
                <m:sty m:val="i"/>
              </m:rPr>
              <m:t>π</m:t>
            </m:r>
            <m:rad>
              <m:radPr>
                <m:degHide m:val="1"/>
                <m:ctrlPr>
                  <w:rPr>
                    <w:rFonts w:ascii="Cambria Math" w:hAnsi="Cambria Math"/>
                  </w:rPr>
                </m:ctrlPr>
              </m:radPr>
              <m:deg/>
              <m:e>
                <m:r>
                  <m:rPr>
                    <m:sty m:val="p"/>
                  </m:rPr>
                  <m:t>2</m:t>
                </m:r>
              </m:e>
            </m:rad>
          </m:num>
          <m:den>
            <m:r>
              <m:rPr>
                <m:sty m:val="p"/>
              </m:rPr>
              <m:t>6</m:t>
            </m:r>
          </m:den>
        </m:f>
      </m:oMath>
      <w:r>
        <w:rPr/>
        <w:t xml:space="preserve"> ?</w:t>
      </w:r>
      <w:r>
        <w:rPr/>
        <w:br w:type="textWrapping"/>
      </w:r>
      <w:r>
        <w:rPr>
          <w:rFonts w:eastAsia="Georgia" w:cs="Georgia" w:ascii="Georgia" w:hAnsi="Georgia"/>
        </w:rPr>
        <w:t xml:space="preserve">I.2.3 Donner le nombre et la position des sites tétraédriques présents dans cette maille.</w:t>
      </w:r>
      <w:r>
        <w:rPr/>
        <w:br w:type="textWrapping"/>
      </w:r>
      <w:r>
        <w:rPr>
          <w:rFonts w:eastAsia="Georgia" w:cs="Georgia" w:ascii="Georgia" w:hAnsi="Georgia"/>
        </w:rPr>
        <w:t xml:space="preserve">1.2.4 Donner le nombre et la position des sites octaédriques présents dans cette maille.</w:t>
      </w:r>
      <w:r>
        <w:rPr/>
        <w:br w:type="textWrapping"/>
      </w:r>
      <w:r>
        <w:rPr>
          <w:rFonts w:eastAsia="Georgia" w:cs="Georgia" w:ascii="Georgia" w:hAnsi="Georgia"/>
        </w:rPr>
        <w:t xml:space="preserve">1.2.5 Quelle est la relation entre le nombre de sites octaédriques et de sites tétraédriques dans cette structure?</w:t>
      </w:r>
      <w:r>
        <w:rPr/>
        <w:br w:type="textWrapping"/>
      </w:r>
      <w:r>
        <w:rPr>
          <w:rFonts w:eastAsia="Georgia" w:cs="Georgia" w:ascii="Georgia" w:hAnsi="Georgia"/>
        </w:rPr>
        <w:t xml:space="preserve">1.3. La variété cristalline stable à des températures inférieures à </w:t>
      </w:r>
      <m:oMath>
        <m:sSup>
          <m:sSupPr/>
          <m:e>
            <m:r>
              <m:rPr>
                <m:sty m:val="p"/>
              </m:rPr>
              <m:t>910</m:t>
            </m:r>
          </m:e>
          <m:sup>
            <m:r>
              <m:rPr>
                <m:sty m:val="p"/>
              </m:rPr>
              <m:t>∘</m:t>
            </m:r>
          </m:sup>
        </m:sSup>
        <m:r>
          <m:rPr>
            <m:sty m:val="p"/>
          </m:rPr>
          <m:t>C</m:t>
        </m:r>
      </m:oMath>
      <w:r>
        <w:rPr>
          <w:rFonts w:eastAsia="Georgia" w:cs="Georgia" w:ascii="Georgia" w:hAnsi="Georgia"/>
        </w:rPr>
        <w:t xml:space="preserve">, (notée Fe a ) est de structure cubique centrée.</w:t>
      </w:r>
      <w:r>
        <w:rPr/>
        <w:br w:type="textWrapping"/>
      </w:r>
      <w:r>
        <w:rPr>
          <w:rFonts w:eastAsia="Georgia" w:cs="Georgia" w:ascii="Georgia" w:hAnsi="Georgia"/>
        </w:rPr>
        <w:t xml:space="preserve">I.3.1 Représenter la maille élémentaire du </w:t>
      </w:r>
      <m:oMath>
        <m:r>
          <m:rPr>
            <m:sty m:val="p"/>
          </m:rPr>
          <m:t>Fe</m:t>
        </m:r>
        <m:r>
          <m:rPr>
            <m:sty m:val="i"/>
          </m:rPr>
          <m:t>α</m:t>
        </m:r>
      </m:oMath>
      <w:r>
        <w:rPr/>
        <w:br w:type="textWrapping"/>
      </w:r>
      <w:r>
        <w:rPr>
          <w:rFonts w:eastAsia="Georgia" w:cs="Georgia" w:ascii="Georgia" w:hAnsi="Georgia"/>
        </w:rPr>
        <w:t xml:space="preserve">I.3.2 Montrer que la compacité du Fe </w:t>
      </w:r>
      <m:oMath>
        <m:r>
          <m:rPr>
            <m:sty m:val="i"/>
          </m:rPr>
          <m:t>α</m:t>
        </m:r>
      </m:oMath>
      <w:r>
        <w:rPr/>
        <w:t xml:space="preserve"> vaut </w:t>
      </w:r>
      <m:oMath>
        <m:f>
          <m:fPr>
            <m:ctrlPr>
              <w:rPr>
                <w:rFonts w:ascii="Cambria Math" w:hAnsi="Cambria Math"/>
              </w:rPr>
            </m:ctrlPr>
          </m:fPr>
          <m:num>
            <m:r>
              <m:rPr>
                <m:sty m:val="i"/>
              </m:rPr>
              <m:t>π</m:t>
            </m:r>
            <m:rad>
              <m:radPr>
                <m:degHide m:val="1"/>
                <m:ctrlPr>
                  <w:rPr>
                    <w:rFonts w:ascii="Cambria Math" w:hAnsi="Cambria Math"/>
                  </w:rPr>
                </m:ctrlPr>
              </m:radPr>
              <m:deg/>
              <m:e>
                <m:r>
                  <m:rPr>
                    <m:sty m:val="p"/>
                  </m:rPr>
                  <m:t>3</m:t>
                </m:r>
              </m:e>
            </m:rad>
          </m:num>
          <m:den>
            <m:r>
              <m:rPr>
                <m:sty m:val="p"/>
              </m:rPr>
              <m:t>8</m:t>
            </m:r>
          </m:den>
        </m:f>
      </m:oMath>
      <w:r>
        <w:rPr/>
        <w:t xml:space="preserve">.</w:t>
      </w:r>
      <w:r>
        <w:rPr/>
        <w:br w:type="textWrapping"/>
      </w:r>
      <w:r>
        <w:rPr>
          <w:rFonts w:eastAsia="Georgia" w:cs="Georgia" w:ascii="Georgia" w:hAnsi="Georgia"/>
        </w:rPr>
        <w:t xml:space="preserve">1.3.3 Indiquer le nombre et la position des sites octaédriques présents dans cette maille</w:t>
      </w:r>
    </w:p>
    <w:p>
      <w:pPr>
        <w:spacing w:after="220" w:lineRule="auto"/>
      </w:pPr>
      <w:r>
        <w:rPr>
          <w:rFonts w:eastAsia="Georgia" w:cs="Georgia" w:ascii="Georgia" w:hAnsi="Georgia"/>
        </w:rPr>
        <w:t xml:space="preserve">L'austénite peut dissoudre une proportion notable de carbone (jusqu'à </w:t>
      </w:r>
      <m:oMath>
        <m:r>
          <m:rPr>
            <m:sty m:val="p"/>
          </m:rPr>
          <m:t>2</m:t>
        </m:r>
        <m:r>
          <m:rPr>
            <m:sty m:val="p"/>
          </m:rPr>
          <m:t>%</m:t>
        </m:r>
      </m:oMath>
      <w:r>
        <w:rPr>
          <w:rFonts w:eastAsia="Georgia" w:cs="Georgia" w:ascii="Georgia" w:hAnsi="Georgia"/>
        </w:rPr>
        <w:t xml:space="preserve"> en masse) et former des aciers, alors que la variété Fe a n'en accommode que </w:t>
      </w:r>
      <m:oMath>
        <m:r>
          <m:rPr>
            <m:sty m:val="p"/>
          </m:rPr>
          <m:t>0</m:t>
        </m:r>
        <m:r>
          <m:rPr>
            <m:sty m:val="p"/>
          </m:rPr>
          <m:t>,</m:t>
        </m:r>
        <m:r>
          <m:rPr>
            <m:sty m:val="p"/>
          </m:rPr>
          <m:t>02</m:t>
        </m:r>
        <m:r>
          <m:rPr>
            <m:sty m:val="p"/>
          </m:rPr>
          <m:t>%</m:t>
        </m:r>
      </m:oMath>
      <w:r>
        <w:rPr>
          <w:rFonts w:eastAsia="Georgia" w:cs="Georgia" w:ascii="Georgia" w:hAnsi="Georgia"/>
        </w:rPr>
        <w:t xml:space="preserve"> (en masse). Les atomes de carbone sont insérés dans les sites octaédriques du fer de rayon Ri. Les paramètres de maille pour le fer a et l'austénite valent respectivement </w:t>
      </w:r>
      <m:oMath>
        <m:r>
          <m:rPr>
            <m:sty m:val="p"/>
          </m:rPr>
          <m:t>286</m:t>
        </m:r>
        <m:r>
          <m:rPr>
            <m:sty m:val="p"/>
          </m:rPr>
          <m:t>,</m:t>
        </m:r>
        <m:r>
          <m:rPr>
            <m:sty m:val="p"/>
          </m:rPr>
          <m:t>6</m:t>
        </m:r>
        <m:r>
          <m:rPr>
            <m:sty m:val="p"/>
          </m:rPr>
          <m:t>pm</m:t>
        </m:r>
      </m:oMath>
      <w:r>
        <w:rPr>
          <w:rFonts w:eastAsia="Georgia" w:cs="Georgia" w:ascii="Georgia" w:hAnsi="Georgia"/>
        </w:rPr>
        <w:t xml:space="preserve"> et 359,1 pm. La taille des sites octaédriques en fonction du paramètre de maille a est égale à </w:t>
      </w:r>
      <m:oMath>
        <m:r>
          <m:rPr>
            <m:sty m:val="p"/>
          </m:rPr>
          <m:t>0</m:t>
        </m:r>
        <m:r>
          <m:rPr>
            <m:sty m:val="p"/>
          </m:rPr>
          <m:t>,</m:t>
        </m:r>
        <m:r>
          <m:rPr>
            <m:sty m:val="p"/>
          </m:rPr>
          <m:t>147</m:t>
        </m:r>
        <m:r>
          <m:rPr>
            <m:sty m:val="i"/>
          </m:rPr>
          <m:t>a</m:t>
        </m:r>
      </m:oMath>
      <w:r>
        <w:rPr>
          <w:rFonts w:eastAsia="Georgia" w:cs="Georgia" w:ascii="Georgia" w:hAnsi="Georgia"/>
        </w:rPr>
        <w:t xml:space="preserve"> pour une structure cubique à face centrée et à 0,067 a pour une structure cubique centrée.</w:t>
      </w:r>
      <w:r>
        <w:rPr/>
        <w:br w:type="textWrapping"/>
      </w:r>
      <w:r>
        <w:rPr>
          <w:rFonts w:eastAsia="Georgia" w:cs="Georgia" w:ascii="Georgia" w:hAnsi="Georgia"/>
        </w:rPr>
        <w:t xml:space="preserve">1.4. Pourquoi les aciers sont obtenus principalement à partir de la variété austénite?</w:t>
      </w:r>
      <w:r>
        <w:rPr/>
        <w:br w:type="textWrapping"/>
      </w:r>
      <w:r>
        <w:rPr>
          <w:rFonts w:eastAsia="Georgia" w:cs="Georgia" w:ascii="Georgia" w:hAnsi="Georgia"/>
        </w:rPr>
        <w:t xml:space="preserve">I.5.1 Donner l'expression littérale et numérique de la masse volumique du fer </w:t>
      </w:r>
      <m:oMath>
        <m:r>
          <m:rPr>
            <m:sty m:val="i"/>
          </m:rPr>
          <m:t>α</m:t>
        </m:r>
      </m:oMath>
      <w:r>
        <w:rPr>
          <w:rFonts w:eastAsia="Georgia" w:cs="Georgia" w:ascii="Georgia" w:hAnsi="Georgia"/>
        </w:rPr>
        <w:t xml:space="preserve"> et de l'austénite en fonction du paramètre de maille en </w:t>
      </w:r>
      <m:oMath>
        <m:sSup>
          <m:sSupPr/>
          <m:e>
            <m:r>
              <m:rPr>
                <m:sty m:val="p"/>
              </m:rPr>
              <m:t>kg</m:t>
            </m:r>
            <m:r>
              <m:rPr>
                <m:sty m:val="p"/>
              </m:rPr>
              <m:t>.</m:t>
            </m:r>
            <m:r>
              <m:rPr>
                <m:sty m:val="p"/>
              </m:rPr>
              <m:t>m</m:t>
            </m:r>
          </m:e>
          <m:sup>
            <m:r>
              <m:rPr>
                <m:sty m:val="p"/>
              </m:rPr>
              <m:t>−</m:t>
            </m:r>
            <m:r>
              <m:rPr>
                <m:sty m:val="p"/>
              </m:rPr>
              <m:t>3</m:t>
            </m:r>
          </m:sup>
        </m:sSup>
      </m:oMath>
      <w:r>
        <w:rPr/>
        <w:t xml:space="preserve">.</w:t>
      </w:r>
      <w:r>
        <w:rPr/>
        <w:br w:type="textWrapping"/>
      </w:r>
      <w:r>
        <w:rPr>
          <w:rFonts w:eastAsia="Georgia" w:cs="Georgia" w:ascii="Georgia" w:hAnsi="Georgia"/>
        </w:rPr>
        <w:t xml:space="preserve">1.5.2 Les densités des variétés </w:t>
      </w:r>
      <m:oMath>
        <m:r>
          <m:rPr>
            <m:sty m:val="p"/>
          </m:rPr>
          <m:t>Fe</m:t>
        </m:r>
        <m:r>
          <m:rPr>
            <m:sty m:val="i"/>
          </m:rPr>
          <m:t>α</m:t>
        </m:r>
        <m:r>
          <m:rPr>
            <m:sty m:val="p"/>
          </m:rPr>
          <m:t>,</m:t>
        </m:r>
        <m:r>
          <m:rPr>
            <m:sty m:val="p"/>
          </m:rPr>
          <m:t>Fe</m:t>
        </m:r>
        <m:r>
          <m:rPr>
            <m:sty m:val="i"/>
          </m:rPr>
          <m:t>γ</m:t>
        </m:r>
      </m:oMath>
      <w:r>
        <w:rPr/>
        <w:t xml:space="preserve">, et </w:t>
      </w:r>
      <m:oMath>
        <m:r>
          <m:rPr>
            <m:sty m:val="p"/>
          </m:rPr>
          <m:t>Fe</m:t>
        </m:r>
        <m:r>
          <m:rPr>
            <m:sty m:val="i"/>
          </m:rPr>
          <m:t>δ</m:t>
        </m:r>
      </m:oMath>
      <w:r>
        <w:rPr/>
        <w:t xml:space="preserve">, stable entre </w:t>
      </w:r>
      <m:oMath>
        <m:sSup>
          <m:sSupPr/>
          <m:e>
            <m:r>
              <m:rPr>
                <m:sty m:val="p"/>
              </m:rPr>
              <m:t>1400</m:t>
            </m:r>
          </m:e>
          <m:sup>
            <m:r>
              <m:rPr>
                <m:sty m:val="p"/>
              </m:rPr>
              <m:t>∘</m:t>
            </m:r>
          </m:sup>
        </m:sSup>
        <m:r>
          <m:rPr>
            <m:sty m:val="p"/>
          </m:rPr>
          <m:t>C</m:t>
        </m:r>
      </m:oMath>
      <w:r>
        <w:rPr>
          <w:rFonts w:eastAsia="Georgia" w:cs="Georgia" w:ascii="Georgia" w:hAnsi="Georgia"/>
        </w:rPr>
        <w:t xml:space="preserve"> et la température de fusion et cristallisant dans une maille cubique, sont identiques. Commenter.</w:t>
      </w:r>
    </w:p>
    <w:p>
      <w:pPr>
        <w:spacing w:line="271" w:before="330" w:lineRule="auto"/>
      </w:pPr>
      <w:r>
        <w:rPr>
          <w:rFonts w:eastAsia="Georgia" w:cs="Georgia" w:ascii="Georgia" w:hAnsi="Georgia"/>
          <w:b/>
          <w:sz w:val="42"/>
        </w:rPr>
        <w:t xml:space="preserve">II-Oxydation en voie sèche</w:t>
      </w:r>
    </w:p>
    <w:p>
      <w:pPr>
        <w:spacing w:after="220" w:lineRule="auto"/>
      </w:pPr>
      <w:r>
        <w:rPr>
          <w:rFonts w:eastAsia="Georgia" w:cs="Georgia" w:ascii="Georgia" w:hAnsi="Georgia"/>
        </w:rPr>
        <w:t xml:space="preserve">II.1. On peut obtenir les oxydes de métaux par réactions hétérogènes, c'est-à-dire en mettant en présence un métal solide avec une phase gazeuse oxydante, tel le dioxygène.</w:t>
      </w:r>
      <w:r>
        <w:rPr/>
        <w:br w:type="textWrapping"/>
      </w:r>
      <w:r>
        <w:rPr>
          <w:rFonts w:eastAsia="Georgia" w:cs="Georgia" w:ascii="Georgia" w:hAnsi="Georgia"/>
        </w:rPr>
        <w:t xml:space="preserve">Plusieurs oxydes peuvent se former par action du dioxygène sur le fer, en particulier la wüstite FeO et la magnétite </w:t>
      </w:r>
      <m:oMath>
        <m:sSub>
          <m:sSubPr/>
          <m:e>
            <m:r>
              <m:rPr>
                <m:sty m:val="p"/>
              </m:rPr>
              <m:t>Fe</m:t>
            </m:r>
          </m:e>
          <m:sub>
            <m:r>
              <m:rPr>
                <m:sty m:val="p"/>
              </m:rPr>
              <m:t>3</m:t>
            </m:r>
          </m:sub>
        </m:sSub>
        <m:sSub>
          <m:sSubPr/>
          <m:e>
            <m:r>
              <m:rPr>
                <m:sty m:val="p"/>
              </m:rPr>
              <m:t>O</m:t>
            </m:r>
          </m:e>
          <m:sub>
            <m:r>
              <m:rPr>
                <m:sty m:val="p"/>
              </m:rPr>
              <m:t>4</m:t>
            </m:r>
          </m:sub>
        </m:sSub>
      </m:oMath>
      <w:r>
        <w:rPr>
          <w:rFonts w:eastAsia="Georgia" w:cs="Georgia" w:ascii="Georgia" w:hAnsi="Georgia"/>
        </w:rPr>
        <w:t xml:space="preserve">. Les diagrammes d'Ellingham sont des représentations simples permettant de comparer des couples oxydo-réducteurs entre eux, et de déterminer les espèces thermodynamiquement stables à une température donnée.</w:t>
      </w:r>
      <w:r>
        <w:rPr/>
        <w:br w:type="textWrapping"/>
      </w:r>
      <w:r>
        <w:rPr>
          <w:rFonts w:eastAsia="Georgia" w:cs="Georgia" w:ascii="Georgia" w:hAnsi="Georgia"/>
        </w:rPr>
        <w:t xml:space="preserve">Dans le domaine de températures envisagées, le fer et ses oxydes sont solides.</w:t>
      </w:r>
      <w:r>
        <w:rPr/>
        <w:br w:type="textWrapping"/>
      </w:r>
      <w:r>
        <w:rPr>
          <w:rFonts w:eastAsia="Georgia" w:cs="Georgia" w:ascii="Georgia" w:hAnsi="Georgia"/>
        </w:rPr>
        <w:t xml:space="preserve">II.1.1 Rappeler l'approximation permettant de tracer les diagrammes d'Ellingham. Indiquer les significations thermodynamiques de l'ordonnée à l'origine et de la pente des droites </w:t>
      </w:r>
      <m:oMath>
        <m:sSub>
          <m:sSubPr/>
          <m:e>
            <m:r>
              <m:rPr>
                <m:sty m:val="p"/>
              </m:rPr>
              <m:t>Δ</m:t>
            </m:r>
          </m:e>
          <m:sub>
            <m:r>
              <m:rPr>
                <m:sty m:val="i"/>
              </m:rPr>
              <m:t>i</m:t>
            </m:r>
          </m:sub>
        </m:sSub>
        <m:sSup>
          <m:sSupPr/>
          <m:e>
            <m:r>
              <m:rPr>
                <m:sty m:val="i"/>
              </m:rPr>
              <m:t>G</m:t>
            </m:r>
          </m:e>
          <m:sup>
            <m:r>
              <m:rPr>
                <m:sty m:val="p"/>
              </m:rPr>
              <m:t>∘</m:t>
            </m:r>
          </m:sup>
        </m:sSup>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Il.1.2 Donner le degré d'oxydation du fer dans chacune des formes citées.</w:t>
      </w:r>
      <w:r>
        <w:rPr/>
        <w:br w:type="textWrapping"/>
      </w:r>
      <w:r>
        <w:rPr>
          <w:rFonts w:eastAsia="Georgia" w:cs="Georgia" w:ascii="Georgia" w:hAnsi="Georgia"/>
        </w:rPr>
        <w:t xml:space="preserve">Les enthalpies libres standard de réaction </w:t>
      </w:r>
      <m:oMath>
        <m:sSub>
          <m:sSubPr/>
          <m:e>
            <m:r>
              <m:rPr>
                <m:sty m:val="p"/>
              </m:rPr>
              <m:t>Δ</m:t>
            </m:r>
          </m:e>
          <m:sub>
            <m:r>
              <m:rPr>
                <m:sty m:val="i"/>
              </m:rPr>
              <m:t>r</m:t>
            </m:r>
          </m:sub>
        </m:sSub>
        <m:sSup>
          <m:sSupPr/>
          <m:e>
            <m:r>
              <m:rPr>
                <m:sty m:val="i"/>
              </m:rPr>
              <m:t>G</m:t>
            </m:r>
          </m:e>
          <m:sup>
            <m:r>
              <m:rPr>
                <m:sty m:val="p"/>
              </m:rPr>
              <m:t>∘</m:t>
            </m:r>
          </m:sup>
        </m:sSup>
        <m:r>
          <m:rPr>
            <m:sty m:val="p"/>
          </m:rPr>
          <m:t>(</m:t>
        </m:r>
        <m:r>
          <m:rPr>
            <m:sty m:val="i"/>
          </m:rPr>
          <m:t>T</m:t>
        </m:r>
        <m:r>
          <m:rPr>
            <m:sty m:val="p"/>
          </m:rPr>
          <m:t>)</m:t>
        </m:r>
      </m:oMath>
      <w:r>
        <w:rPr>
          <w:rFonts w:eastAsia="Georgia" w:cs="Georgia" w:ascii="Georgia" w:hAnsi="Georgia"/>
        </w:rPr>
        <w:t xml:space="preserve"> décrivant l'obtention d'oxydes de fer, à partir du fer et d'une mole de dioxygène, s'expriment à l'aide des relations suivantes :</w:t>
      </w:r>
    </w:p>
    <w:p>
      <w:pPr>
        <w:spacing w:after="220" w:lineRule="auto"/>
      </w:pPr>
      <w:r>
        <w:rPr>
          <w:rFonts w:eastAsia="Georgia" w:cs="Georgia" w:ascii="Georgia" w:hAnsi="Georgia"/>
        </w:rPr>
        <w:t xml:space="preserve">Wüstite </w:t>
      </w:r>
      <m:oMath>
        <m:r>
          <m:rPr>
            <m:sty m:val="p"/>
          </m:rPr>
          <m:t xml:space="preserve"> </m:t>
        </m:r>
        <m:r>
          <m:rPr>
            <m:sty m:val="p"/>
          </m:rPr>
          <m:t>FeO</m:t>
        </m:r>
        <m:r>
          <m:rPr>
            <m:sty m:val="p"/>
          </m:rPr>
          <m:t>:</m:t>
        </m:r>
        <m:sSub>
          <m:sSubPr/>
          <m:e>
            <m:r>
              <m:rPr>
                <m:sty m:val="p"/>
              </m:rPr>
              <m:t>Δ</m:t>
            </m:r>
          </m:e>
          <m:sub>
            <m:r>
              <m:rPr>
                <m:sty m:val="p"/>
              </m:rPr>
              <m:t>1</m:t>
            </m:r>
          </m:sub>
        </m:sSub>
        <m:sSup>
          <m:sSupPr/>
          <m:e>
            <m:r>
              <m:rPr>
                <m:sty m:val="p"/>
              </m:rPr>
              <m:t>G</m:t>
            </m:r>
          </m:e>
          <m:sup>
            <m:r>
              <m:rPr>
                <m:sty m:val="p"/>
              </m:rPr>
              <m:t>∘</m:t>
            </m:r>
          </m:sup>
        </m:sSup>
        <m:r>
          <m:rPr>
            <m:sty m:val="p"/>
          </m:rPr>
          <m:t>(</m:t>
        </m:r>
        <m:r>
          <m:rPr>
            <m:sty m:val="p"/>
          </m:rPr>
          <m:t>T</m:t>
        </m:r>
        <m:r>
          <m:rPr>
            <m:sty m:val="p"/>
          </m:rPr>
          <m:t>)</m:t>
        </m:r>
        <m:r>
          <m:rPr>
            <m:sty m:val="p"/>
          </m:rPr>
          <m:t>=</m:t>
        </m:r>
        <m:r>
          <m:rPr>
            <m:sty m:val="p"/>
          </m:rPr>
          <m:t>−</m:t>
        </m:r>
        <m:r>
          <m:rPr>
            <m:sty m:val="p"/>
          </m:rPr>
          <m:t>518</m:t>
        </m:r>
        <m:r>
          <m:rPr>
            <m:sty m:val="p"/>
          </m:rPr>
          <m:t>,</m:t>
        </m:r>
        <m:r>
          <m:rPr>
            <m:sty m:val="p"/>
          </m:rPr>
          <m:t>7</m:t>
        </m:r>
        <m:r>
          <m:rPr>
            <m:sty m:val="p"/>
          </m:rPr>
          <m:t>+</m:t>
        </m:r>
        <m:r>
          <m:rPr>
            <m:sty m:val="p"/>
          </m:rPr>
          <m:t>0</m:t>
        </m:r>
        <m:r>
          <m:rPr>
            <m:sty m:val="p"/>
          </m:rPr>
          <m:t>,</m:t>
        </m:r>
        <m:r>
          <m:rPr>
            <m:sty m:val="p"/>
          </m:rPr>
          <m:t>1251</m:t>
        </m:r>
        <m:r>
          <m:rPr>
            <m:sty m:val="p"/>
          </m:rPr>
          <m:t>×</m:t>
        </m:r>
        <m:r>
          <m:rPr>
            <m:sty m:val="p"/>
          </m:rPr>
          <m:t>T</m:t>
        </m:r>
        <m:d>
          <m:dPr>
            <m:begChr m:val="("/>
            <m:endChr m:val=")"/>
            <m:ctrlPr>
              <w:rPr>
                <w:rFonts w:ascii="Cambria Math" w:hAnsi="Cambria Math"/>
              </w:rPr>
            </m:ctrlPr>
          </m:dPr>
          <m:e>
            <m:sSup>
              <m:sSupPr/>
              <m:e>
                <m:r>
                  <m:rPr>
                    <m:sty m:val="p"/>
                  </m:rPr>
                  <m:t>kJ</m:t>
                </m:r>
                <m:r>
                  <m:rPr>
                    <m:sty m:val="p"/>
                  </m:rPr>
                  <m:t>.</m:t>
                </m:r>
                <m:sSup>
                  <m:sSupPr/>
                  <m:e>
                    <m:r>
                      <m:rPr>
                        <m:sty m:val="p"/>
                      </m:rPr>
                      <m:t>mol</m:t>
                    </m:r>
                  </m:e>
                  <m:sup>
                    <m:r>
                      <m:rPr>
                        <m:sty m:val="p"/>
                      </m:rPr>
                      <m:t>−</m:t>
                    </m:r>
                    <m:r>
                      <m:rPr>
                        <m:sty m:val="p"/>
                      </m:rPr>
                      <m:t>1</m:t>
                    </m:r>
                  </m:sup>
                </m:sSup>
              </m:e>
              <m:sup>
                <m:r>
                  <m:rPr>
                    <m:sty m:val="p"/>
                  </m:rPr>
                  <m:t>−</m:t>
                </m:r>
                <m:r>
                  <m:rPr>
                    <m:sty m:val="p"/>
                  </m:rPr>
                  <m:t>1</m:t>
                </m:r>
              </m:sup>
            </m:sSup>
          </m:e>
        </m:d>
      </m:oMath>
      <w:r>
        <w:rPr/>
        <w:br w:type="textWrapping"/>
      </w:r>
      <w:r>
        <w:rPr>
          <w:rFonts w:eastAsia="Georgia" w:cs="Georgia" w:ascii="Georgia" w:hAnsi="Georgia"/>
        </w:rPr>
        <w:t xml:space="preserve">Magnétite </w:t>
      </w:r>
      <m:oMath>
        <m:r>
          <m:rPr>
            <m:sty m:val="p"/>
          </m:rPr>
          <m:t xml:space="preserve"> </m:t>
        </m:r>
        <m:sSub>
          <m:sSubPr/>
          <m:e>
            <m:r>
              <m:rPr>
                <m:sty m:val="p"/>
              </m:rPr>
              <m:t>Fe</m:t>
            </m:r>
          </m:e>
          <m:sub>
            <m:r>
              <m:rPr>
                <m:sty m:val="p"/>
              </m:rPr>
              <m:t>3</m:t>
            </m:r>
          </m:sub>
        </m:sSub>
        <m:sSub>
          <m:sSubPr/>
          <m:e>
            <m:r>
              <m:rPr>
                <m:sty m:val="p"/>
              </m:rPr>
              <m:t>O</m:t>
            </m:r>
          </m:e>
          <m:sub>
            <m:r>
              <m:rPr>
                <m:sty m:val="p"/>
              </m:rPr>
              <m:t>4</m:t>
            </m:r>
          </m:sub>
        </m:sSub>
        <m:r>
          <m:rPr>
            <m:sty m:val="p"/>
          </m:rPr>
          <m:t>:</m:t>
        </m:r>
        <m:sSub>
          <m:sSubPr/>
          <m:e>
            <m:r>
              <m:rPr>
                <m:sty m:val="p"/>
              </m:rPr>
              <m:t>Δ</m:t>
            </m:r>
          </m:e>
          <m:sub>
            <m:r>
              <m:rPr>
                <m:sty m:val="p"/>
              </m:rPr>
              <m:t>2</m:t>
            </m:r>
          </m:sub>
        </m:sSub>
        <m:sSup>
          <m:sSupPr/>
          <m:e>
            <m:r>
              <m:rPr>
                <m:sty m:val="p"/>
              </m:rPr>
              <m:t>G</m:t>
            </m:r>
          </m:e>
          <m:sup>
            <m:r>
              <m:rPr>
                <m:sty m:val="p"/>
              </m:rPr>
              <m:t>∘</m:t>
            </m:r>
          </m:sup>
        </m:sSup>
        <m:r>
          <m:rPr>
            <m:sty m:val="p"/>
          </m:rPr>
          <m:t>(</m:t>
        </m:r>
        <m:r>
          <m:rPr>
            <m:sty m:val="p"/>
          </m:rPr>
          <m:t>T</m:t>
        </m:r>
        <m:r>
          <m:rPr>
            <m:sty m:val="p"/>
          </m:rPr>
          <m:t>)</m:t>
        </m:r>
        <m:r>
          <m:rPr>
            <m:sty m:val="p"/>
          </m:rPr>
          <m:t>=</m:t>
        </m:r>
        <m:r>
          <m:rPr>
            <m:sty m:val="p"/>
          </m:rPr>
          <m:t>−</m:t>
        </m:r>
        <m:r>
          <m:rPr>
            <m:sty m:val="p"/>
          </m:rPr>
          <m:t>545</m:t>
        </m:r>
        <m:r>
          <m:rPr>
            <m:sty m:val="p"/>
          </m:rPr>
          <m:t>,</m:t>
        </m:r>
        <m:r>
          <m:rPr>
            <m:sty m:val="p"/>
          </m:rPr>
          <m:t>1</m:t>
        </m:r>
        <m:r>
          <m:rPr>
            <m:sty m:val="p"/>
          </m:rPr>
          <m:t>+</m:t>
        </m:r>
        <m:r>
          <m:rPr>
            <m:sty m:val="p"/>
          </m:rPr>
          <m:t>0</m:t>
        </m:r>
        <m:r>
          <m:rPr>
            <m:sty m:val="p"/>
          </m:rPr>
          <m:t>,</m:t>
        </m:r>
        <m:r>
          <m:rPr>
            <m:sty m:val="p"/>
          </m:rPr>
          <m:t>1564</m:t>
        </m:r>
        <m:r>
          <m:rPr>
            <m:sty m:val="p"/>
          </m:rPr>
          <m:t>×</m:t>
        </m:r>
        <m:r>
          <m:rPr>
            <m:sty m:val="p"/>
          </m:rPr>
          <m:t>T</m:t>
        </m:r>
        <m:d>
          <m:dPr>
            <m:begChr m:val="("/>
            <m:endChr m:val=")"/>
            <m:ctrlPr>
              <w:rPr>
                <w:rFonts w:ascii="Cambria Math" w:hAnsi="Cambria Math"/>
              </w:rPr>
            </m:ctrlPr>
          </m:dPr>
          <m:e>
            <m:r>
              <m:rPr>
                <m:sty m:val="p"/>
              </m:rPr>
              <m:t>kJ</m:t>
            </m:r>
            <m:r>
              <m:rPr>
                <m:sty m:val="p"/>
              </m:rPr>
              <m:t>.</m:t>
            </m:r>
            <m:sSup>
              <m:sSupPr/>
              <m:e>
                <m:r>
                  <m:rPr>
                    <m:sty m:val="p"/>
                  </m:rPr>
                  <m:t>mol</m:t>
                </m:r>
              </m:e>
              <m:sup>
                <m:r>
                  <m:rPr>
                    <m:sty m:val="p"/>
                  </m:rPr>
                  <m:t>−</m:t>
                </m:r>
                <m:r>
                  <m:rPr>
                    <m:sty m:val="p"/>
                  </m:rPr>
                  <m:t>1</m:t>
                </m:r>
              </m:sup>
            </m:sSup>
          </m:e>
        </m:d>
      </m:oMath>
      <w:r>
        <w:rPr/>
        <w:br w:type="textWrapping"/>
      </w:r>
      <w:r>
        <w:rPr/>
        <w:t xml:space="preserve">II.2.1 Etablir la relation </w:t>
      </w:r>
      <m:oMath>
        <m:sSub>
          <m:sSubPr/>
          <m:e>
            <m:r>
              <m:rPr>
                <m:sty m:val="p"/>
              </m:rPr>
              <m:t>△</m:t>
            </m:r>
          </m:e>
          <m:sub>
            <m:r>
              <m:rPr>
                <m:sty m:val="p"/>
              </m:rPr>
              <m:t>4</m:t>
            </m:r>
          </m:sub>
        </m:sSub>
        <m:sSup>
          <m:sSupPr/>
          <m:e>
            <m:r>
              <m:rPr>
                <m:sty m:val="p"/>
              </m:rPr>
              <m:t>G</m:t>
            </m:r>
          </m:e>
          <m:sup>
            <m:r>
              <m:rPr>
                <m:sty m:val="p"/>
              </m:rPr>
              <m:t>∘</m:t>
            </m:r>
          </m:sup>
        </m:sSup>
        <m:r>
          <m:rPr>
            <m:sty m:val="p"/>
          </m:rPr>
          <m:t>(</m:t>
        </m:r>
        <m:r>
          <m:rPr>
            <m:sty m:val="p"/>
          </m:rPr>
          <m:t>T</m:t>
        </m:r>
        <m:r>
          <m:rPr>
            <m:sty m:val="p"/>
          </m:rPr>
          <m:t>)</m:t>
        </m:r>
      </m:oMath>
      <w:r>
        <w:rPr>
          <w:rFonts w:eastAsia="Georgia" w:cs="Georgia" w:ascii="Georgia" w:hAnsi="Georgia"/>
        </w:rPr>
        <w:t xml:space="preserve"> relative à l'oxydation de FeO en </w:t>
      </w:r>
      <m:oMath>
        <m:sSub>
          <m:sSubPr/>
          <m:e>
            <m:r>
              <m:rPr>
                <m:sty m:val="p"/>
              </m:rPr>
              <m:t>Fe</m:t>
            </m:r>
          </m:e>
          <m:sub>
            <m:r>
              <m:rPr>
                <m:sty m:val="p"/>
              </m:rPr>
              <m:t>3</m:t>
            </m:r>
          </m:sub>
        </m:sSub>
        <m:sSub>
          <m:sSubPr/>
          <m:e>
            <m:r>
              <m:rPr>
                <m:sty m:val="p"/>
              </m:rPr>
              <m:t>O</m:t>
            </m:r>
          </m:e>
          <m:sub>
            <m:r>
              <m:rPr>
                <m:sty m:val="p"/>
              </m:rPr>
              <m:t>4</m:t>
            </m:r>
          </m:sub>
        </m:sSub>
      </m:oMath>
      <w:r>
        <w:rPr/>
        <w:br w:type="textWrapping"/>
      </w:r>
      <w:r>
        <w:rPr/>
        <w:t xml:space="preserve">II.2.2 Tracer le diagramme d'Ellingham entre 500 et 1200 K pour les oxydations du fer en FeO et en </w:t>
      </w:r>
      <m:oMath>
        <m:sSub>
          <m:sSubPr/>
          <m:e>
            <m:r>
              <m:rPr>
                <m:sty m:val="p"/>
              </m:rPr>
              <m:t>Fe</m:t>
            </m:r>
          </m:e>
          <m:sub>
            <m:r>
              <m:rPr>
                <m:sty m:val="p"/>
              </m:rPr>
              <m:t>3</m:t>
            </m:r>
          </m:sub>
        </m:sSub>
        <m:sSub>
          <m:sSubPr/>
          <m:e>
            <m:r>
              <m:rPr>
                <m:sty m:val="p"/>
              </m:rPr>
              <m:t>O</m:t>
            </m:r>
          </m:e>
          <m:sub>
            <m:r>
              <m:rPr>
                <m:sty m:val="p"/>
              </m:rPr>
              <m:t>4</m:t>
            </m:r>
          </m:sub>
        </m:sSub>
      </m:oMath>
      <w:r>
        <w:rPr>
          <w:rFonts w:eastAsia="Georgia" w:cs="Georgia" w:ascii="Georgia" w:hAnsi="Georgia"/>
        </w:rPr>
        <w:t xml:space="preserve">. On pourra utiliser les valeurs à 500 K et à 1000 K .</w:t>
      </w:r>
      <w:r>
        <w:rPr/>
        <w:br w:type="textWrapping"/>
      </w:r>
      <w:r>
        <w:rPr/>
        <w:t xml:space="preserve">II.3. Les deux relations d'oxydation en FeO et </w:t>
      </w:r>
      <m:oMath>
        <m:sSub>
          <m:sSubPr/>
          <m:e>
            <m:r>
              <m:rPr>
                <m:sty m:val="p"/>
              </m:rPr>
              <m:t>Fe</m:t>
            </m:r>
          </m:e>
          <m:sub>
            <m:r>
              <m:rPr>
                <m:sty m:val="p"/>
              </m:rPr>
              <m:t>3</m:t>
            </m:r>
          </m:sub>
        </m:sSub>
        <m:sSub>
          <m:sSubPr/>
          <m:e>
            <m:r>
              <m:rPr>
                <m:sty m:val="p"/>
              </m:rPr>
              <m:t>O</m:t>
            </m:r>
          </m:e>
          <m:sub>
            <m:r>
              <m:rPr>
                <m:sty m:val="p"/>
              </m:rPr>
              <m:t>4</m:t>
            </m:r>
          </m:sub>
        </m:sSub>
      </m:oMath>
      <w:r>
        <w:rPr>
          <w:rFonts w:eastAsia="Georgia" w:cs="Georgia" w:ascii="Georgia" w:hAnsi="Georgia"/>
        </w:rPr>
        <w:t xml:space="preserve"> déterminent des domaines de stabilité.</w:t>
      </w:r>
      <w:r>
        <w:rPr/>
        <w:br w:type="textWrapping"/>
      </w:r>
      <w:r>
        <w:rPr>
          <w:rFonts w:eastAsia="Georgia" w:cs="Georgia" w:ascii="Georgia" w:hAnsi="Georgia"/>
        </w:rPr>
        <w:t xml:space="preserve">II.3.1. Définissez ces domaines et montrer qu'en dessous d'une température à déterminer, la wüstite FeO n'est pas stable thermodynamiquement.</w:t>
      </w:r>
      <w:r>
        <w:rPr/>
        <w:br w:type="textWrapping"/>
      </w:r>
      <w:r>
        <w:rPr>
          <w:rFonts w:eastAsia="Georgia" w:cs="Georgia" w:ascii="Georgia" w:hAnsi="Georgia"/>
        </w:rPr>
        <w:t xml:space="preserve">II.3.2 Ecrire l'équation de la réaction traduisant cette instabilité thermodynamique</w:t>
      </w:r>
      <w:r>
        <w:rPr/>
        <w:br w:type="textWrapping"/>
      </w:r>
      <w:r>
        <w:rPr>
          <w:rFonts w:eastAsia="Georgia" w:cs="Georgia" w:ascii="Georgia" w:hAnsi="Georgia"/>
        </w:rPr>
        <w:t xml:space="preserve">II.3.3 Comment s'appelle ce type de réaction ? En donner la définition exacte</w:t>
      </w:r>
    </w:p>
    <w:p>
      <w:pPr>
        <w:spacing w:after="220" w:lineRule="auto"/>
      </w:pPr>
      <w:r>
        <w:rPr>
          <w:rFonts w:eastAsia="Georgia" w:cs="Georgia" w:ascii="Georgia" w:hAnsi="Georgia"/>
        </w:rPr>
        <w:t xml:space="preserve">Il.3.4 Sur le diagramme, indiquer les nouveaux domaines de stabilité des oxydes.</w:t>
      </w:r>
    </w:p>
    <w:p>
      <w:pPr>
        <w:spacing w:line="271" w:before="330" w:lineRule="auto"/>
      </w:pPr>
      <w:r>
        <w:rPr>
          <w:b/>
          <w:sz w:val="42"/>
        </w:rPr>
        <w:t xml:space="preserve">III- Corrosion en voie aqueuse</w:t>
      </w:r>
    </w:p>
    <w:p>
      <w:pPr>
        <w:spacing w:after="220" w:lineRule="auto"/>
      </w:pPr>
      <w:r>
        <w:rPr>
          <w:rFonts w:eastAsia="Georgia" w:cs="Georgia" w:ascii="Georgia" w:hAnsi="Georgia"/>
        </w:rPr>
        <w:t xml:space="preserve">Ill.1. La corrosion et son corollaire, la passivation du fer, est un problème très important puisque la production mondiale annuelle d'acier et de fonte est d'environ 600 millions de tonnes. Par suite de la corrosion, chaque seconde, 2000 kg de fer passent à l'état de rouille.</w:t>
      </w:r>
    </w:p>
    <w:p>
      <w:pPr>
        <w:spacing w:after="220" w:lineRule="auto"/>
      </w:pPr>
      <w:r>
        <w:rPr>
          <w:rFonts w:eastAsia="Georgia" w:cs="Georgia" w:ascii="Georgia" w:hAnsi="Georgia"/>
        </w:rPr>
        <w:t xml:space="preserve">En milieu aqueux, le fer existe sous forme de métal ou sous forme d'hydroxydes de fer </w:t>
      </w:r>
      <m:oMath>
        <m:r>
          <m:rPr>
            <m:sty m:val="p"/>
          </m:rPr>
          <m:t>Fe</m:t>
        </m:r>
        <m:r>
          <m:rPr>
            <m:sty m:val="p"/>
          </m:rPr>
          <m:t>(</m:t>
        </m:r>
        <m:r>
          <m:rPr>
            <m:sty m:val="p"/>
          </m:rPr>
          <m:t>OH</m:t>
        </m:r>
        <m:sSub>
          <m:sSubPr/>
          <m:e>
            <m:r>
              <m:rPr>
                <m:sty m:val="p"/>
              </m:rPr>
              <m:t>)</m:t>
            </m:r>
          </m:e>
          <m:sub>
            <m:r>
              <m:rPr>
                <m:sty m:val="p"/>
              </m:rPr>
              <m:t>2</m:t>
            </m:r>
          </m:sub>
        </m:sSub>
      </m:oMath>
      <w:r>
        <w:rPr/>
        <w:t xml:space="preserve"> et </w:t>
      </w:r>
      <m:oMath>
        <m:r>
          <m:rPr>
            <m:sty m:val="p"/>
          </m:rPr>
          <m:t>Fe</m:t>
        </m:r>
        <m:r>
          <m:rPr>
            <m:sty m:val="p"/>
          </m:rPr>
          <m:t>(</m:t>
        </m:r>
        <m:r>
          <m:rPr>
            <m:sty m:val="p"/>
          </m:rPr>
          <m:t>OH</m:t>
        </m:r>
        <m:sSub>
          <m:sSubPr/>
          <m:e>
            <m:r>
              <m:rPr>
                <m:sty m:val="p"/>
              </m:rPr>
              <m:t>)</m:t>
            </m:r>
          </m:e>
          <m:sub>
            <m:r>
              <m:rPr>
                <m:sty m:val="p"/>
              </m:rPr>
              <m:t>3</m:t>
            </m:r>
          </m:sub>
        </m:sSub>
      </m:oMath>
      <w:r>
        <w:rPr>
          <w:rFonts w:eastAsia="Georgia" w:cs="Georgia" w:ascii="Georgia" w:hAnsi="Georgia"/>
        </w:rPr>
        <w:t xml:space="preserve">. Les produits de solubilité de ces hydroxydes sont tels que </w:t>
      </w:r>
      <m:oMath>
        <m:sSub>
          <m:sSubPr/>
          <m:e>
            <m:r>
              <m:rPr>
                <m:sty m:val="p"/>
              </m:rPr>
              <m:t>pK</m:t>
            </m:r>
          </m:e>
          <m:sub>
            <m:r>
              <m:rPr>
                <m:sty m:val="p"/>
              </m:rPr>
              <m:t>s</m:t>
            </m:r>
            <m:r>
              <m:rPr>
                <m:sty m:val="p"/>
              </m:rPr>
              <m:t>1</m:t>
            </m:r>
          </m:sub>
        </m:sSub>
        <m:r>
          <m:rPr>
            <m:sty m:val="p"/>
          </m:rPr>
          <m:t>=</m:t>
        </m:r>
        <m:r>
          <m:rPr>
            <m:sty m:val="p"/>
          </m:rPr>
          <m:t>15</m:t>
        </m:r>
      </m:oMath>
      <w:r>
        <w:rPr/>
        <w:t xml:space="preserve"> pour </w:t>
      </w:r>
      <m:oMath>
        <m:r>
          <m:rPr>
            <m:sty m:val="p"/>
          </m:rPr>
          <m:t>Fe</m:t>
        </m:r>
        <m:r>
          <m:rPr>
            <m:sty m:val="p"/>
          </m:rPr>
          <m:t>(</m:t>
        </m:r>
        <m:r>
          <m:rPr>
            <m:sty m:val="p"/>
          </m:rPr>
          <m:t>OH</m:t>
        </m:r>
        <m:sSub>
          <m:sSubPr/>
          <m:e>
            <m:r>
              <m:rPr>
                <m:sty m:val="p"/>
              </m:rPr>
              <m:t>)</m:t>
            </m:r>
          </m:e>
          <m:sub>
            <m:r>
              <m:rPr>
                <m:sty m:val="p"/>
              </m:rPr>
              <m:t>2</m:t>
            </m:r>
          </m:sub>
        </m:sSub>
      </m:oMath>
      <w:r>
        <w:rPr/>
        <w:t xml:space="preserve"> et </w:t>
      </w:r>
      <m:oMath>
        <m:sSub>
          <m:sSubPr/>
          <m:e>
            <m:r>
              <m:rPr>
                <m:sty m:val="p"/>
              </m:rPr>
              <m:t>pK</m:t>
            </m:r>
          </m:e>
          <m:sub>
            <m:r>
              <m:rPr>
                <m:sty m:val="p"/>
              </m:rPr>
              <m:t>s</m:t>
            </m:r>
            <m:r>
              <m:rPr>
                <m:sty m:val="p"/>
              </m:rPr>
              <m:t>2</m:t>
            </m:r>
          </m:sub>
        </m:sSub>
        <m:r>
          <m:rPr>
            <m:sty m:val="p"/>
          </m:rPr>
          <m:t>=</m:t>
        </m:r>
        <m:r>
          <m:rPr>
            <m:sty m:val="p"/>
          </m:rPr>
          <m:t>38</m:t>
        </m:r>
      </m:oMath>
      <w:r>
        <w:rPr/>
        <w:t xml:space="preserve"> pour </w:t>
      </w:r>
      <m:oMath>
        <m:r>
          <m:rPr>
            <m:sty m:val="p"/>
          </m:rPr>
          <m:t>Fe</m:t>
        </m:r>
        <m:r>
          <m:rPr>
            <m:sty m:val="p"/>
          </m:rPr>
          <m:t>(</m:t>
        </m:r>
        <m:r>
          <m:rPr>
            <m:sty m:val="p"/>
          </m:rPr>
          <m:t>OH</m:t>
        </m:r>
        <m:sSub>
          <m:sSubPr/>
          <m:e>
            <m:r>
              <m:rPr>
                <m:sty m:val="p"/>
              </m:rPr>
              <m:t>)</m:t>
            </m:r>
          </m:e>
          <m:sub>
            <m:r>
              <m:rPr>
                <m:sty m:val="p"/>
              </m:rPr>
              <m:t>3</m:t>
            </m:r>
          </m:sub>
        </m:sSub>
      </m:oMath>
      <w:r>
        <w:rPr/>
        <w:t xml:space="preserve">. Par ailleurs, les potentiels standards des couples </w:t>
      </w:r>
      <m:oMath>
        <m:sSup>
          <m:sSupPr/>
          <m:e>
            <m:r>
              <m:rPr>
                <m:sty m:val="p"/>
              </m:rPr>
              <m:t>Fe</m:t>
            </m:r>
          </m:e>
          <m:sup>
            <m:r>
              <m:rPr>
                <m:sty m:val="p"/>
              </m:rPr>
              <m:t>3</m:t>
            </m:r>
            <m:r>
              <m:rPr>
                <m:sty m:val="p"/>
              </m:rPr>
              <m:t>+</m:t>
            </m:r>
          </m:sup>
        </m:sSup>
        <m:sSup>
          <m:sSupPr/>
          <m:e>
            <m:r>
              <m:rPr>
                <m:sty m:val="p"/>
              </m:rPr>
              <m:t>Fe</m:t>
            </m:r>
          </m:e>
          <m:sup>
            <m:r>
              <m:rPr>
                <m:sty m:val="p"/>
              </m:rPr>
              <m:t>2</m:t>
            </m:r>
            <m:r>
              <m:rPr>
                <m:sty m:val="p"/>
              </m:rPr>
              <m:t>+</m:t>
            </m:r>
          </m:sup>
        </m:sSup>
      </m:oMath>
      <w:r>
        <w:rPr/>
        <w:t xml:space="preserve"> et </w:t>
      </w:r>
      <m:oMath>
        <m:sSup>
          <m:sSupPr/>
          <m:e>
            <m:r>
              <m:rPr>
                <m:sty m:val="p"/>
              </m:rPr>
              <m:t>Fe</m:t>
            </m:r>
          </m:e>
          <m:sup>
            <m:r>
              <m:rPr>
                <m:sty m:val="p"/>
              </m:rPr>
              <m:t>2</m:t>
            </m:r>
            <m:r>
              <m:rPr>
                <m:sty m:val="p"/>
              </m:rPr>
              <m:t>+</m:t>
            </m:r>
            <m:r>
              <m:rPr>
                <m:sty m:val="p"/>
              </m:rPr>
              <m:t>+</m:t>
            </m:r>
          </m:sup>
        </m:sSup>
        <m:r>
          <m:rPr>
            <m:sty m:val="p"/>
          </m:rPr>
          <m:t>Fe</m:t>
        </m:r>
      </m:oMath>
      <w:r>
        <w:rPr/>
        <w:t xml:space="preserve"> valent respectivement </w:t>
      </w:r>
      <m:oMath>
        <m:r>
          <m:rPr>
            <m:sty m:val="p"/>
          </m:rPr>
          <m:t>0</m:t>
        </m:r>
        <m:r>
          <m:rPr>
            <m:sty m:val="p"/>
          </m:rPr>
          <m:t>,</m:t>
        </m:r>
        <m:r>
          <m:rPr>
            <m:sty m:val="p"/>
          </m:rPr>
          <m:t>77</m:t>
        </m:r>
        <m:r>
          <m:rPr>
            <m:sty m:val="p"/>
          </m:rPr>
          <m:t>∨</m:t>
        </m:r>
      </m:oMath>
      <w:r>
        <w:rPr/>
        <w:t xml:space="preserve"> et </w:t>
      </w:r>
      <m:oMath>
        <m:r>
          <m:rPr>
            <m:sty m:val="p"/>
          </m:rPr>
          <m:t>−</m:t>
        </m:r>
        <m:r>
          <m:rPr>
            <m:sty m:val="p"/>
          </m:rPr>
          <m:t>0</m:t>
        </m:r>
        <m:r>
          <m:rPr>
            <m:sty m:val="p"/>
          </m:rPr>
          <m:t>,</m:t>
        </m:r>
        <m:r>
          <m:rPr>
            <m:sty m:val="p"/>
          </m:rPr>
          <m:t>44</m:t>
        </m:r>
        <m:r>
          <m:rPr>
            <m:nor/>
          </m:rPr>
          <m:t xml:space="preserve"> </m:t>
        </m:r>
        <m:r>
          <m:rPr>
            <m:sty m:val="p"/>
          </m:rPr>
          <m:t>V</m:t>
        </m:r>
      </m:oMath>
      <w:r>
        <w:rPr/>
        <w:t xml:space="preserve">.</w:t>
      </w:r>
      <w:r>
        <w:rPr/>
        <w:br w:type="textWrapping"/>
      </w:r>
      <w:r>
        <w:rPr/>
        <w:t xml:space="preserve">III.1.1 Pour le couple </w:t>
      </w:r>
      <m:oMath>
        <m:sSup>
          <m:sSupPr/>
          <m:e>
            <m:r>
              <m:rPr>
                <m:sty m:val="p"/>
              </m:rPr>
              <m:t>Fe</m:t>
            </m:r>
          </m:e>
          <m:sup>
            <m:r>
              <m:rPr>
                <m:sty m:val="p"/>
              </m:rPr>
              <m:t>3</m:t>
            </m:r>
            <m:r>
              <m:rPr>
                <m:sty m:val="p"/>
              </m:rPr>
              <m:t>+</m:t>
            </m:r>
            <m:r>
              <m:rPr>
                <m:sty m:val="p"/>
              </m:rPr>
              <m:t>/</m:t>
            </m:r>
          </m:sup>
        </m:sSup>
        <m:sSup>
          <m:sSupPr/>
          <m:e>
            <m:r>
              <m:rPr>
                <m:sty m:val="p"/>
              </m:rPr>
              <m:t>Fe</m:t>
            </m:r>
          </m:e>
          <m:sup>
            <m:r>
              <m:rPr>
                <m:sty m:val="p"/>
              </m:rPr>
              <m:t>2</m:t>
            </m:r>
            <m:r>
              <m:rPr>
                <m:sty m:val="p"/>
              </m:rPr>
              <m:t>+</m:t>
            </m:r>
          </m:sup>
        </m:sSup>
      </m:oMath>
      <w:r>
        <w:rPr>
          <w:rFonts w:eastAsia="Georgia" w:cs="Georgia" w:ascii="Georgia" w:hAnsi="Georgia"/>
        </w:rPr>
        <w:t xml:space="preserve">, indiquer la valeur du potentiel frontière entre la zone de prédominance de </w:t>
      </w:r>
      <m:oMath>
        <m:sSup>
          <m:sSupPr/>
          <m:e>
            <m:r>
              <m:rPr>
                <m:sty m:val="p"/>
              </m:rPr>
              <m:t>Fe</m:t>
            </m:r>
          </m:e>
          <m:sup>
            <m:r>
              <m:rPr>
                <m:sty m:val="p"/>
              </m:rPr>
              <m:t>2</m:t>
            </m:r>
            <m:r>
              <m:rPr>
                <m:sty m:val="p"/>
              </m:rPr>
              <m:t>+</m:t>
            </m:r>
          </m:sup>
        </m:sSup>
      </m:oMath>
      <w:r>
        <w:rPr/>
        <w:t xml:space="preserve"> et celle de </w:t>
      </w:r>
      <m:oMath>
        <m:sSup>
          <m:sSupPr/>
          <m:e>
            <m:r>
              <m:rPr>
                <m:sty m:val="p"/>
              </m:rPr>
              <m:t>Fe</m:t>
            </m:r>
          </m:e>
          <m:sup>
            <m:r>
              <m:rPr>
                <m:sty m:val="p"/>
              </m:rPr>
              <m:t>3</m:t>
            </m:r>
            <m:r>
              <m:rPr>
                <m:sty m:val="p"/>
              </m:rPr>
              <m:t>+</m:t>
            </m:r>
          </m:sup>
        </m:sSup>
      </m:oMath>
      <w:r>
        <w:rPr>
          <w:rFonts w:eastAsia="Georgia" w:cs="Georgia" w:ascii="Georgia" w:hAnsi="Georgia"/>
        </w:rPr>
        <w:t xml:space="preserve">. Cette valeur dépend-elle de la concentration?</w:t>
      </w:r>
      <w:r>
        <w:rPr/>
        <w:br w:type="textWrapping"/>
      </w:r>
      <w:r>
        <w:rPr/>
        <w:t xml:space="preserve">III.1.2 On dissout 0,01 mole d'un sel de </w:t>
      </w:r>
      <m:oMath>
        <m:r>
          <m:rPr>
            <m:sty m:val="p"/>
          </m:rPr>
          <m:t>Fe</m:t>
        </m:r>
        <m:r>
          <m:rPr>
            <m:sty m:val="p"/>
          </m:rPr>
          <m:t>(</m:t>
        </m:r>
        <m:r>
          <m:rPr>
            <m:sty m:val="p"/>
          </m:rPr>
          <m:t>II</m:t>
        </m:r>
        <m:r>
          <m:rPr>
            <m:sty m:val="p"/>
          </m:rPr>
          <m:t>)</m:t>
        </m:r>
      </m:oMath>
      <w:r>
        <w:rPr>
          <w:rFonts w:eastAsia="Georgia" w:cs="Georgia" w:ascii="Georgia" w:hAnsi="Georgia"/>
        </w:rPr>
        <w:t xml:space="preserve"> dans 1 litre d'eau. Compléter alors le diagramme potentiel pH en indiquant la zone d'existence des trois espèces </w:t>
      </w:r>
      <m:oMath>
        <m:r>
          <m:rPr>
            <m:sty m:val="p"/>
          </m:rPr>
          <m:t>Fe</m:t>
        </m:r>
        <m:r>
          <m:rPr>
            <m:sty m:val="p"/>
          </m:rPr>
          <m:t>,</m:t>
        </m:r>
        <m:sSup>
          <m:sSupPr/>
          <m:e>
            <m:r>
              <m:rPr>
                <m:sty m:val="p"/>
              </m:rPr>
              <m:t>Fe</m:t>
            </m:r>
          </m:e>
          <m:sup>
            <m:r>
              <m:rPr>
                <m:sty m:val="p"/>
              </m:rPr>
              <m:t>2</m:t>
            </m:r>
            <m:r>
              <m:rPr>
                <m:sty m:val="p"/>
              </m:rPr>
              <m:t>+</m:t>
            </m:r>
          </m:sup>
        </m:sSup>
      </m:oMath>
      <w:r>
        <w:rPr/>
        <w:t xml:space="preserve"> et </w:t>
      </w:r>
      <m:oMath>
        <m:sSup>
          <m:sSupPr/>
          <m:e>
            <m:r>
              <m:rPr>
                <m:sty m:val="p"/>
              </m:rPr>
              <m:t>Fe</m:t>
            </m:r>
          </m:e>
          <m:sup>
            <m:r>
              <m:rPr>
                <m:sty m:val="p"/>
              </m:rPr>
              <m:t>3</m:t>
            </m:r>
            <m:r>
              <m:rPr>
                <m:sty m:val="p"/>
              </m:rPr>
              <m:t>+</m:t>
            </m:r>
          </m:sup>
        </m:sSup>
      </m:oMath>
      <w:r>
        <w:rPr>
          <w:rFonts w:eastAsia="Georgia" w:cs="Georgia" w:ascii="Georgia" w:hAnsi="Georgia"/>
        </w:rPr>
        <w:t xml:space="preserve"> et vérifier la valeur </w:t>
      </w:r>
      <m:oMath>
        <m:r>
          <m:rPr>
            <m:sty m:val="p"/>
          </m:rPr>
          <m:t>−</m:t>
        </m:r>
        <m:r>
          <m:rPr>
            <m:sty m:val="p"/>
          </m:rPr>
          <m:t>0</m:t>
        </m:r>
        <m:r>
          <m:rPr>
            <m:sty m:val="p"/>
          </m:rPr>
          <m:t>,</m:t>
        </m:r>
        <m:r>
          <m:rPr>
            <m:sty m:val="p"/>
          </m:rPr>
          <m:t>5</m:t>
        </m:r>
        <m:r>
          <m:rPr>
            <m:nor/>
          </m:rPr>
          <m:t xml:space="preserve"> </m:t>
        </m:r>
        <m:r>
          <m:rPr>
            <m:sty m:val="p"/>
          </m:rPr>
          <m:t>V</m:t>
        </m:r>
      </m:oMath>
      <w:r>
        <w:rPr/>
        <w:t xml:space="preserve">.</w:t>
      </w:r>
      <w:r>
        <w:rPr/>
        <w:br w:type="textWrapping"/>
      </w:r>
      <w:r>
        <w:rPr>
          <w:rFonts w:eastAsia="Georgia" w:cs="Georgia" w:ascii="Georgia" w:hAnsi="Georgia"/>
        </w:rPr>
        <w:t xml:space="preserve">III.2. On prend maintenant en compte la précipitation des hydroxydes à partir des solutions de sels ferreux et ferriques de concentration </w:t>
      </w:r>
      <m:oMath>
        <m:sSub>
          <m:sSubPr/>
          <m:e>
            <m:r>
              <m:rPr>
                <m:sty m:val="p"/>
              </m:rPr>
              <m:t>C</m:t>
            </m:r>
          </m:e>
          <m:sub>
            <m:r>
              <m:rPr>
                <m:sty m:val="p"/>
              </m:rPr>
              <m:t>0</m:t>
            </m:r>
          </m:sub>
        </m:sSub>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sty m:val="p"/>
              </m:rPr>
              <m:t>L</m:t>
            </m:r>
          </m:e>
          <m:sup>
            <m:r>
              <m:rPr>
                <m:sty m:val="p"/>
              </m:rPr>
              <m:t>−</m:t>
            </m:r>
            <m:r>
              <m:rPr>
                <m:sty m:val="p"/>
              </m:rPr>
              <m:t>1</m:t>
            </m:r>
          </m:sup>
        </m:sSup>
      </m:oMath>
      <w:r>
        <w:rPr/>
        <w:t xml:space="preserve">.</w:t>
      </w:r>
      <w:r>
        <w:rPr/>
        <w:br w:type="textWrapping"/>
      </w:r>
      <w:r>
        <w:rPr>
          <w:rFonts w:eastAsia="Georgia" w:cs="Georgia" w:ascii="Georgia" w:hAnsi="Georgia"/>
        </w:rPr>
        <w:t xml:space="preserve">III.2.1 Donner l'expression littérale et calculer le pH d'apparition de la phase solide </w:t>
      </w:r>
      <m:oMath>
        <m:r>
          <m:rPr>
            <m:sty m:val="p"/>
          </m:rPr>
          <m:t>Fe</m:t>
        </m:r>
        <m:r>
          <m:rPr>
            <m:sty m:val="p"/>
          </m:rPr>
          <m:t>(</m:t>
        </m:r>
        <m:r>
          <m:rPr>
            <m:sty m:val="p"/>
          </m:rPr>
          <m:t>OH</m:t>
        </m:r>
        <m:sSub>
          <m:sSubPr/>
          <m:e>
            <m:r>
              <m:rPr>
                <m:sty m:val="p"/>
              </m:rPr>
              <m:t>)</m:t>
            </m:r>
          </m:e>
          <m:sub>
            <m:r>
              <m:rPr>
                <m:sty m:val="p"/>
              </m:rPr>
              <m:t>3</m:t>
            </m:r>
          </m:sub>
        </m:sSub>
      </m:oMath>
      <w:r>
        <w:rPr/>
        <w:t xml:space="preserve">.</w:t>
      </w:r>
      <w:r>
        <w:rPr/>
        <w:br w:type="textWrapping"/>
      </w:r>
      <w:r>
        <w:rPr>
          <w:rFonts w:eastAsia="Georgia" w:cs="Georgia" w:ascii="Georgia" w:hAnsi="Georgia"/>
        </w:rPr>
        <w:t xml:space="preserve">III.2.2 De la même manière, donner l'expression littérale et calculer le pH d'apparition de la phase solide </w:t>
      </w:r>
      <m:oMath>
        <m:r>
          <m:rPr>
            <m:sty m:val="p"/>
          </m:rPr>
          <m:t>Fe</m:t>
        </m:r>
        <m:r>
          <m:rPr>
            <m:sty m:val="p"/>
          </m:rPr>
          <m:t>(</m:t>
        </m:r>
        <m:r>
          <m:rPr>
            <m:sty m:val="p"/>
          </m:rPr>
          <m:t>OH</m:t>
        </m:r>
        <m:sSub>
          <m:sSubPr/>
          <m:e>
            <m:r>
              <m:rPr>
                <m:sty m:val="p"/>
              </m:rPr>
              <m:t>)</m:t>
            </m:r>
          </m:e>
          <m:sub>
            <m:r>
              <m:rPr>
                <m:sty m:val="p"/>
              </m:rPr>
              <m:t>2</m:t>
            </m:r>
          </m:sub>
        </m:sSub>
      </m:oMath>
      <w:r>
        <w:rPr/>
        <w:t xml:space="preserve">.</w:t>
      </w:r>
      <w:r>
        <w:rPr/>
        <w:br w:type="textWrapping"/>
      </w:r>
      <w:r>
        <w:rPr>
          <w:rFonts w:eastAsia="Georgia" w:cs="Georgia" w:ascii="Georgia" w:hAnsi="Georgia"/>
        </w:rPr>
        <w:t xml:space="preserve">III.2.3 Compléter le diagramme en rajoutant les hydroxydes.</w:t>
      </w:r>
      <w:r>
        <w:rPr/>
        <w:br w:type="textWrapping"/>
      </w:r>
      <w:r>
        <w:rPr/>
        <w:t xml:space="preserve">III.3.</w:t>
      </w:r>
    </w:p>
    <w:p>
      <w:pPr>
        <w:spacing w:after="220" w:lineRule="auto"/>
      </w:pPr>
      <w:r>
        <w:rPr>
          <w:rFonts w:eastAsia="Georgia" w:cs="Georgia" w:ascii="Georgia" w:hAnsi="Georgia"/>
        </w:rPr>
        <w:t xml:space="preserve">Ill.3.1 Donner les définitions des termes corrosion, immunité et passivation</w:t>
      </w:r>
      <w:r>
        <w:rPr/>
        <w:br w:type="textWrapping"/>
      </w:r>
      <w:r>
        <w:rPr>
          <w:rFonts w:eastAsia="Georgia" w:cs="Georgia" w:ascii="Georgia" w:hAnsi="Georgia"/>
        </w:rPr>
        <w:t xml:space="preserve">III.3.2 Sur le diagramme potentiel-pH complété, indiquer les zones d'immunité, de corrosion et de passivation du fer.</w:t>
      </w:r>
      <w:r>
        <w:rPr/>
        <w:br w:type="textWrapping"/>
      </w:r>
      <w:r>
        <w:rPr>
          <w:rFonts w:eastAsia="Georgia" w:cs="Georgia" w:ascii="Georgia" w:hAnsi="Georgia"/>
        </w:rPr>
        <w:t xml:space="preserve">III.3.3 Proposer une méthode pour limiter l'oxydation du fer</w:t>
      </w:r>
      <w:r>
        <w:rPr/>
        <w:br w:type="textWrapping"/>
      </w:r>
      <w:r>
        <w:rPr>
          <w:rFonts w:eastAsia="Georgia" w:cs="Georgia" w:ascii="Georgia" w:hAnsi="Georgia"/>
        </w:rPr>
        <w:t xml:space="preserve">III.3.4 L'aspect thermodynamique esti-il suffisant pour bien décrire le phénomène de corrosion?</w:t>
      </w:r>
    </w:p>
    <w:p>
      <w:pPr>
        <w:spacing w:line="271" w:before="330" w:lineRule="auto"/>
      </w:pPr>
      <w:r>
        <w:rPr>
          <w:rFonts w:eastAsia="Georgia" w:cs="Georgia" w:ascii="Georgia" w:hAnsi="Georgia"/>
          <w:b/>
          <w:sz w:val="42"/>
        </w:rPr>
        <w:t xml:space="preserve">IV- Stabilité des complexes cyanés du fer</w:t>
      </w:r>
    </w:p>
    <w:p>
      <w:pPr>
        <w:spacing w:after="220" w:lineRule="auto"/>
      </w:pPr>
      <w:r>
        <w:rPr>
          <w:rFonts w:eastAsia="Georgia" w:cs="Georgia" w:ascii="Georgia" w:hAnsi="Georgia"/>
        </w:rPr>
        <w:t xml:space="preserve">IV.1. Par dissolution du sulfate hydraté </w:t>
      </w:r>
      <m:oMath>
        <m:sSub>
          <m:sSubPr/>
          <m:e>
            <m:r>
              <m:rPr>
                <m:sty m:val="p"/>
              </m:rPr>
              <m:t>FeSO</m:t>
            </m:r>
          </m:e>
          <m:sub>
            <m:r>
              <m:rPr>
                <m:sty m:val="p"/>
              </m:rPr>
              <m:t>4</m:t>
            </m:r>
          </m:sub>
        </m:sSub>
        <m:r>
          <m:rPr>
            <m:sty m:val="p"/>
          </m:rPr>
          <m:t>,</m:t>
        </m:r>
        <m:r>
          <m:rPr>
            <m:sty m:val="p"/>
          </m:rPr>
          <m:t>7</m:t>
        </m:r>
        <m:sSub>
          <m:sSubPr/>
          <m:e>
            <m:r>
              <m:rPr>
                <m:sty m:val="p"/>
              </m:rPr>
              <m:t>H</m:t>
            </m:r>
          </m:e>
          <m:sub>
            <m:r>
              <m:rPr>
                <m:sty m:val="p"/>
              </m:rPr>
              <m:t>2</m:t>
            </m:r>
          </m:sub>
        </m:sSub>
        <m:r>
          <m:rPr>
            <m:sty m:val="p"/>
          </m:rPr>
          <m:t>O</m:t>
        </m:r>
      </m:oMath>
      <w:r>
        <w:rPr>
          <w:rFonts w:eastAsia="Georgia" w:cs="Georgia" w:ascii="Georgia" w:hAnsi="Georgia"/>
        </w:rPr>
        <w:t xml:space="preserve"> dans l'eau à </w:t>
      </w:r>
      <m:oMath>
        <m:sSup>
          <m:sSupPr/>
          <m:e>
            <m:r>
              <m:rPr>
                <m:sty m:val="p"/>
              </m:rPr>
              <m:t>20</m:t>
            </m:r>
          </m:e>
          <m:sup>
            <m:r>
              <m:rPr>
                <m:sty m:val="p"/>
              </m:rPr>
              <m:t>∘</m:t>
            </m:r>
          </m:sup>
        </m:sSup>
        <m:r>
          <m:rPr>
            <m:sty m:val="p"/>
          </m:rPr>
          <m:t>C</m:t>
        </m:r>
      </m:oMath>
      <w:r>
        <w:rPr>
          <w:rFonts w:eastAsia="Georgia" w:cs="Georgia" w:ascii="Georgia" w:hAnsi="Georgia"/>
        </w:rPr>
        <w:t xml:space="preserve">, on obtient une solution dont la coloration vert-clair est due à la formation d'un cation complexe de formule </w:t>
      </w:r>
      <m:oMath>
        <m:r>
          <m:rPr>
            <m:sty m:val="p"/>
          </m:rPr>
          <m:t>Fe</m:t>
        </m:r>
        <m:sSub>
          <m:sSubPr/>
          <m:e>
            <m:d>
              <m:dPr>
                <m:begChr m:val="("/>
                <m:endChr m:val=")"/>
                <m:ctrlPr>
                  <w:rPr>
                    <w:rFonts w:ascii="Cambria Math" w:hAnsi="Cambria Math"/>
                  </w:rPr>
                </m:ctrlPr>
              </m:dPr>
              <m:e>
                <m:sSub>
                  <m:sSubPr/>
                  <m:e>
                    <m:r>
                      <m:rPr>
                        <m:sty m:val="p"/>
                      </m:rPr>
                      <m:t>H</m:t>
                    </m:r>
                  </m:e>
                  <m:sub>
                    <m:r>
                      <m:rPr>
                        <m:sty m:val="p"/>
                      </m:rPr>
                      <m:t>2</m:t>
                    </m:r>
                  </m:sub>
                </m:sSub>
                <m:r>
                  <m:rPr>
                    <m:sty m:val="p"/>
                  </m:rPr>
                  <m:t>O</m:t>
                </m:r>
              </m:e>
            </m:d>
          </m:e>
          <m:sub>
            <m:r>
              <m:rPr>
                <m:sty m:val="p"/>
              </m:rPr>
              <m:t>6</m:t>
            </m:r>
          </m:sub>
        </m:sSub>
        <m:sSup>
          <m:sSupPr/>
          <m:e>
            <m:r>
              <m:t xml:space="preserve"> </m:t>
            </m:r>
          </m:e>
          <m:sup>
            <m:r>
              <m:rPr>
                <m:sty m:val="p"/>
              </m:rPr>
              <m:t>2</m:t>
            </m:r>
            <m:r>
              <m:rPr>
                <m:sty m:val="p"/>
              </m:rPr>
              <m:t>+</m:t>
            </m:r>
          </m:sup>
        </m:sSup>
      </m:oMath>
      <w:r>
        <w:rPr>
          <w:rFonts w:eastAsia="Georgia" w:cs="Georgia" w:ascii="Georgia" w:hAnsi="Georgia"/>
        </w:rPr>
        <w:t xml:space="preserve">. En ajoutant à la solution vert-clair du cyanure de potassium (KCN), une coloration jaune-paille apparait. Du fait de la réaction entre l'ion métallique et les ions cyanures, il s'est formé un composé insoluble, dont l'anion de même géométrie que le complexe aqueux est noté A .</w:t>
      </w:r>
      <w:r>
        <w:rPr/>
        <w:br w:type="textWrapping"/>
      </w:r>
      <w:r>
        <w:rPr>
          <w:rFonts w:eastAsia="Georgia" w:cs="Georgia" w:ascii="Georgia" w:hAnsi="Georgia"/>
        </w:rPr>
        <w:t xml:space="preserve">IV.1.1 Identifier A et écrire l'équation chimique correspondant à sa formation</w:t>
      </w:r>
      <w:r>
        <w:rPr/>
        <w:br w:type="textWrapping"/>
      </w:r>
      <w:r>
        <w:rPr>
          <w:rFonts w:eastAsia="Georgia" w:cs="Georgia" w:ascii="Georgia" w:hAnsi="Georgia"/>
        </w:rPr>
        <w:t xml:space="preserve">IV.1.2 Le complexe A s'oxyde à l'air ambiant, il change de coloration et devient rouge orangé vif. Il s'est formé un composé soluble dont l'ion complexe, de même géométrie que le complexe aqueux, est noté B . Identifier B .</w:t>
      </w:r>
      <w:r>
        <w:rPr/>
        <w:br w:type="textWrapping"/>
      </w:r>
      <w:r>
        <w:rPr/>
        <w:t xml:space="preserve">IV.2. Le potentiel redox </w:t>
      </w:r>
      <m:oMath>
        <m:sSup>
          <m:sSupPr/>
          <m:e>
            <m:r>
              <m:rPr>
                <m:sty m:val="i"/>
              </m:rPr>
              <m:t>E</m:t>
            </m:r>
          </m:e>
          <m:sup>
            <m:r>
              <m:rPr>
                <m:sty m:val="p"/>
              </m:rPr>
              <m:t>∘</m:t>
            </m:r>
          </m:sup>
        </m:sSup>
      </m:oMath>
      <w:r>
        <w:rPr/>
        <w:t xml:space="preserve"> du couple complexe B/A vaut 0,35 volt, alors que celui du couple </w:t>
      </w:r>
      <m:oMath>
        <m:r>
          <m:rPr>
            <m:sty m:val="p"/>
          </m:rPr>
          <m:t>Fe</m:t>
        </m:r>
        <m:sSub>
          <m:sSubPr/>
          <m:e>
            <m:d>
              <m:dPr>
                <m:begChr m:val="("/>
                <m:endChr m:val=")"/>
                <m:ctrlPr>
                  <w:rPr>
                    <w:rFonts w:ascii="Cambria Math" w:hAnsi="Cambria Math"/>
                  </w:rPr>
                </m:ctrlPr>
              </m:dPr>
              <m:e>
                <m:sSub>
                  <m:sSubPr/>
                  <m:e>
                    <m:r>
                      <m:rPr>
                        <m:sty m:val="p"/>
                      </m:rPr>
                      <m:t>H</m:t>
                    </m:r>
                  </m:e>
                  <m:sub>
                    <m:r>
                      <m:rPr>
                        <m:sty m:val="p"/>
                      </m:rPr>
                      <m:t>2</m:t>
                    </m:r>
                  </m:sub>
                </m:sSub>
                <m:r>
                  <m:rPr>
                    <m:sty m:val="p"/>
                  </m:rPr>
                  <m:t>O</m:t>
                </m:r>
              </m:e>
            </m:d>
          </m:e>
          <m:sub>
            <m:r>
              <m:rPr>
                <m:sty m:val="p"/>
              </m:rPr>
              <m:t>6</m:t>
            </m:r>
          </m:sub>
        </m:sSub>
        <m:sSup>
          <m:sSupPr/>
          <m:e>
            <m:r>
              <m:t xml:space="preserve"> </m:t>
            </m:r>
          </m:e>
          <m:sup>
            <m:r>
              <m:rPr>
                <m:sty m:val="p"/>
              </m:rPr>
              <m:t>3</m:t>
            </m:r>
            <m:r>
              <m:rPr>
                <m:sty m:val="p"/>
              </m:rPr>
              <m:t>+</m:t>
            </m:r>
          </m:sup>
        </m:sSup>
        <m:r>
          <m:rPr>
            <m:sty m:val="p"/>
          </m:rPr>
          <m:t>/</m:t>
        </m:r>
        <m:r>
          <m:rPr>
            <m:sty m:val="p"/>
          </m:rPr>
          <m:t>Fe</m:t>
        </m:r>
        <m:sSub>
          <m:sSubPr/>
          <m:e>
            <m:d>
              <m:dPr>
                <m:begChr m:val="("/>
                <m:endChr m:val=")"/>
                <m:ctrlPr>
                  <w:rPr>
                    <w:rFonts w:ascii="Cambria Math" w:hAnsi="Cambria Math"/>
                  </w:rPr>
                </m:ctrlPr>
              </m:dPr>
              <m:e>
                <m:sSub>
                  <m:sSubPr/>
                  <m:e>
                    <m:r>
                      <m:rPr>
                        <m:sty m:val="p"/>
                      </m:rPr>
                      <m:t>H</m:t>
                    </m:r>
                  </m:e>
                  <m:sub>
                    <m:r>
                      <m:rPr>
                        <m:sty m:val="p"/>
                      </m:rPr>
                      <m:t>2</m:t>
                    </m:r>
                  </m:sub>
                </m:sSub>
                <m:r>
                  <m:rPr>
                    <m:sty m:val="p"/>
                  </m:rPr>
                  <m:t>O</m:t>
                </m:r>
              </m:e>
            </m:d>
          </m:e>
          <m:sub>
            <m:r>
              <m:rPr>
                <m:sty m:val="p"/>
              </m:rPr>
              <m:t>6</m:t>
            </m:r>
          </m:sub>
        </m:sSub>
        <m:sSup>
          <m:sSupPr/>
          <m:e>
            <m:r>
              <m:t xml:space="preserve"> </m:t>
            </m:r>
          </m:e>
          <m:sup>
            <m:r>
              <m:rPr>
                <m:sty m:val="p"/>
              </m:rPr>
              <m:t>2</m:t>
            </m:r>
            <m:r>
              <m:rPr>
                <m:sty m:val="p"/>
              </m:rPr>
              <m:t>+</m:t>
            </m:r>
          </m:sup>
        </m:sSup>
      </m:oMath>
      <w:r>
        <w:rPr/>
        <w:t xml:space="preserve"> vaut 0,77 volt.</w:t>
      </w:r>
      <w:r>
        <w:rPr/>
        <w:br w:type="textWrapping"/>
      </w:r>
      <w:r>
        <w:rPr>
          <w:rFonts w:eastAsia="Georgia" w:cs="Georgia" w:ascii="Georgia" w:hAnsi="Georgia"/>
        </w:rPr>
        <w:t xml:space="preserve">IV.2.1 Donner les demi-équations d'oxydo-réduction des couples </w:t>
      </w:r>
      <m:oMath>
        <m:r>
          <m:rPr>
            <m:sty m:val="p"/>
          </m:rPr>
          <m:t>Fe</m:t>
        </m:r>
        <m:sSub>
          <m:sSubPr/>
          <m:e>
            <m:d>
              <m:dPr>
                <m:begChr m:val="("/>
                <m:endChr m:val=")"/>
                <m:ctrlPr>
                  <w:rPr>
                    <w:rFonts w:ascii="Cambria Math" w:hAnsi="Cambria Math"/>
                  </w:rPr>
                </m:ctrlPr>
              </m:dPr>
              <m:e>
                <m:sSub>
                  <m:sSubPr/>
                  <m:e>
                    <m:r>
                      <m:rPr>
                        <m:sty m:val="p"/>
                      </m:rPr>
                      <m:t>H</m:t>
                    </m:r>
                  </m:e>
                  <m:sub>
                    <m:r>
                      <m:rPr>
                        <m:sty m:val="p"/>
                      </m:rPr>
                      <m:t>2</m:t>
                    </m:r>
                  </m:sub>
                </m:sSub>
                <m:r>
                  <m:rPr>
                    <m:sty m:val="p"/>
                  </m:rPr>
                  <m:t>O</m:t>
                </m:r>
              </m:e>
            </m:d>
          </m:e>
          <m:sub>
            <m:r>
              <m:rPr>
                <m:sty m:val="p"/>
              </m:rPr>
              <m:t>6</m:t>
            </m:r>
          </m:sub>
        </m:sSub>
        <m:sSup>
          <m:sSupPr/>
          <m:e>
            <m:r>
              <m:t xml:space="preserve"> </m:t>
            </m:r>
          </m:e>
          <m:sup>
            <m:r>
              <m:rPr>
                <m:sty m:val="p"/>
              </m:rPr>
              <m:t>3</m:t>
            </m:r>
            <m:r>
              <m:rPr>
                <m:sty m:val="p"/>
              </m:rPr>
              <m:t>+</m:t>
            </m:r>
          </m:sup>
        </m:sSup>
        <m:r>
          <m:rPr>
            <m:sty m:val="p"/>
          </m:rPr>
          <m:t>/</m:t>
        </m:r>
        <m:r>
          <m:rPr>
            <m:sty m:val="p"/>
          </m:rPr>
          <m:t>Fe</m:t>
        </m:r>
        <m:sSub>
          <m:sSubPr/>
          <m:e>
            <m:d>
              <m:dPr>
                <m:begChr m:val="("/>
                <m:endChr m:val=")"/>
                <m:ctrlPr>
                  <w:rPr>
                    <w:rFonts w:ascii="Cambria Math" w:hAnsi="Cambria Math"/>
                  </w:rPr>
                </m:ctrlPr>
              </m:dPr>
              <m:e>
                <m:sSub>
                  <m:sSubPr/>
                  <m:e>
                    <m:r>
                      <m:rPr>
                        <m:sty m:val="p"/>
                      </m:rPr>
                      <m:t>H</m:t>
                    </m:r>
                  </m:e>
                  <m:sub>
                    <m:r>
                      <m:rPr>
                        <m:sty m:val="p"/>
                      </m:rPr>
                      <m:t>2</m:t>
                    </m:r>
                  </m:sub>
                </m:sSub>
                <m:r>
                  <m:rPr>
                    <m:sty m:val="p"/>
                  </m:rPr>
                  <m:t>O</m:t>
                </m:r>
              </m:e>
            </m:d>
          </m:e>
          <m:sub>
            <m:r>
              <m:rPr>
                <m:sty m:val="p"/>
              </m:rPr>
              <m:t>6</m:t>
            </m:r>
          </m:sub>
        </m:sSub>
        <m:sSup>
          <m:sSupPr/>
          <m:e>
            <m:r>
              <m:t xml:space="preserve"> </m:t>
            </m:r>
          </m:e>
          <m:sup>
            <m:r>
              <m:rPr>
                <m:sty m:val="p"/>
              </m:rPr>
              <m:t>2</m:t>
            </m:r>
            <m:r>
              <m:rPr>
                <m:sty m:val="p"/>
              </m:rPr>
              <m:t>+</m:t>
            </m:r>
          </m:sup>
        </m:sSup>
      </m:oMath>
      <w:r>
        <w:rPr/>
        <w:t xml:space="preserve"> et </w:t>
      </w:r>
      <m:oMath>
        <m:r>
          <m:rPr>
            <m:sty m:val="i"/>
          </m:rPr>
          <m:t>B</m:t>
        </m:r>
        <m:r>
          <m:rPr>
            <m:sty m:val="p"/>
          </m:rPr>
          <m:t>/</m:t>
        </m:r>
        <m:r>
          <m:rPr>
            <m:sty m:val="i"/>
          </m:rPr>
          <m:t>A</m:t>
        </m:r>
      </m:oMath>
      <w:r>
        <w:rPr>
          <w:rFonts w:eastAsia="Georgia" w:cs="Georgia" w:ascii="Georgia" w:hAnsi="Georgia"/>
        </w:rPr>
        <w:t xml:space="preserve"> et expliciter les potentiels notés respectivement </w:t>
      </w:r>
      <m:oMath>
        <m:sSub>
          <m:sSubPr/>
          <m:e>
            <m:r>
              <m:rPr>
                <m:sty m:val="i"/>
              </m:rPr>
              <m:t>E</m:t>
            </m:r>
          </m:e>
          <m:sub>
            <m:r>
              <m:rPr>
                <m:sty m:val="p"/>
              </m:rPr>
              <m:t>2</m:t>
            </m:r>
          </m:sub>
        </m:sSub>
      </m:oMath>
      <w:r>
        <w:rPr/>
        <w:t xml:space="preserve"> et </w:t>
      </w:r>
      <m:oMath>
        <m:sSub>
          <m:sSubPr/>
          <m:e>
            <m:r>
              <m:rPr>
                <m:sty m:val="i"/>
              </m:rPr>
              <m:t>E</m:t>
            </m:r>
          </m:e>
          <m:sub>
            <m:r>
              <m:rPr>
                <m:sty m:val="p"/>
              </m:rPr>
              <m:t>1</m:t>
            </m:r>
          </m:sub>
        </m:sSub>
      </m:oMath>
      <w:r>
        <w:rPr/>
        <w:t xml:space="preserve">.</w:t>
      </w:r>
      <w:r>
        <w:rPr/>
        <w:br w:type="textWrapping"/>
      </w:r>
      <w:r>
        <w:rPr>
          <w:rFonts w:eastAsia="Georgia" w:cs="Georgia" w:ascii="Georgia" w:hAnsi="Georgia"/>
        </w:rPr>
        <w:t xml:space="preserve">IV.2.2 Donner les équilibres de formation des complexes </w:t>
      </w:r>
      <m:oMath>
        <m:r>
          <m:rPr>
            <m:sty m:val="i"/>
          </m:rPr>
          <m:t>A</m:t>
        </m:r>
      </m:oMath>
      <w:r>
        <w:rPr/>
        <w:t xml:space="preserve"> et </w:t>
      </w:r>
      <m:oMath>
        <m:r>
          <m:rPr>
            <m:sty m:val="i"/>
          </m:rPr>
          <m:t>B</m:t>
        </m:r>
      </m:oMath>
      <w:r>
        <w:rPr>
          <w:rFonts w:eastAsia="Georgia" w:cs="Georgia" w:ascii="Georgia" w:hAnsi="Georgia"/>
        </w:rPr>
        <w:t xml:space="preserve"> à partir des complexes hexa aquo du fer correspondant (même degré d'oxydation). Expliciter les constantes d'équilibres </w:t>
      </w:r>
      <m:oMath>
        <m:sSub>
          <m:sSubPr/>
          <m:e>
            <m:r>
              <m:rPr>
                <m:sty m:val="p"/>
              </m:rPr>
              <m:t>K</m:t>
            </m:r>
          </m:e>
          <m:sub>
            <m:r>
              <m:rPr>
                <m:sty m:val="p"/>
              </m:rPr>
              <m:t>1</m:t>
            </m:r>
          </m:sub>
        </m:sSub>
      </m:oMath>
      <w:r>
        <w:rPr/>
        <w:t xml:space="preserve"> pour le fer </w:t>
      </w:r>
      <m:oMath>
        <m:sSup>
          <m:sSupPr/>
          <m:e>
            <m:r>
              <m:rPr>
                <m:sty m:val="p"/>
              </m:rPr>
              <m:t>Fe</m:t>
            </m:r>
          </m:e>
          <m:sup>
            <m:r>
              <m:rPr>
                <m:sty m:val="p"/>
              </m:rPr>
              <m:t>2</m:t>
            </m:r>
            <m:r>
              <m:rPr>
                <m:sty m:val="p"/>
              </m:rPr>
              <m:t>+</m:t>
            </m:r>
          </m:sup>
        </m:sSup>
      </m:oMath>
      <w:r>
        <w:rPr/>
        <w:t xml:space="preserve"> et </w:t>
      </w:r>
      <m:oMath>
        <m:sSub>
          <m:sSubPr/>
          <m:e>
            <m:r>
              <m:rPr>
                <m:sty m:val="p"/>
              </m:rPr>
              <m:t>K</m:t>
            </m:r>
          </m:e>
          <m:sub>
            <m:r>
              <m:rPr>
                <m:sty m:val="p"/>
              </m:rPr>
              <m:t>2</m:t>
            </m:r>
          </m:sub>
        </m:sSub>
      </m:oMath>
      <w:r>
        <w:rPr/>
        <w:t xml:space="preserve"> pour le fer </w:t>
      </w:r>
      <m:oMath>
        <m:sSup>
          <m:sSupPr/>
          <m:e>
            <m:r>
              <m:rPr>
                <m:sty m:val="p"/>
              </m:rPr>
              <m:t>Fe</m:t>
            </m:r>
          </m:e>
          <m:sup>
            <m:r>
              <m:rPr>
                <m:sty m:val="p"/>
              </m:rPr>
              <m:t>3</m:t>
            </m:r>
            <m:r>
              <m:rPr>
                <m:sty m:val="p"/>
              </m:rPr>
              <m:t>+</m:t>
            </m:r>
          </m:sup>
        </m:sSup>
      </m:oMath>
      <w:r>
        <w:rPr/>
        <w:t xml:space="preserve">.</w:t>
      </w:r>
      <w:r>
        <w:rPr/>
        <w:br w:type="textWrapping"/>
      </w:r>
      <w:r>
        <w:rPr/>
        <w:t xml:space="preserve">IV.2.3 Exprimer le potentiel standard du couple </w:t>
      </w:r>
      <m:oMath>
        <m:r>
          <m:rPr>
            <m:sty m:val="p"/>
          </m:rPr>
          <m:t>Fe</m:t>
        </m:r>
        <m:sSub>
          <m:sSubPr/>
          <m:e>
            <m:d>
              <m:dPr>
                <m:begChr m:val="("/>
                <m:endChr m:val=")"/>
                <m:ctrlPr>
                  <w:rPr>
                    <w:rFonts w:ascii="Cambria Math" w:hAnsi="Cambria Math"/>
                  </w:rPr>
                </m:ctrlPr>
              </m:dPr>
              <m:e>
                <m:sSub>
                  <m:sSubPr/>
                  <m:e>
                    <m:r>
                      <m:rPr>
                        <m:sty m:val="p"/>
                      </m:rPr>
                      <m:t>H</m:t>
                    </m:r>
                  </m:e>
                  <m:sub>
                    <m:r>
                      <m:rPr>
                        <m:sty m:val="p"/>
                      </m:rPr>
                      <m:t>2</m:t>
                    </m:r>
                  </m:sub>
                </m:sSub>
                <m:r>
                  <m:rPr>
                    <m:sty m:val="p"/>
                  </m:rPr>
                  <m:t>O</m:t>
                </m:r>
              </m:e>
            </m:d>
          </m:e>
          <m:sub>
            <m:r>
              <m:rPr>
                <m:sty m:val="p"/>
              </m:rPr>
              <m:t>6</m:t>
            </m:r>
          </m:sub>
        </m:sSub>
        <m:sSup>
          <m:sSupPr/>
          <m:e>
            <m:r>
              <m:t xml:space="preserve"> </m:t>
            </m:r>
          </m:e>
          <m:sup>
            <m:r>
              <m:rPr>
                <m:sty m:val="p"/>
              </m:rPr>
              <m:t>3</m:t>
            </m:r>
            <m:r>
              <m:rPr>
                <m:sty m:val="p"/>
              </m:rPr>
              <m:t>+</m:t>
            </m:r>
          </m:sup>
        </m:sSup>
        <m:r>
          <m:rPr>
            <m:sty m:val="p"/>
          </m:rPr>
          <m:t>/</m:t>
        </m:r>
        <m:r>
          <m:rPr>
            <m:sty m:val="p"/>
          </m:rPr>
          <m:t>Fe</m:t>
        </m:r>
        <m:sSub>
          <m:sSubPr/>
          <m:e>
            <m:d>
              <m:dPr>
                <m:begChr m:val="("/>
                <m:endChr m:val=")"/>
                <m:ctrlPr>
                  <w:rPr>
                    <w:rFonts w:ascii="Cambria Math" w:hAnsi="Cambria Math"/>
                  </w:rPr>
                </m:ctrlPr>
              </m:dPr>
              <m:e>
                <m:sSub>
                  <m:sSubPr/>
                  <m:e>
                    <m:r>
                      <m:rPr>
                        <m:sty m:val="p"/>
                      </m:rPr>
                      <m:t>H</m:t>
                    </m:r>
                  </m:e>
                  <m:sub>
                    <m:r>
                      <m:rPr>
                        <m:sty m:val="p"/>
                      </m:rPr>
                      <m:t>2</m:t>
                    </m:r>
                  </m:sub>
                </m:sSub>
                <m:r>
                  <m:rPr>
                    <m:sty m:val="p"/>
                  </m:rPr>
                  <m:t>O</m:t>
                </m:r>
              </m:e>
            </m:d>
          </m:e>
          <m:sub>
            <m:r>
              <m:rPr>
                <m:sty m:val="p"/>
              </m:rPr>
              <m:t>6</m:t>
            </m:r>
          </m:sub>
        </m:sSub>
        <m:sSup>
          <m:sSupPr/>
          <m:e>
            <m:r>
              <m:t xml:space="preserve"> </m:t>
            </m:r>
          </m:e>
          <m:sup>
            <m:r>
              <m:rPr>
                <m:sty m:val="p"/>
              </m:rPr>
              <m:t>2</m:t>
            </m:r>
            <m:r>
              <m:rPr>
                <m:sty m:val="p"/>
              </m:rPr>
              <m:t>+</m:t>
            </m:r>
          </m:sup>
        </m:sSup>
      </m:oMath>
      <w:r>
        <w:rPr/>
        <w:t xml:space="preserve"> en fonction du potentiel standard du couple B/A.</w:t>
      </w:r>
      <w:r>
        <w:rPr/>
        <w:br w:type="textWrapping"/>
      </w:r>
      <w:r>
        <w:rPr>
          <w:rFonts w:eastAsia="Georgia" w:cs="Georgia" w:ascii="Georgia" w:hAnsi="Georgia"/>
        </w:rPr>
        <w:t xml:space="preserve">IV.2.4 Qu'en déduisez-vous quant à la différence de stabilité des ions complexes A et B ?</w:t>
      </w:r>
      <w:r>
        <w:rPr/>
        <w:br w:type="textWrapping"/>
      </w:r>
      <w:r>
        <w:rPr>
          <w:rFonts w:eastAsia="Georgia" w:cs="Georgia" w:ascii="Georgia" w:hAnsi="Georgia"/>
        </w:rPr>
        <w:t xml:space="preserve">IV.3. La forme soluble du bleu de Prusse, dont la formule et la structure ont été longtemps discutées, correspondrait à un composé soluble dans l'eau, facilement oxydable et de formule brute </w:t>
      </w:r>
      <m:oMath>
        <m:sSub>
          <m:sSubPr/>
          <m:e>
            <m:r>
              <m:rPr>
                <m:sty m:val="p"/>
              </m:rPr>
              <m:t>KFe</m:t>
            </m:r>
          </m:e>
          <m:sub>
            <m:r>
              <m:rPr>
                <m:sty m:val="p"/>
              </m:rPr>
              <m:t>2</m:t>
            </m:r>
          </m:sub>
        </m:sSub>
        <m:r>
          <m:rPr>
            <m:sty m:val="p"/>
          </m:rPr>
          <m:t>(</m:t>
        </m:r>
        <m:r>
          <m:rPr>
            <m:sty m:val="p"/>
          </m:rPr>
          <m:t>CN</m:t>
        </m:r>
        <m:sSub>
          <m:sSubPr/>
          <m:e>
            <m:r>
              <m:rPr>
                <m:sty m:val="p"/>
              </m:rPr>
              <m:t>)</m:t>
            </m:r>
          </m:e>
          <m:sub>
            <m:r>
              <m:rPr>
                <m:sty m:val="p"/>
              </m:rPr>
              <m:t>6</m:t>
            </m:r>
          </m:sub>
        </m:sSub>
      </m:oMath>
      <w:r>
        <w:rPr>
          <w:rFonts w:eastAsia="Georgia" w:cs="Georgia" w:ascii="Georgia" w:hAnsi="Georgia"/>
        </w:rPr>
        <w:t xml:space="preserve">. Ce composé cristallise dans le système cubique à face centrée.</w:t>
      </w:r>
      <w:r>
        <w:rPr/>
        <w:br w:type="textWrapping"/>
      </w:r>
      <w:r>
        <w:rPr/>
        <w:t xml:space="preserve">IV.3.1 Montrer que dans </w:t>
      </w:r>
      <m:oMath>
        <m:sSub>
          <m:sSubPr/>
          <m:e>
            <m:r>
              <m:rPr>
                <m:sty m:val="p"/>
              </m:rPr>
              <m:t>KFe</m:t>
            </m:r>
          </m:e>
          <m:sub>
            <m:r>
              <m:rPr>
                <m:sty m:val="p"/>
              </m:rPr>
              <m:t>2</m:t>
            </m:r>
          </m:sub>
        </m:sSub>
        <m:r>
          <m:rPr>
            <m:sty m:val="p"/>
          </m:rPr>
          <m:t>(</m:t>
        </m:r>
        <m:r>
          <m:rPr>
            <m:sty m:val="p"/>
          </m:rPr>
          <m:t>CN</m:t>
        </m:r>
        <m:sSub>
          <m:sSubPr/>
          <m:e>
            <m:r>
              <m:rPr>
                <m:sty m:val="p"/>
              </m:rPr>
              <m:t>)</m:t>
            </m:r>
          </m:e>
          <m:sub>
            <m:r>
              <m:rPr>
                <m:sty m:val="p"/>
              </m:rPr>
              <m:t>6</m:t>
            </m:r>
          </m:sub>
        </m:sSub>
      </m:oMath>
      <w:r>
        <w:rPr>
          <w:rFonts w:eastAsia="Georgia" w:cs="Georgia" w:ascii="Georgia" w:hAnsi="Georgia"/>
        </w:rPr>
        <w:t xml:space="preserve">, l'élément fer est présent sous ses deux degrés d'oxydation connus?</w:t>
      </w:r>
      <w:r>
        <w:rPr/>
        <w:br w:type="textWrapping"/>
      </w:r>
      <w:r>
        <w:rPr>
          <w:rFonts w:eastAsia="Georgia" w:cs="Georgia" w:ascii="Georgia" w:hAnsi="Georgia"/>
        </w:rPr>
        <w:t xml:space="preserve">IV.3.2 Donner la formule de Lewis de l'ion cyanure. La géométrie de cet ion est linéaire. Peut-on utiliser la méthode VSEPR pour la déterminer? Pourquoi ? Que pouvez-vous en déduire à propos des électrons susceptibles d'être engagés dans une liaison chimique lors de la formation d'un complexe de coordination avec le fer?</w:t>
      </w:r>
      <w:r>
        <w:rPr/>
        <w:br w:type="textWrapping"/>
      </w:r>
      <w:r>
        <w:rPr>
          <w:rFonts w:eastAsia="Georgia" w:cs="Georgia" w:ascii="Georgia" w:hAnsi="Georgia"/>
        </w:rPr>
        <w:t xml:space="preserve">IV.3.3 Justifier la formule du bleu de Prusse sachant que le fer n'occupe que les sommets de la maille élémentaire, que les ligands cyanure sont alignés le long des arêtes et que l'ion potassium occupe le centre d'une face sur six.</w:t>
      </w:r>
    </w:p>
    <w:p>
      <w:pPr>
        <w:numPr>
          <w:ilvl w:val="0"/>
          <w:numId w:val="1"/>
        </w:numPr>
        <w:spacing w:lineRule="auto"/>
      </w:pPr>
      <w:r>
        <w:rPr/>
        <w:t xml:space="preserve">Uniquement s'il s'agit d'un examen.</w:t>
      </w:r>
      <w:r>
        <w:rPr/>
        <w:br w:type="textWrapping"/>
      </w:r>
    </w:p>
    <w:p>
      <w:pPr>
        <w:spacing w:lineRule="auto"/>
        <w:jc w:val="center"/>
      </w:pPr>
      <w:r>
        <w:rPr/>
        <w:drawing>
          <wp:inline distB="0" distL="0" distR="0" distT="0">
            <wp:extent cx="5486400" cy="6775110"/>
            <wp:effectExtent b="0" l="0" r="0" t="0"/>
            <wp:docPr id="1" name="image-f4e15dad22a994b2c020056a6dbbb58239cae415.jpg"/>
            <a:graphic>
              <a:graphicData uri="http://schemas.openxmlformats.org/drawingml/2006/picture">
                <pic:pic>
                  <pic:nvPicPr>
                    <pic:cNvPr id="1" name="image-f4e15dad22a994b2c020056a6dbbb58239cae415.jpg" descr=""/>
                    <pic:cNvPicPr/>
                  </pic:nvPicPr>
                  <pic:blipFill>
                    <a:blip r:embed="rId5" cstate="print"/>
                    <a:srcRect b="0" l="0" r="0" t="0"/>
                    <a:stretch>
                      <a:fillRect/>
                    </a:stretch>
                  </pic:blipFill>
                  <pic:spPr>
                    <a:xfrm>
                      <a:off x="0" y="0"/>
                      <a:ext cx="5486400" cy="6775110"/>
                    </a:xfrm>
                    <a:prstGeom prst="rect"/>
                  </pic:spPr>
                </pic:pic>
              </a:graphicData>
            </a:graphic>
          </wp:inline>
        </w:drawing>
      </w:r>
    </w:p>
    <w:p>
      <w:pPr>
        <w:spacing w:line="288" w:after="220" w:lineRule="auto"/>
        <w:jc w:val="center"/>
      </w:pPr>
      <w:r>
        <w:rPr>
          <w:b/>
          <w:sz w:val="56"/>
        </w:rPr>
        <w:t xml:space="preserve">Epreuve de Physique C - Thermodynamique</w:t>
      </w:r>
    </w:p>
    <w:p>
      <w:pPr>
        <w:spacing w:lineRule="auto"/>
        <w:ind w:left="2265" w:right="2265"/>
        <w:jc w:val="center"/>
      </w:pPr>
      <w:r>
        <w:rPr>
          <w:rFonts w:eastAsia="Georgia" w:cs="Georgia" w:ascii="Georgia" w:hAnsi="Georgia"/>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m:oMath>
        <m:bar>
          <m:barPr/>
          <m:e>
            <m:r>
              <m:rPr>
                <m:sty m:val="i"/>
              </m:rPr>
              <w:rPr>
                <w:sz w:val="42"/>
              </w:rPr>
              <m:t>A</m:t>
            </m:r>
          </m:e>
        </m:bar>
      </m:oMath>
      <w:r>
        <w:rPr>
          <w:rFonts w:eastAsia="Georgia" w:cs="Georgia" w:ascii="Georgia" w:hAnsi="Georgia"/>
          <w:b/>
          <w:sz w:val="42"/>
        </w:rPr>
        <w:t xml:space="preserve"> rendre avec la copie 1 document réponse non plié.</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encadrés et non justifiés ne seront pas pris en compte.</w:t>
      </w:r>
    </w:p>
    <w:p>
      <w:pPr>
        <w:spacing w:after="220" w:lineRule="auto"/>
      </w:pPr>
      <w:r>
        <w:rPr>
          <w:rFonts w:eastAsia="Georgia" w:cs="Georgia" w:ascii="Georgia" w:hAnsi="Georgia"/>
        </w:rPr>
        <w:t xml:space="preserve">La climatisation est désormais présente sur plus de 9 véhicules neufs sur 10. Les avantages de ce dispositif sont essentiellement un plus grand confort, un air moins humide et une vigilance accrue du conducteur grâce à la fraîcheur de l'air de l'habitacle du véhicule. Elle est composée d'un circuit d'air pulsé par ventilateur et d'un circuit frigorifique constitué d'un compresseur, d'un condenseur, d'un détendeur et d'un évaporateur, dans lesquels circule un fluide frigorigène. Le fluide utilisé par la majorité des véhicules en circulation est le R134a, qui devrait être interdit dans l'Union Européenne à partir de 2011 car c'est un gaz nocif et à effet de serre ( 1400 fois plus élevé que celui du </w:t>
      </w:r>
      <m:oMath>
        <m:sSub>
          <m:sSubPr/>
          <m:e>
            <m:r>
              <m:rPr>
                <m:sty m:val="p"/>
              </m:rPr>
              <m:t>CO</m:t>
            </m:r>
          </m:e>
          <m:sub>
            <m:r>
              <m:rPr>
                <m:sty m:val="p"/>
              </m:rPr>
              <m:t>2</m:t>
            </m:r>
          </m:sub>
        </m:sSub>
      </m:oMath>
      <w:r>
        <w:rPr>
          <w:rFonts w:eastAsia="Georgia" w:cs="Georgia" w:ascii="Georgia" w:hAnsi="Georgia"/>
        </w:rPr>
        <w:t xml:space="preserve"> ). Par ailleurs la climatisation augmente notablement la consommation de carburant et requiert un entretien sérieux et régulier ( fuites de fluide frigorigène, usure des joints,... )</w:t>
      </w:r>
    </w:p>
    <w:p>
      <w:pPr>
        <w:spacing w:after="220" w:lineRule="auto"/>
      </w:pPr>
      <w:r>
        <w:rPr>
          <w:rFonts w:eastAsia="Georgia" w:cs="Georgia" w:ascii="Georgia" w:hAnsi="Georgia"/>
        </w:rPr>
        <w:t xml:space="preserve">Après l'étude du principe de fonctionnement d'une climatisation, le problème aborde certains aspects de sa conception ainsi que la surconsommation entraînée par son fonctionnement. Pour indication, à 2400 tr/mn, le moteur de la voiture développe une puissance motrice de 30 kW .</w:t>
      </w:r>
    </w:p>
    <w:p>
      <w:pPr>
        <w:spacing w:after="220" w:lineRule="auto"/>
      </w:pPr>
      <w:r>
        <w:rPr>
          <w:rFonts w:eastAsia="Georgia" w:cs="Georgia" w:ascii="Georgia" w:hAnsi="Georgia"/>
        </w:rPr>
        <w:t xml:space="preserve">Dans tout le problème, la climatisation étudiée assure le maintien d'une température de l'habitacle de la voiture égale à </w:t>
      </w:r>
      <m:oMath>
        <m:sSup>
          <m:sSupPr/>
          <m:e>
            <m:r>
              <m:rPr>
                <m:sty m:val="p"/>
              </m:rPr>
              <m:t>20</m:t>
            </m:r>
          </m:e>
          <m:sup>
            <m:r>
              <m:rPr>
                <m:sty m:val="p"/>
              </m:rPr>
              <m:t>∘</m:t>
            </m:r>
          </m:sup>
        </m:sSup>
        <m:r>
          <m:rPr>
            <m:sty m:val="p"/>
          </m:rPr>
          <m:t>C</m:t>
        </m:r>
      </m:oMath>
      <w:r>
        <w:rPr>
          <w:rFonts w:eastAsia="Georgia" w:cs="Georgia" w:ascii="Georgia" w:hAnsi="Georgia"/>
        </w:rPr>
        <w:t xml:space="preserve"> pour une température de l'air extérieur égale à </w:t>
      </w:r>
      <m:oMath>
        <m:sSup>
          <m:sSupPr/>
          <m:e>
            <m:r>
              <m:rPr>
                <m:sty m:val="p"/>
              </m:rPr>
              <m:t>35</m:t>
            </m:r>
          </m:e>
          <m:sup>
            <m:r>
              <m:rPr>
                <m:sty m:val="p"/>
              </m:rPr>
              <m:t>∘</m:t>
            </m:r>
          </m:sup>
        </m:sSup>
        <m:r>
          <m:rPr>
            <m:sty m:val="p"/>
          </m:rPr>
          <m:t>C</m:t>
        </m:r>
      </m:oMath>
      <w:r>
        <w:rPr>
          <w:rFonts w:eastAsia="Georgia" w:cs="Georgia" w:ascii="Georgia" w:hAnsi="Georgia"/>
        </w:rPr>
        <w:t xml:space="preserve">, grâce à un débit massique constant </w:t>
      </w:r>
      <m:oMath>
        <m:sSub>
          <m:sSubPr/>
          <m:e>
            <m:r>
              <m:rPr>
                <m:sty m:val="p"/>
              </m:rPr>
              <m:t>D</m:t>
            </m:r>
          </m:e>
          <m:sub>
            <m:r>
              <m:rPr>
                <m:sty m:val="p"/>
              </m:rPr>
              <m:t>m</m:t>
            </m:r>
          </m:sub>
        </m:sSub>
      </m:oMath>
      <w:r>
        <w:rPr>
          <w:rFonts w:eastAsia="Georgia" w:cs="Georgia" w:ascii="Georgia" w:hAnsi="Georgia"/>
        </w:rPr>
        <w:t xml:space="preserve">. On se réfèrera à ces valeurs s'il en est besoin dans la suite du problème.</w:t>
      </w:r>
    </w:p>
    <w:p>
      <w:pPr>
        <w:spacing w:after="220" w:lineRule="auto"/>
      </w:pPr>
      <w:r>
        <w:rPr>
          <w:rFonts w:eastAsia="Georgia" w:cs="Georgia" w:ascii="Georgia" w:hAnsi="Georgia"/>
        </w:rPr>
        <w:t xml:space="preserve">On suppose que les conduites reliant les différents appareils sont parfaitement calorifugées et que la pression qui y règne est constante. On néglige toutes les variations de vitesse du fluide et l'on raisonne sur 1 kg de fluide. On considère, sauf mention explicite de l'énoncé, que le fluide thermodynamique a les mêmes propriétés qu'un gaz parfait lorsqu'il est sous forme de vapeur.</w:t>
      </w:r>
    </w:p>
    <w:p>
      <w:pPr>
        <w:spacing w:line="271" w:before="330" w:lineRule="auto"/>
      </w:pPr>
      <w:r>
        <w:rPr>
          <w:rFonts w:eastAsia="Georgia" w:cs="Georgia" w:ascii="Georgia" w:hAnsi="Georgia"/>
          <w:b/>
          <w:sz w:val="42"/>
        </w:rPr>
        <w:t xml:space="preserve">Données numériques</w:t>
      </w:r>
    </w:p>
    <w:p>
      <w:pPr>
        <w:spacing w:after="220" w:lineRule="auto"/>
      </w:pPr>
      <w:r>
        <w:rPr/>
        <w:t xml:space="preserve">Fluide thermodynamique </w:t>
      </w:r>
      <m:oMath>
        <m:r>
          <m:rPr>
            <m:sty m:val="p"/>
          </m:rPr>
          <m:t xml:space="preserve"> </m:t>
        </m:r>
        <m:r>
          <m:rPr>
            <m:sty m:val="i"/>
          </m:rPr>
          <m:t>r</m:t>
        </m:r>
        <m:r>
          <m:rPr>
            <m:sty m:val="p"/>
          </m:rPr>
          <m:t>=</m:t>
        </m:r>
        <m:r>
          <m:rPr>
            <m:sty m:val="p"/>
          </m:rPr>
          <m:t>85</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kg</m:t>
            </m:r>
          </m:e>
          <m:sup>
            <m:r>
              <m:rPr>
                <m:sty m:val="p"/>
              </m:rPr>
              <m:t>−</m:t>
            </m:r>
            <m:r>
              <m:rPr>
                <m:sty m:val="p"/>
              </m:rPr>
              <m:t>1</m:t>
            </m:r>
          </m:sup>
        </m:sSup>
      </m:oMath>
    </w:p>
    <w:p>
      <w:pPr>
        <w:spacing w:after="220" w:lineRule="auto"/>
      </w:pPr>
      <m:oMathPara>
        <m:oMath>
          <m:r>
            <m:rPr>
              <m:sty m:val="i"/>
            </m:rPr>
            <m:t>γ</m:t>
          </m:r>
          <m:r>
            <m:rPr>
              <m:sty m:val="p"/>
            </m:rPr>
            <m:t>=</m:t>
          </m:r>
          <m:sSub>
            <m:sSubPr/>
            <m:e>
              <m:r>
                <m:rPr>
                  <m:sty m:val="i"/>
                </m:rPr>
                <m:t>c</m:t>
              </m:r>
            </m:e>
            <m:sub>
              <m:r>
                <m:rPr>
                  <m:sty m:val="i"/>
                </m:rPr>
                <m:t>p</m:t>
              </m:r>
            </m:sub>
          </m:sSub>
          <m:r>
            <m:rPr>
              <m:sty m:val="p"/>
            </m:rPr>
            <m:t>/</m:t>
          </m:r>
          <m:sSub>
            <m:sSubPr/>
            <m:e>
              <m:r>
                <m:rPr>
                  <m:sty m:val="i"/>
                </m:rPr>
                <m:t>c</m:t>
              </m:r>
            </m:e>
            <m:sub>
              <m:r>
                <m:rPr>
                  <m:sty m:val="i"/>
                </m:rPr>
                <m:t>V</m:t>
              </m:r>
            </m:sub>
          </m:sSub>
          <m:r>
            <m:rPr>
              <m:sty m:val="p"/>
            </m:rPr>
            <m:t>=</m:t>
          </m:r>
          <m:r>
            <m:rPr>
              <m:sty m:val="p"/>
            </m:rPr>
            <m:t>1</m:t>
          </m:r>
          <m:r>
            <m:rPr>
              <m:sty m:val="p"/>
            </m:rPr>
            <m:t>,</m:t>
          </m:r>
          <m:r>
            <m:rPr>
              <m:sty m:val="p"/>
            </m:rPr>
            <m:t>12</m:t>
          </m:r>
        </m:oMath>
      </m:oMathPara>
    </w:p>
    <w:p>
      <w:pPr>
        <w:spacing w:after="220" w:lineRule="auto"/>
      </w:pPr>
      <w:r>
        <w:rPr/>
        <w:t xml:space="preserve">Basse pression = 3 bar </w:t>
      </w:r>
      <m:oMath>
        <m:r>
          <m:rPr>
            <m:sty m:val="p"/>
          </m:rPr>
          <m:t xml:space="preserve"> </m:t>
        </m:r>
      </m:oMath>
      <w:r>
        <w:rPr/>
        <w:t xml:space="preserve"> Haute pression = 13 bar</w:t>
      </w:r>
    </w:p>
    <w:p>
      <w:pPr>
        <w:spacing w:after="220" w:lineRule="auto"/>
      </w:pPr>
      <m:oMathPara>
        <m:oMath>
          <m:sSub>
            <m:sSubPr/>
            <m:e>
              <m:r>
                <m:rPr>
                  <m:sty m:val="i"/>
                </m:rPr>
                <m:t>D</m:t>
              </m:r>
            </m:e>
            <m:sub>
              <m:r>
                <m:rPr>
                  <m:sty m:val="i"/>
                </m:rPr>
                <m:t>m</m:t>
              </m:r>
            </m:sub>
          </m:sSub>
          <m:r>
            <m:rPr>
              <m:sty m:val="p"/>
            </m:rPr>
            <m:t>=</m:t>
          </m:r>
          <m:r>
            <m:rPr>
              <m:sty m:val="p"/>
            </m:rPr>
            <m:t>0</m:t>
          </m:r>
          <m:r>
            <m:rPr>
              <m:sty m:val="p"/>
            </m:rPr>
            <m:t>,</m:t>
          </m:r>
          <m:r>
            <m:rPr>
              <m:sty m:val="p"/>
            </m:rPr>
            <m:t>15</m:t>
          </m:r>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m:oMathPara>
    </w:p>
    <w:p>
      <w:pPr>
        <w:spacing w:after="220" w:lineRule="auto"/>
      </w:pPr>
      <w:r>
        <w:rPr/>
        <w:t xml:space="preserve">Air</w:t>
      </w:r>
    </w:p>
    <w:p>
      <w:pPr>
        <w:spacing w:after="220" w:lineRule="auto"/>
      </w:pPr>
      <m:oMathPara>
        <m:oMath>
          <m:sSub>
            <m:sSubPr/>
            <m:e>
              <m:r>
                <m:rPr>
                  <m:sty m:val="i"/>
                </m:rPr>
                <m:t>c</m:t>
              </m:r>
            </m:e>
            <m:sub>
              <m:r>
                <m:rPr>
                  <m:sty m:val="i"/>
                </m:rPr>
                <m:t>P</m:t>
              </m:r>
            </m:sub>
          </m:sSub>
          <m:r>
            <m:rPr>
              <m:nor/>
            </m:rPr>
            <m:t> air </m:t>
          </m:r>
          <m:r>
            <m:rPr>
              <m:sty m:val="p"/>
            </m:rPr>
            <m:t>=</m:t>
          </m:r>
          <m:r>
            <m:rPr>
              <m:sty m:val="p"/>
            </m:rPr>
            <m:t>1005</m:t>
          </m:r>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kg</m:t>
              </m:r>
            </m:e>
            <m:sup>
              <m:r>
                <m:rPr>
                  <m:sty m:val="p"/>
                </m:rPr>
                <m:t>−</m:t>
              </m:r>
              <m:r>
                <m:rPr>
                  <m:sty m:val="p"/>
                </m:rPr>
                <m:t>1</m:t>
              </m:r>
            </m:sup>
          </m:sSup>
        </m:oMath>
      </m:oMathPara>
    </w:p>
    <w:p>
      <w:pPr>
        <w:spacing w:line="271" w:before="330" w:lineRule="auto"/>
      </w:pPr>
      <w:r>
        <w:rPr>
          <w:b/>
          <w:sz w:val="42"/>
        </w:rPr>
        <w:t xml:space="preserve">PRINCIPE</w:t>
      </w:r>
    </w:p>
    <w:p>
      <w:pPr>
        <w:spacing w:after="220" w:lineRule="auto"/>
      </w:pPr>
      <w:r>
        <w:rPr>
          <w:rFonts w:eastAsia="Georgia" w:cs="Georgia" w:ascii="Georgia" w:hAnsi="Georgia"/>
        </w:rPr>
        <w:t xml:space="preserve">1/ Sur UN schéma de principe, identifier les différents transferts énergétiques à l'œuvre dans le système d'une climatisation entre les différents éléments ci-dessous et les représenter au moyen d'une flèche. A quel élément peut-on identifier l'air pulsé ?</w:t>
      </w:r>
    </w:p>
    <w:p>
      <w:pPr>
        <w:spacing w:after="220" w:lineRule="auto"/>
      </w:pPr>
      <w:r>
        <w:rPr/>
        <w:t xml:space="preserve">Fluide R134a</w:t>
      </w:r>
      <w:r>
        <w:rPr/>
        <w:br w:type="textWrapping"/>
      </w:r>
      <w:r>
        <w:rPr/>
        <w:t xml:space="preserve">Source froide</w:t>
      </w:r>
    </w:p>
    <w:p>
      <w:pPr>
        <w:spacing w:line="271" w:before="330" w:lineRule="auto"/>
      </w:pPr>
      <w:r>
        <w:rPr>
          <w:b/>
          <w:sz w:val="42"/>
        </w:rPr>
        <w:t xml:space="preserve">Source chaude</w:t>
      </w:r>
    </w:p>
    <w:p>
      <w:pPr>
        <w:spacing w:after="220" w:lineRule="auto"/>
      </w:pPr>
      <w:r>
        <w:rPr/>
        <w:t xml:space="preserve">Compresseur</w:t>
      </w:r>
      <w:r>
        <w:rPr/>
        <w:br w:type="textWrapping"/>
      </w:r>
      <m:oMath>
        <m:r>
          <m:rPr>
            <m:sty m:val="p"/>
          </m:rPr>
          <m:t>2</m:t>
        </m:r>
        <m:r>
          <m:rPr>
            <m:sty m:val="p"/>
          </m:rPr>
          <m:t>/</m:t>
        </m:r>
      </m:oMath>
      <w:r>
        <w:rPr>
          <w:rFonts w:eastAsia="Georgia" w:cs="Georgia" w:ascii="Georgia" w:hAnsi="Georgia"/>
        </w:rPr>
        <w:t xml:space="preserve"> Quel est le rôle du condenseur au sein du système? Au contact duquel ou desquels éléments cidessus doit-il être mis ?</w:t>
      </w:r>
    </w:p>
    <w:p>
      <w:pPr>
        <w:spacing w:after="220" w:lineRule="auto"/>
      </w:pPr>
      <w:r>
        <w:rPr>
          <w:rFonts w:eastAsia="Georgia" w:cs="Georgia" w:ascii="Georgia" w:hAnsi="Georgia"/>
        </w:rPr>
        <w:t xml:space="preserve">3/ Quel est le rôle de l'évaporateur au sein du système ? Au contact duquel ou desquels éléments cidessus doit-il être mis ?</w:t>
      </w:r>
    </w:p>
    <w:p>
      <w:pPr>
        <w:spacing w:after="220" w:lineRule="auto"/>
      </w:pPr>
      <w:r>
        <w:rPr/>
        <w:t xml:space="preserve">4/ Le compresseur impose la haute pression.</w:t>
      </w:r>
      <w:r>
        <w:rPr/>
        <w:br w:type="textWrapping"/>
      </w:r>
      <w:r>
        <w:rPr>
          <w:rFonts w:eastAsia="Georgia" w:cs="Georgia" w:ascii="Georgia" w:hAnsi="Georgia"/>
        </w:rPr>
        <w:t xml:space="preserve">À quel type de transformation idéale assimile-t-on fréquemment la transformation subie par le fluide dans le compresseur? Pouvez-vous le justifier ? Selon quelle loi évolue la température du fluide lors d'une telle transformation?</w:t>
      </w:r>
    </w:p>
    <w:p>
      <w:pPr>
        <w:spacing w:after="220" w:lineRule="auto"/>
      </w:pPr>
      <w:r>
        <w:rPr>
          <w:rFonts w:eastAsia="Georgia" w:cs="Georgia" w:ascii="Georgia" w:hAnsi="Georgia"/>
        </w:rPr>
        <w:t xml:space="preserve">5/ Le détendeur impose la basse pression. À quel type de transformation idéale assimile-t-on fréquemment la transformation subie par le fluide dans le détendeur? Pouvez-vous le justifier ?</w:t>
      </w:r>
    </w:p>
    <w:p>
      <w:pPr>
        <w:spacing w:after="220" w:lineRule="auto"/>
      </w:pPr>
      <w:r>
        <w:rPr>
          <w:rFonts w:eastAsia="Georgia" w:cs="Georgia" w:ascii="Georgia" w:hAnsi="Georgia"/>
        </w:rPr>
        <w:t xml:space="preserve">6/ L'air de l'habitacle est chargé de vapeur d'eau. Le processus de climatisation peut aider à déshydrater cet air, grâce à un phénomène de condensation, évitant ainsi d'avoir à désembuer les parois vitrées de la voiture. Où peut se produire SPONTANÉMENT cette déshydratation ? Pourquoi ?</w:t>
      </w:r>
    </w:p>
    <w:p>
      <w:pPr>
        <w:spacing w:line="271" w:before="330" w:lineRule="auto"/>
      </w:pPr>
      <w:r>
        <w:rPr>
          <w:b/>
          <w:sz w:val="42"/>
        </w:rPr>
        <w:t xml:space="preserve">Etude du DIAGRAMME </w:t>
      </w:r>
      <m:oMath>
        <m:r>
          <m:rPr>
            <m:sty m:val="p"/>
          </m:rPr>
          <w:rPr>
            <w:sz w:val="42"/>
          </w:rPr>
          <m:t>log</m:t>
        </m:r>
        <m:r>
          <m:rPr>
            <m:sty m:val="p"/>
          </m:rPr>
          <w:rPr>
            <w:sz w:val="42"/>
          </w:rPr>
          <m:t>⁡</m:t>
        </m:r>
        <m:r>
          <m:rPr>
            <m:sty m:val="p"/>
          </m:rPr>
          <w:rPr>
            <w:sz w:val="42"/>
          </w:rPr>
          <m:t>(</m:t>
        </m:r>
        <m:r>
          <m:rPr>
            <m:sty m:val="p"/>
          </m:rPr>
          <w:rPr>
            <w:sz w:val="42"/>
          </w:rPr>
          <m:t>P</m:t>
        </m:r>
        <m:r>
          <m:rPr>
            <m:sty m:val="p"/>
          </m:rPr>
          <w:rPr>
            <w:sz w:val="42"/>
          </w:rPr>
          <m:t>)</m:t>
        </m:r>
        <m:r>
          <m:rPr>
            <m:sty m:val="p"/>
          </m:rPr>
          <w:rPr>
            <w:sz w:val="42"/>
          </w:rPr>
          <m:t>,</m:t>
        </m:r>
        <m:r>
          <m:rPr>
            <m:sty m:val="p"/>
          </m:rPr>
          <w:rPr>
            <w:sz w:val="42"/>
          </w:rPr>
          <m:t>h</m:t>
        </m:r>
      </m:oMath>
      <w:r>
        <w:rPr>
          <w:b/>
          <w:sz w:val="42"/>
        </w:rPr>
        <w:t xml:space="preserve"> (ANNEXE 1)</w:t>
      </w:r>
    </w:p>
    <w:p>
      <w:pPr>
        <w:spacing w:after="220" w:lineRule="auto"/>
      </w:pPr>
      <w:r>
        <w:rPr/>
        <w:t xml:space="preserve">On notera </w:t>
      </w:r>
      <m:oMath>
        <m:r>
          <m:rPr>
            <m:sty m:val="i"/>
          </m:rPr>
          <m:t>h</m:t>
        </m:r>
      </m:oMath>
      <w:r>
        <w:rPr/>
        <w:t xml:space="preserve">, w et </w:t>
      </w:r>
      <m:oMath>
        <m:r>
          <m:rPr>
            <m:sty m:val="i"/>
          </m:rPr>
          <m:t>q</m:t>
        </m:r>
      </m:oMath>
      <w:r>
        <w:rPr>
          <w:rFonts w:eastAsia="Georgia" w:cs="Georgia" w:ascii="Georgia" w:hAnsi="Georgia"/>
        </w:rPr>
        <w:t xml:space="preserve"> les enthalpies, transferts thermiques massiques échangés par le fluide. On portera en indice les lettres comp, d, e et cond pour les grandeurs relatives au compresseur, détendeur, évaporateur et condenseur. Les transferts thermiques ( </w:t>
      </w:r>
      <m:oMath>
        <m:r>
          <m:rPr>
            <m:sty m:val="i"/>
          </m:rPr>
          <m:t>w</m:t>
        </m:r>
        <m:r>
          <m:rPr>
            <m:sty m:val="p"/>
          </m:rPr>
          <m:t>,</m:t>
        </m:r>
        <m:r>
          <m:rPr>
            <m:sty m:val="i"/>
          </m:rPr>
          <m:t>q</m:t>
        </m:r>
      </m:oMath>
      <w:r>
        <w:rPr>
          <w:rFonts w:eastAsia="Georgia" w:cs="Georgia" w:ascii="Georgia" w:hAnsi="Georgia"/>
        </w:rPr>
        <w:t xml:space="preserve"> ) seront donnés algébriquement.</w:t>
      </w:r>
      <w:r>
        <w:rPr/>
        <w:br w:type="textWrapping"/>
      </w:r>
      <m:oMath>
        <m:r>
          <m:rPr>
            <m:sty m:val="p"/>
          </m:rPr>
          <m:t>7</m:t>
        </m:r>
        <m:r>
          <m:rPr>
            <m:sty m:val="p"/>
          </m:rPr>
          <m:t>/</m:t>
        </m:r>
      </m:oMath>
      <w:r>
        <w:rPr>
          <w:rFonts w:eastAsia="Georgia" w:cs="Georgia" w:ascii="Georgia" w:hAnsi="Georgia"/>
        </w:rPr>
        <w:t xml:space="preserve"> Identifiez l'état du fluide dans chaque zone délimitée par la courbe de saturation. Pour un fluide qui se comporte comme un gaz parfait quelle est l'allure des isothermes dans un diagramme ( </w:t>
      </w:r>
      <m:oMath>
        <m:r>
          <m:rPr>
            <m:sty m:val="p"/>
          </m:rPr>
          <m:t>log</m:t>
        </m:r>
        <m:r>
          <m:rPr>
            <m:sty m:val="p"/>
          </m:rPr>
          <m:t>⁡</m:t>
        </m:r>
        <m:r>
          <m:rPr>
            <m:sty m:val="i"/>
          </m:rPr>
          <m:t>P</m:t>
        </m:r>
        <m:r>
          <m:rPr>
            <m:sty m:val="p"/>
          </m:rPr>
          <m:t>,</m:t>
        </m:r>
        <m:r>
          <m:rPr>
            <m:sty m:val="i"/>
          </m:rPr>
          <m:t>h</m:t>
        </m:r>
      </m:oMath>
      <w:r>
        <w:rPr>
          <w:rFonts w:eastAsia="Georgia" w:cs="Georgia" w:ascii="Georgia" w:hAnsi="Georgia"/>
        </w:rPr>
        <w:t xml:space="preserve"> )? Établissez-en l'équation. Qu'en est-il pour le fluide utilisé ? Y a-t-il un domaine dans lequel il peut se comporter comme un gaz parfait ? Pourquoi ?</w:t>
      </w:r>
    </w:p>
    <w:p>
      <w:pPr>
        <w:spacing w:after="220" w:lineRule="auto"/>
      </w:pPr>
      <w:r>
        <w:rPr/>
        <w:t xml:space="preserve">8/ Dans quel sens est parcouru le cycle ? Justifiez.</w:t>
      </w:r>
      <w:r>
        <w:rPr/>
        <w:br w:type="textWrapping"/>
      </w:r>
      <w:r>
        <w:rPr>
          <w:rFonts w:eastAsia="Georgia" w:cs="Georgia" w:ascii="Georgia" w:hAnsi="Georgia"/>
        </w:rPr>
        <w:t xml:space="preserve">9/ À partir de l'état 1 du fluide - voir annexe 1 Document à joindre à la copie, compléter le schéma en portant le numéro de chaque état du fluide dans la case prévue. Donner, pour chaque transformation </w:t>
      </w:r>
      <m:oMath>
        <m:r>
          <m:rPr>
            <m:sty m:val="p"/>
          </m:rPr>
          <m:t>[</m:t>
        </m:r>
        <m:r>
          <m:rPr>
            <m:sty m:val="p"/>
          </m:rPr>
          <m:t>N</m:t>
        </m:r>
        <m:r>
          <m:rPr>
            <m:sty m:val="p"/>
          </m:rPr>
          <m:t>,</m:t>
        </m:r>
        <m:r>
          <m:rPr>
            <m:sty m:val="p"/>
          </m:rPr>
          <m:t>N</m:t>
        </m:r>
        <m:r>
          <m:rPr>
            <m:sty m:val="p"/>
          </m:rPr>
          <m:t>+</m:t>
        </m:r>
        <m:r>
          <m:rPr>
            <m:sty m:val="p"/>
          </m:rPr>
          <m:t>1</m:t>
        </m:r>
        <m:r>
          <m:rPr>
            <m:sty m:val="p"/>
          </m:rPr>
          <m:t>]</m:t>
        </m:r>
      </m:oMath>
      <w:r>
        <w:rPr>
          <w:rFonts w:eastAsia="Georgia" w:cs="Georgia" w:ascii="Georgia" w:hAnsi="Georgia"/>
        </w:rPr>
        <w:t xml:space="preserve">, la nature de la transformation et le nom de l'organe traversé par le fluide. On prendra soin évidemment de respecter le sens réel parcouru par le fluide dans la numérotation: le fluide passe d'un état </w:t>
      </w:r>
      <m:oMath>
        <m:r>
          <m:rPr>
            <m:sty m:val="i"/>
          </m:rPr>
          <m:t>N</m:t>
        </m:r>
      </m:oMath>
      <w:r>
        <w:rPr>
          <w:rFonts w:eastAsia="Georgia" w:cs="Georgia" w:ascii="Georgia" w:hAnsi="Georgia"/>
        </w:rPr>
        <w:t xml:space="preserve"> à un état </w:t>
      </w:r>
      <m:oMath>
        <m:r>
          <m:rPr>
            <m:sty m:val="i"/>
          </m:rPr>
          <m:t>N</m:t>
        </m:r>
        <m:r>
          <m:rPr>
            <m:sty m:val="p"/>
          </m:rPr>
          <m:t>+</m:t>
        </m:r>
        <m:r>
          <m:rPr>
            <m:sty m:val="p"/>
          </m:rPr>
          <m:t>1</m:t>
        </m:r>
      </m:oMath>
      <w:r>
        <w:rPr/>
        <w:t xml:space="preserve"> et non l'inverse.</w:t>
      </w:r>
    </w:p>
    <w:p>
      <w:pPr>
        <w:spacing w:after="220" w:lineRule="auto"/>
      </w:pPr>
      <w:r>
        <w:rPr>
          <w:rFonts w:eastAsia="Georgia" w:cs="Georgia" w:ascii="Georgia" w:hAnsi="Georgia"/>
        </w:rPr>
        <w:t xml:space="preserve">10/ D'après le diagramme quelle est la nature de la transformation du fluide dans le compresseur? Quelles sont les caractéristiques de la transformation et du compresseur qui peuvent le justifier ?</w:t>
      </w:r>
    </w:p>
    <w:p>
      <w:pPr>
        <w:spacing w:after="220" w:lineRule="auto"/>
      </w:pPr>
      <w:r>
        <w:rPr>
          <w:rFonts w:eastAsia="Georgia" w:cs="Georgia" w:ascii="Georgia" w:hAnsi="Georgia"/>
        </w:rPr>
        <w:t xml:space="preserve">11/ Quelle est la valeur du travail massique échangé dans le compresseur ? Quel est son signe ? Quel doit être son signe?</w:t>
      </w:r>
      <w:r>
        <w:rPr/>
        <w:br w:type="textWrapping"/>
      </w:r>
      <m:oMath>
        <m:r>
          <m:rPr>
            <m:sty m:val="p"/>
          </m:rPr>
          <m:t>12</m:t>
        </m:r>
        <m:r>
          <m:rPr>
            <m:sty m:val="p"/>
          </m:rPr>
          <m:t>/</m:t>
        </m:r>
      </m:oMath>
      <w:r>
        <w:rPr>
          <w:rFonts w:eastAsia="Georgia" w:cs="Georgia" w:ascii="Georgia" w:hAnsi="Georgia"/>
        </w:rPr>
        <w:t xml:space="preserve"> Quelle est la valeur du transfert thermique massique avec l'air de l'habitacle ? Quel est son signe ? Quel doit être son signe?</w:t>
      </w:r>
    </w:p>
    <w:p>
      <w:pPr>
        <w:spacing w:after="220" w:lineRule="auto"/>
      </w:pPr>
      <w:r>
        <w:rPr>
          <w:rFonts w:eastAsia="Georgia" w:cs="Georgia" w:ascii="Georgia" w:hAnsi="Georgia"/>
        </w:rPr>
        <w:t xml:space="preserve">13/ Définir l'efficacité ou coefficient de performance de l'installation. Calculer sa valeur numérique. Ce résultat vous paraît-il raisonnable ?</w:t>
      </w:r>
    </w:p>
    <w:p>
      <w:pPr>
        <w:spacing w:after="220" w:lineRule="auto"/>
      </w:pPr>
      <w:r>
        <w:rPr>
          <w:rFonts w:eastAsia="Georgia" w:cs="Georgia" w:ascii="Georgia" w:hAnsi="Georgia"/>
        </w:rPr>
        <w:t xml:space="preserve">14/ Donner l'expression de l'efficacité d'une machine thermique idéale fonctionnant entre les températures extrêmes du cycle. La comparer à la valeur précédente.</w:t>
      </w:r>
      <w:r>
        <w:rPr/>
        <w:br w:type="textWrapping"/>
      </w:r>
      <m:oMath>
        <m:r>
          <m:rPr>
            <m:sty m:val="p"/>
          </m:rPr>
          <m:t>15</m:t>
        </m:r>
        <m:r>
          <m:rPr>
            <m:sty m:val="p"/>
          </m:rPr>
          <m:t>/</m:t>
        </m:r>
      </m:oMath>
      <w:r>
        <w:rPr>
          <w:rFonts w:eastAsia="Georgia" w:cs="Georgia" w:ascii="Georgia" w:hAnsi="Georgia"/>
        </w:rPr>
        <w:t xml:space="preserve"> Comment est modifié le cycle si la transformation dans le compresseur n'est plus idéalisée?</w:t>
      </w:r>
      <w:r>
        <w:rPr/>
        <w:br w:type="textWrapping"/>
      </w:r>
      <w:r>
        <w:rPr>
          <w:rFonts w:eastAsia="Georgia" w:cs="Georgia" w:ascii="Georgia" w:hAnsi="Georgia"/>
        </w:rPr>
        <w:t xml:space="preserve">16/ Quelle surconsommation relative entraine le fonctionnement de la climatisation lorsque le moteur tourne à </w:t>
      </w:r>
      <m:oMath>
        <m:r>
          <m:rPr>
            <m:sty m:val="p"/>
          </m:rPr>
          <m:t>2400</m:t>
        </m:r>
        <m:r>
          <m:rPr>
            <m:sty m:val="p"/>
          </m:rPr>
          <m:t>tr</m:t>
        </m:r>
        <m:r>
          <m:rPr>
            <m:sty m:val="p"/>
          </m:rPr>
          <m:t>/</m:t>
        </m:r>
        <m:r>
          <m:rPr>
            <m:sty m:val="p"/>
          </m:rPr>
          <m:t>mn</m:t>
        </m:r>
      </m:oMath>
      <w:r>
        <w:rPr/>
        <w:t xml:space="preserve"> ?</w:t>
      </w:r>
    </w:p>
    <w:p>
      <w:pPr>
        <w:spacing w:line="271" w:before="330" w:lineRule="auto"/>
      </w:pPr>
      <w:r>
        <w:rPr>
          <w:b/>
          <w:sz w:val="42"/>
        </w:rPr>
        <w:t xml:space="preserve">ETUDE DU BLOC DETENDEUR -SONDE (ANNEXE 2)</w:t>
      </w:r>
    </w:p>
    <w:p>
      <w:pPr>
        <w:spacing w:after="220" w:lineRule="auto"/>
      </w:pPr>
      <w:r>
        <w:rPr>
          <w:rFonts w:eastAsia="Georgia" w:cs="Georgia" w:ascii="Georgia" w:hAnsi="Georgia"/>
        </w:rPr>
        <w:t xml:space="preserve">La fonction du bloc détendeur-sonde (annexe 2 ) est de réduire la pression et de contrôler le débit du fluide frigorigène, lequel est fonction de la plus ou moins grande section de passage au niveau de l'orifice de détente. Cette section est rendue variable par le déplacement de l'ensemble diaphragme-tigebille ( 6 ). La sonde thermostatique ( 3 ) renferme un fluide dont la pression augmente avec la température de commande qui détermine celle de l'habitacle. Plus le ressort ( 7 ) est comprimé, moins</w:t>
      </w:r>
      <w:r>
        <w:rPr/>
        <w:br w:type="textWrapping"/>
      </w:r>
      <w:r>
        <w:rPr>
          <w:rFonts w:eastAsia="Georgia" w:cs="Georgia" w:ascii="Georgia" w:hAnsi="Georgia"/>
        </w:rPr>
        <w:t xml:space="preserve">la bille bouche l'orifice de passage du liquide haute pression ( 1 ) qui ressort à l'état de fluide basse pression ( 2 ) avant de pénétrer dans l'évaporateur. En sortie d'évaporateur, le fluide pénètre dans le haut du détendeur ( 4 ) et se trouve au contact de la sonde thermostatique qui commande ( 6 ). Puis il ressort en (5) afin de pénétrer dans le compresseur.</w:t>
      </w:r>
      <w:r>
        <w:rPr/>
        <w:br w:type="textWrapping"/>
      </w:r>
      <m:oMath>
        <m:r>
          <m:rPr>
            <m:sty m:val="p"/>
          </m:rPr>
          <m:t>17</m:t>
        </m:r>
        <m:r>
          <m:rPr>
            <m:sty m:val="p"/>
          </m:rPr>
          <m:t>/</m:t>
        </m:r>
      </m:oMath>
      <w:r>
        <w:rPr>
          <w:rFonts w:eastAsia="Georgia" w:cs="Georgia" w:ascii="Georgia" w:hAnsi="Georgia"/>
        </w:rPr>
        <w:t xml:space="preserve"> Si la température du fluide en sortie (5) est inférieure à la valeur de consigne qui assure le bon fonctionnement de la climatisation, le détendeur doit-il augmenter ou diminuer le débit ? augmenter ou diminuer la basse pression ? On prendra bien soin d'argumenter la réponse.</w:t>
      </w:r>
    </w:p>
    <w:p>
      <w:pPr>
        <w:spacing w:after="220" w:lineRule="auto"/>
      </w:pPr>
      <w:r>
        <w:rPr>
          <w:rFonts w:eastAsia="Georgia" w:cs="Georgia" w:ascii="Georgia" w:hAnsi="Georgia"/>
        </w:rPr>
        <w:t xml:space="preserve">18/ La valeur de consigne de la température de la sonde thermostatique est imposée par le réglage de la climatisation: lorsque l'automobiliste demande une température de l'habitacle plus fraiche, la température de la sonde diminue. Le diaphragme (6) sépare deux compartiments au contact, l'un du fluide de la sonde thermostatique, l'autre du fluide venant de l'évaporateur. Expliquez alors comment peut fonctionner la régulation de débit et de pression.</w:t>
      </w:r>
    </w:p>
    <w:p>
      <w:pPr>
        <w:spacing w:after="220" w:lineRule="auto"/>
      </w:pPr>
      <w:r>
        <w:rPr>
          <w:rFonts w:eastAsia="Georgia" w:cs="Georgia" w:ascii="Georgia" w:hAnsi="Georgia"/>
        </w:rPr>
        <w:t xml:space="preserve">19/ Comment est modifiée l'efficacité du cycle lorsque l'on abaisse la température de l'habitacle? Pourquoi?</w:t>
      </w:r>
    </w:p>
    <w:p>
      <w:pPr>
        <w:spacing w:line="271" w:before="330" w:lineRule="auto"/>
      </w:pPr>
      <w:r>
        <w:rPr>
          <w:b/>
          <w:sz w:val="42"/>
        </w:rPr>
        <w:t xml:space="preserve">ETUDE DU DIAGRAMME ENTROPIQUE ( </w:t>
      </w:r>
      <m:oMath>
        <m:r>
          <m:rPr>
            <m:sty m:val="p"/>
          </m:rPr>
          <w:rPr>
            <w:sz w:val="42"/>
          </w:rPr>
          <m:t>T</m:t>
        </m:r>
        <m:r>
          <m:rPr>
            <m:sty m:val="p"/>
          </m:rPr>
          <w:rPr>
            <w:sz w:val="42"/>
          </w:rPr>
          <m:t>,</m:t>
        </m:r>
        <m:r>
          <m:rPr>
            <m:sty m:val="p"/>
          </m:rPr>
          <w:rPr>
            <w:sz w:val="42"/>
          </w:rPr>
          <m:t>s</m:t>
        </m:r>
      </m:oMath>
      <w:r>
        <w:rPr>
          <w:b/>
          <w:sz w:val="42"/>
        </w:rPr>
        <w:t xml:space="preserve"> )</w:t>
      </w:r>
    </w:p>
    <w:p>
      <w:pPr>
        <w:spacing w:after="220" w:lineRule="auto"/>
      </w:pPr>
      <w:r>
        <w:rPr>
          <w:rFonts w:eastAsia="Georgia" w:cs="Georgia" w:ascii="Georgia" w:hAnsi="Georgia"/>
        </w:rPr>
        <w:t xml:space="preserve">20 / Calculer la variation d'entropie de l'unité de masse du fluide lors du passage dans le détendeur en exploitant les données thermodynamiques suivantes:</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Fluide R134a</w:t>
            </w:r>
          </w:p>
        </w:tc>
        <w:tc>
          <w:tcPr>
            <w:tcBorders>
              <w:top w:val="single" w:sz="8" w:space="0" w:color="000000"/>
              <w:bottom w:val="single" w:sz="8" w:space="0" w:color="000000"/>
              <w:right w:val="single" w:sz="8" w:space="0" w:color="000000"/>
            </w:tcBorders>
            <w:vAlign w:val="center"/>
          </w:tcPr>
          <w:p>
            <w:pPr>
              <w:spacing w:lineRule="auto"/>
              <w:jc w:val="center"/>
            </w:pPr>
            <w:r>
              <w:rPr/>
              <w:t xml:space="preserve">Entropie liquide saturant</w:t>
            </w:r>
          </w:p>
          <w:p>
            <w:pPr>
              <w:spacing w:lineRule="auto"/>
              <w:jc w:val="center"/>
            </w:pPr>
            <m:oMathPara>
              <m:oMathParaPr>
                <m:jc m:val="center"/>
              </m:oMathParaPr>
              <m:oMath>
                <m:d>
                  <m:dPr>
                    <m:begChr m:val="("/>
                    <m:endChr m:val=")"/>
                    <m:ctrlPr>
                      <w:rPr>
                        <w:rFonts w:ascii="Cambria Math" w:hAnsi="Cambria Math"/>
                      </w:rPr>
                    </m:ctrlPr>
                  </m:dPr>
                  <m:e>
                    <m:r>
                      <m:rPr>
                        <m:sty m:val="p"/>
                      </m:rPr>
                      <m:t>K</m:t>
                    </m:r>
                    <m:sSup>
                      <m:sSupPr/>
                      <m:e>
                        <m:r>
                          <m:rPr>
                            <m:sty m:val="p"/>
                          </m:rPr>
                          <m:t>J</m:t>
                        </m:r>
                        <m:r>
                          <m:rPr>
                            <m:sty m:val="p"/>
                          </m:rPr>
                          <m:t>.</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e>
                </m:d>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Entropie vapeur saturante</w:t>
            </w:r>
          </w:p>
          <w:p>
            <w:pPr>
              <w:spacing w:lineRule="auto"/>
              <w:jc w:val="center"/>
            </w:pPr>
            <m:oMathPara>
              <m:oMathParaPr>
                <m:jc m:val="center"/>
              </m:oMathParaPr>
              <m:oMath>
                <m:d>
                  <m:dPr>
                    <m:begChr m:val="("/>
                    <m:endChr m:val=")"/>
                    <m:ctrlPr>
                      <w:rPr>
                        <w:rFonts w:ascii="Cambria Math" w:hAnsi="Cambria Math"/>
                      </w:rPr>
                    </m:ctrlPr>
                  </m:dPr>
                  <m:e>
                    <m:r>
                      <m:rPr>
                        <m:sty m:val="p"/>
                      </m:rPr>
                      <m:t>K</m:t>
                    </m:r>
                    <m:sSup>
                      <m:sSupPr/>
                      <m:e>
                        <m:r>
                          <m:rPr>
                            <m:sty m:val="p"/>
                          </m:rPr>
                          <m:t>J</m:t>
                        </m:r>
                        <m:r>
                          <m:rPr>
                            <m:sty m:val="p"/>
                          </m:rPr>
                          <m:t>.</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0</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center"/>
            </w:pPr>
            <w:r>
              <w:rPr/>
              <w:t xml:space="preserve">1,003</w:t>
            </w:r>
          </w:p>
        </w:tc>
        <w:tc>
          <w:tcPr>
            <w:tcBorders>
              <w:bottom w:val="single" w:sz="8" w:space="0" w:color="000000"/>
              <w:right w:val="single" w:sz="8" w:space="0" w:color="000000"/>
            </w:tcBorders>
            <w:vAlign w:val="center"/>
          </w:tcPr>
          <w:p>
            <w:pPr>
              <w:spacing w:lineRule="auto"/>
              <w:jc w:val="center"/>
            </w:pPr>
            <w:r>
              <w:rPr/>
              <w:t xml:space="preserve">1,717</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p"/>
                      </m:rPr>
                      <m:t>50</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center"/>
            </w:pPr>
            <w:r>
              <w:rPr/>
              <w:t xml:space="preserve">1,245</w:t>
            </w:r>
          </w:p>
        </w:tc>
        <w:tc>
          <w:tcPr>
            <w:tcBorders>
              <w:bottom w:val="single" w:sz="8" w:space="0" w:color="000000"/>
              <w:right w:val="single" w:sz="8" w:space="0" w:color="000000"/>
            </w:tcBorders>
            <w:vAlign w:val="center"/>
          </w:tcPr>
          <w:p>
            <w:pPr>
              <w:spacing w:lineRule="auto"/>
              <w:jc w:val="center"/>
            </w:pPr>
            <w:r>
              <w:rPr/>
              <w:t xml:space="preserve">1,707</w:t>
            </w:r>
          </w:p>
        </w:tc>
      </w:tr>
    </w:tbl>
    <w:p>
      <w:pPr>
        <w:spacing w:lineRule="auto"/>
      </w:pPr>
    </w:p>
    <w:p>
      <w:pPr>
        <w:spacing w:after="220" w:lineRule="auto"/>
      </w:pPr>
      <w:r>
        <w:rPr>
          <w:rFonts w:eastAsia="Georgia" w:cs="Georgia" w:ascii="Georgia" w:hAnsi="Georgia"/>
        </w:rPr>
        <w:t xml:space="preserve">21 / Connaissant l'entropie massique de la vapeur saturante et celle du liquide saturant, comment placer le point figuratif de l'état du fluide en sortie du détendeur?</w:t>
      </w:r>
    </w:p>
    <w:p>
      <w:pPr>
        <w:spacing w:after="220" w:lineRule="auto"/>
      </w:pPr>
      <w:r>
        <w:rPr>
          <w:rFonts w:eastAsia="Georgia" w:cs="Georgia" w:ascii="Georgia" w:hAnsi="Georgia"/>
        </w:rPr>
        <w:t xml:space="preserve">22/ Déterminer l'expression </w:t>
      </w:r>
      <m:oMath>
        <m:r>
          <m:rPr>
            <m:sty m:val="p"/>
          </m:rPr>
          <m:t>T</m:t>
        </m:r>
        <m:r>
          <m:rPr>
            <m:sty m:val="p"/>
          </m:rPr>
          <m:t>(</m:t>
        </m:r>
        <m:r>
          <m:rPr>
            <m:sty m:val="p"/>
          </m:rPr>
          <m:t>s</m:t>
        </m:r>
        <m:r>
          <m:rPr>
            <m:sty m:val="p"/>
          </m:rPr>
          <m:t>)</m:t>
        </m:r>
      </m:oMath>
      <w:r>
        <w:rPr/>
        <w:t xml:space="preserve"> d'une isobare pour un gaz parfait.</w:t>
      </w:r>
      <w:r>
        <w:rPr/>
        <w:br w:type="textWrapping"/>
      </w:r>
      <w:r>
        <w:rPr/>
        <w:t xml:space="preserve">23/ Tracer l'allure du cycle parcouru par le fluide dans un diagramme ( </w:t>
      </w:r>
      <m:oMath>
        <m:r>
          <m:rPr>
            <m:sty m:val="i"/>
          </m:rPr>
          <m:t>T</m:t>
        </m:r>
        <m:r>
          <m:rPr>
            <m:sty m:val="p"/>
          </m:rPr>
          <m:t>,</m:t>
        </m:r>
        <m:r>
          <m:rPr>
            <m:sty m:val="i"/>
          </m:rPr>
          <m:t>s</m:t>
        </m:r>
      </m:oMath>
      <w:r>
        <w:rPr>
          <w:rFonts w:eastAsia="Georgia" w:cs="Georgia" w:ascii="Georgia" w:hAnsi="Georgia"/>
        </w:rPr>
        <w:t xml:space="preserve"> ) en prenant soin de porter clairement les valeurs des abscisses et ordonnées des différents points figuratifs, en les affectant du numéro établi à la question 9 .</w:t>
      </w:r>
    </w:p>
    <w:p>
      <w:pPr>
        <w:spacing w:after="220" w:lineRule="auto"/>
      </w:pPr>
      <w:r>
        <w:rPr>
          <w:rFonts w:eastAsia="Georgia" w:cs="Georgia" w:ascii="Georgia" w:hAnsi="Georgia"/>
        </w:rPr>
        <w:t xml:space="preserve">24/ Donner en le justifiant le sens de parcours du cycle. Quel est alors le signe du travail total échangé par le fluide lors de ce cycle ? Est-ce cohérent avec la nature du cycle ?</w:t>
      </w:r>
    </w:p>
    <w:p>
      <w:pPr>
        <w:spacing w:line="271" w:before="330" w:lineRule="auto"/>
      </w:pPr>
      <w:r>
        <w:rPr>
          <w:b/>
          <w:sz w:val="42"/>
        </w:rPr>
        <w:t xml:space="preserve">ETUDE DU CIRCUIT D'AIR PULSE</w:t>
      </w:r>
    </w:p>
    <w:p>
      <w:pPr>
        <w:spacing w:after="220" w:lineRule="auto"/>
      </w:pPr>
      <w:r>
        <w:rPr>
          <w:rFonts w:eastAsia="Georgia" w:cs="Georgia" w:ascii="Georgia" w:hAnsi="Georgia"/>
        </w:rPr>
        <w:t xml:space="preserve">Pour assurer la régulation de température de l'habitacle, de l'air chaud de l'extérieur est aspiré puis refroidi par le système de climatisation et enfin chassé vers l'intérieur de la voiture.</w:t>
      </w:r>
    </w:p>
    <w:p>
      <w:pPr>
        <w:spacing w:after="220" w:lineRule="auto"/>
      </w:pPr>
      <w:r>
        <w:rPr>
          <w:rFonts w:eastAsia="Georgia" w:cs="Georgia" w:ascii="Georgia" w:hAnsi="Georgia"/>
        </w:rPr>
        <w:t xml:space="preserve">25/ Quelle est la puissance transférée à l'air de l'habitacle par le système de climatisation ? Où s'opère ce transfert?</w:t>
      </w:r>
      <w:r>
        <w:rPr/>
        <w:br w:type="textWrapping"/>
      </w:r>
      <m:oMath>
        <m:r>
          <m:rPr>
            <m:sty m:val="p"/>
          </m:rPr>
          <m:t>26</m:t>
        </m:r>
        <m:r>
          <m:rPr>
            <m:sty m:val="p"/>
          </m:rPr>
          <m:t>/</m:t>
        </m:r>
      </m:oMath>
      <w:r>
        <w:rPr>
          <w:rFonts w:eastAsia="Georgia" w:cs="Georgia" w:ascii="Georgia" w:hAnsi="Georgia"/>
        </w:rPr>
        <w:t xml:space="preserve"> Déduire des données en début d'énoncé le débit massique d'air pulsé nécessaire au bon fonctionnement de l'installation.</w:t>
      </w:r>
      <w:r>
        <w:rPr/>
        <w:br w:type="textWrapping"/>
      </w:r>
      <m:oMath>
        <m:r>
          <m:rPr>
            <m:sty m:val="p"/>
          </m:rPr>
          <m:t>27</m:t>
        </m:r>
        <m:r>
          <m:rPr>
            <m:sty m:val="p"/>
          </m:rPr>
          <m:t>/</m:t>
        </m:r>
      </m:oMath>
      <w:r>
        <w:rPr>
          <w:rFonts w:eastAsia="Georgia" w:cs="Georgia" w:ascii="Georgia" w:hAnsi="Georgia"/>
        </w:rPr>
        <w:t xml:space="preserve"> La puissance du ventilateur nécessaire pour créer cette circulation d'air est de 600 W . Quelle surconsommation relative cela représente-t-il lorsque le moteur tourne à </w:t>
      </w:r>
      <m:oMath>
        <m:r>
          <m:rPr>
            <m:sty m:val="p"/>
          </m:rPr>
          <m:t>2400</m:t>
        </m:r>
        <m:r>
          <m:rPr>
            <m:sty m:val="i"/>
          </m:rPr>
          <m:t>t</m:t>
        </m:r>
        <m:r>
          <m:rPr>
            <m:sty m:val="i"/>
          </m:rPr>
          <m:t>r</m:t>
        </m:r>
        <m:r>
          <m:rPr>
            <m:sty m:val="p"/>
          </m:rPr>
          <m:t>/</m:t>
        </m:r>
        <m:r>
          <m:rPr>
            <m:sty m:val="p"/>
          </m:rPr>
          <m:t>mn</m:t>
        </m:r>
      </m:oMath>
      <w:r>
        <w:rPr/>
        <w:t xml:space="preserve"> ?</w:t>
      </w:r>
      <w:r>
        <w:rPr/>
        <w:br w:type="textWrapping"/>
      </w:r>
    </w:p>
    <w:p>
      <w:pPr>
        <w:spacing w:lineRule="auto"/>
        <w:jc w:val="center"/>
      </w:pPr>
      <w:r>
        <w:rPr/>
        <w:drawing>
          <wp:inline distB="0" distL="0" distR="0" distT="0">
            <wp:extent cx="5486400" cy="6751320"/>
            <wp:effectExtent b="0" l="0" r="0" t="0"/>
            <wp:docPr id="2" name="image-80a81044c6b5ce8e73e460afef9ec74170ee80fc.jpg"/>
            <a:graphic>
              <a:graphicData uri="http://schemas.openxmlformats.org/drawingml/2006/picture">
                <pic:pic>
                  <pic:nvPicPr>
                    <pic:cNvPr id="2" name="image-80a81044c6b5ce8e73e460afef9ec74170ee80fc.jpg" descr=""/>
                    <pic:cNvPicPr/>
                  </pic:nvPicPr>
                  <pic:blipFill>
                    <a:blip r:embed="rId6" cstate="print"/>
                    <a:srcRect b="0" l="0" r="0" t="0"/>
                    <a:stretch>
                      <a:fillRect/>
                    </a:stretch>
                  </pic:blipFill>
                  <pic:spPr>
                    <a:xfrm>
                      <a:off x="0" y="0"/>
                      <a:ext cx="5486400" cy="6751320"/>
                    </a:xfrm>
                    <a:prstGeom prst="rect"/>
                  </pic:spPr>
                </pic:pic>
              </a:graphicData>
            </a:graphic>
          </wp:inline>
        </w:drawing>
      </w:r>
    </w:p>
    <w:p>
      <w:pPr>
        <w:spacing w:line="271" w:before="330" w:lineRule="auto"/>
      </w:pPr>
      <w:r>
        <w:rPr>
          <w:rFonts w:eastAsia="Georgia" w:cs="Georgia" w:ascii="Georgia" w:hAnsi="Georgia"/>
          <w:b/>
          <w:sz w:val="42"/>
        </w:rPr>
        <w:t xml:space="preserve">SCHÉMA DU BLOC DÉTENDEUR - SONDE</w:t>
      </w:r>
    </w:p>
    <w:p>
      <w:pPr>
        <w:spacing w:lineRule="auto"/>
        <w:jc w:val="center"/>
      </w:pPr>
      <w:r>
        <w:rPr/>
        <w:drawing>
          <wp:inline distB="0" distL="0" distR="0" distT="0">
            <wp:extent cx="5486400" cy="5955015"/>
            <wp:effectExtent b="0" l="0" r="0" t="0"/>
            <wp:docPr id="3" name="image-a35aba22e972bf13575017c7f49cee2942f22606.jpg"/>
            <a:graphic>
              <a:graphicData uri="http://schemas.openxmlformats.org/drawingml/2006/picture">
                <pic:pic>
                  <pic:nvPicPr>
                    <pic:cNvPr id="3" name="image-a35aba22e972bf13575017c7f49cee2942f22606.jpg" descr=""/>
                    <pic:cNvPicPr/>
                  </pic:nvPicPr>
                  <pic:blipFill>
                    <a:blip r:embed="rId7" cstate="print"/>
                    <a:srcRect b="0" l="0" r="0" t="0"/>
                    <a:stretch>
                      <a:fillRect/>
                    </a:stretch>
                  </pic:blipFill>
                  <pic:spPr>
                    <a:xfrm>
                      <a:off x="0" y="0"/>
                      <a:ext cx="5486400" cy="5955015"/>
                    </a:xfrm>
                    <a:prstGeom prst="rect"/>
                  </pic:spPr>
                </pic:pic>
              </a:graphicData>
            </a:graphic>
          </wp:inline>
        </w:drawing>
      </w:r>
    </w:p>
    <w:p>
      <w:pPr>
        <w:spacing w:line="271" w:before="330" w:lineRule="auto"/>
      </w:pPr>
      <w:r>
        <w:rPr>
          <w:rFonts w:eastAsia="Georgia" w:cs="Georgia" w:ascii="Georgia" w:hAnsi="Georgia"/>
          <w:b/>
          <w:sz w:val="42"/>
        </w:rPr>
        <w:t xml:space="preserve">ANNEXE 1 - DOCUMENT À JOINDRE À LA COPIE</w:t>
      </w:r>
    </w:p>
    <w:p>
      <w:pPr>
        <w:spacing w:lineRule="auto"/>
        <w:jc w:val="center"/>
      </w:pPr>
      <w:r>
        <w:rPr/>
        <w:drawing>
          <wp:inline distB="0" distL="0" distR="0" distT="0">
            <wp:extent cx="5486400" cy="3691485"/>
            <wp:effectExtent b="0" l="0" r="0" t="0"/>
            <wp:docPr id="4" name="image-2184320c62c78430c369386775f82f4c97503e17.jpg"/>
            <a:graphic>
              <a:graphicData uri="http://schemas.openxmlformats.org/drawingml/2006/picture">
                <pic:pic>
                  <pic:nvPicPr>
                    <pic:cNvPr id="4" name="image-2184320c62c78430c369386775f82f4c97503e17.jpg" descr=""/>
                    <pic:cNvPicPr/>
                  </pic:nvPicPr>
                  <pic:blipFill>
                    <a:blip r:embed="rId8" cstate="print"/>
                    <a:srcRect b="0" l="0" r="0" t="0"/>
                    <a:stretch>
                      <a:fillRect/>
                    </a:stretch>
                  </pic:blipFill>
                  <pic:spPr>
                    <a:xfrm>
                      <a:off x="0" y="0"/>
                      <a:ext cx="5486400" cy="3691485"/>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4e15dad22a994b2c020056a6dbbb58239cae415.jpg" TargetMode="Internal"/><Relationship Id="rId6" Type="http://schemas.openxmlformats.org/officeDocument/2006/relationships/image" Target="media/image-80a81044c6b5ce8e73e460afef9ec74170ee80fc.jpg" TargetMode="Internal"/><Relationship Id="rId7" Type="http://schemas.openxmlformats.org/officeDocument/2006/relationships/image" Target="media/image-a35aba22e972bf13575017c7f49cee2942f22606.jpg" TargetMode="Internal"/><Relationship Id="rId8" Type="http://schemas.openxmlformats.org/officeDocument/2006/relationships/image" Target="media/image-2184320c62c78430c369386775f82f4c97503e17.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2025-09-04T21:40:58.342Z</dcterms:created>
  <dcterms:modified xsi:type="dcterms:W3CDTF">2025-09-04T21:40:58.342Z</dcterms:modified>
</cp:coreProperties>
</file>