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de Physique C - Chimie</w:t>
      </w:r>
    </w:p>
    <w:p>
      <w:pPr>
        <w:spacing w:after="220" w:lineRule="auto"/>
      </w:pPr>
      <w:r>
        <w:rPr>
          <w:rFonts w:eastAsia="Georgia" w:cs="Georgia" w:ascii="Georgia" w:hAnsi="Georgia"/>
        </w:rPr>
        <w:t xml:space="preserve">Durée 2 h</w:t>
      </w:r>
    </w:p>
    <w:p>
      <w:pPr>
        <w:spacing w:after="220" w:lineRule="auto"/>
      </w:pPr>
      <w:r>
        <w:rPr>
          <w:rFonts w:eastAsia="Georgia" w:cs="Georgia" w:ascii="Georgia" w:hAnsi="Georgia"/>
        </w:rPr>
        <w:t xml:space="preserve">Si ,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r>
        <w:rPr/>
        <w:br w:type="textWrapping"/>
      </w:r>
      <m:oMathPara>
        <m:oMathParaPr>
          <m:jc m:val="left"/>
        </m:oMathParaPr>
        <m:oMath>
          <m:bar>
            <m:barPr/>
            <m:e>
              <m:r>
                <m:rPr>
                  <m:nor/>
                </m:rPr>
                <m:t> Attention : à rendre avec la copie deux feuilles annexes. </m:t>
              </m:r>
            </m:e>
          </m:bar>
        </m:oMath>
      </m:oMathPara>
    </w:p>
    <w:p>
      <w:pPr>
        <w:spacing w:line="271" w:before="330" w:lineRule="auto"/>
      </w:pPr>
      <w:r>
        <w:rPr>
          <w:b/>
          <w:sz w:val="42"/>
        </w:rPr>
        <w:t xml:space="preserve">Le monoxyde de carbone : ami ou ennemi?</w:t>
      </w:r>
    </w:p>
    <w:p>
      <w:pPr>
        <w:spacing w:after="220" w:lineRule="auto"/>
      </w:pPr>
      <w:r>
        <w:rPr>
          <w:rFonts w:eastAsia="Georgia" w:cs="Georgia" w:ascii="Georgia" w:hAnsi="Georgia"/>
        </w:rPr>
        <w:t xml:space="preserve">Ce sujet a pour but d'étudier quelques généralités sur la molécule de monoxyde de carbone (partie 1), l'utilité qu'elle présente pour des applications industrielles, plus particulièrement la pyrométallurgie du zinc (partie 2), tout en réfléchissant à la nocivité qu'elle peut représenter pour l'organisme humain (partie 3).</w:t>
      </w:r>
    </w:p>
    <w:p>
      <w:pPr>
        <w:spacing w:after="220" w:lineRule="auto"/>
      </w:pPr>
      <w:r>
        <w:rPr>
          <w:rFonts w:eastAsia="Georgia" w:cs="Georgia" w:ascii="Georgia" w:hAnsi="Georgia"/>
        </w:rPr>
        <w:t xml:space="preserve">Ces trois parties sont largement indépendantes et peuvent être traitées dans l'ordre de son choix.</w:t>
      </w:r>
      <w:r>
        <w:rPr/>
        <w:br w:type="textWrapping"/>
      </w:r>
      <w:r>
        <w:rPr>
          <w:rFonts w:eastAsia="Georgia" w:cs="Georgia" w:ascii="Georgia" w:hAnsi="Georgia"/>
        </w:rPr>
        <w:t xml:space="preserve">L'ensemble des données nécessaires se situent à la fin de l'énoncé.</w:t>
      </w:r>
      <w:r>
        <w:rPr/>
        <w:br w:type="textWrapping"/>
      </w:r>
      <w:r>
        <w:rPr>
          <w:rFonts w:eastAsia="Georgia" w:cs="Georgia" w:ascii="Georgia" w:hAnsi="Georgia"/>
        </w:rPr>
        <w:t xml:space="preserve">Tous les résultats numériques finaux de ce sujet seront donnés avec 3 chiffres significatifs.</w:t>
      </w:r>
      <w:r>
        <w:rPr/>
        <w:br w:type="textWrapping"/>
      </w:r>
      <w:r>
        <w:rPr>
          <w:rFonts w:eastAsia="Georgia" w:cs="Georgia" w:ascii="Georgia" w:hAnsi="Georgia"/>
        </w:rPr>
        <w:t xml:space="preserve">La calculatrice n'est pas autorisée.</w:t>
      </w:r>
    </w:p>
    <w:p>
      <w:pPr>
        <w:spacing w:line="271" w:before="330" w:lineRule="auto"/>
      </w:pPr>
      <w:r>
        <w:rPr>
          <w:rFonts w:eastAsia="Georgia" w:cs="Georgia" w:ascii="Georgia" w:hAnsi="Georgia"/>
          <w:b/>
          <w:sz w:val="42"/>
        </w:rPr>
        <w:t xml:space="preserve">Partie 1: Généralités sur la molécule de monoxyde de carbone</w:t>
      </w:r>
    </w:p>
    <w:p>
      <w:pPr>
        <w:spacing w:after="220" w:lineRule="auto"/>
      </w:pPr>
      <w:r>
        <w:rPr>
          <w:rFonts w:eastAsia="Georgia" w:cs="Georgia" w:ascii="Georgia" w:hAnsi="Georgia"/>
        </w:rPr>
        <w:t xml:space="preserve">La molécule de monoxyde de carbone est constituée d'un atome d'oxygène ( </w:t>
      </w:r>
      <m:oMath>
        <m:r>
          <m:rPr>
            <m:sty m:val="i"/>
          </m:rPr>
          <m:t>Z</m:t>
        </m:r>
        <m:r>
          <m:rPr>
            <m:sty m:val="p"/>
          </m:rPr>
          <m:t>=</m:t>
        </m:r>
        <m:r>
          <m:rPr>
            <m:sty m:val="p"/>
          </m:rPr>
          <m:t>8</m:t>
        </m:r>
      </m:oMath>
      <w:r>
        <w:rPr/>
        <w:t xml:space="preserve"> ) et d'un atome de carbone ( </w:t>
      </w:r>
      <m:oMath>
        <m:r>
          <m:rPr>
            <m:sty m:val="i"/>
          </m:rPr>
          <m:t>Z</m:t>
        </m:r>
        <m:r>
          <m:rPr>
            <m:sty m:val="p"/>
          </m:rPr>
          <m:t>=</m:t>
        </m:r>
        <m:r>
          <m:rPr>
            <m:sty m:val="p"/>
          </m:rPr>
          <m:t>6</m:t>
        </m:r>
      </m:oMath>
      <w:r>
        <w:rPr/>
        <w:t xml:space="preserve"> ).</w:t>
      </w:r>
    </w:p>
    <w:p>
      <w:pPr>
        <w:numPr>
          <w:ilvl w:val="0"/>
          <w:numId w:val="1"/>
        </w:numPr>
        <w:spacing w:lineRule="auto"/>
      </w:pPr>
      <w:r>
        <w:rPr>
          <w:rFonts w:eastAsia="Georgia" w:cs="Georgia" w:ascii="Georgia" w:hAnsi="Georgia"/>
        </w:rPr>
        <w:t xml:space="preserve">Donner la configuration électronique de l'atome d'oxygène puis de l'atome de carbone dans leur état fondamental.</w:t>
      </w:r>
    </w:p>
    <w:p>
      <w:pPr>
        <w:numPr>
          <w:ilvl w:val="0"/>
          <w:numId w:val="1"/>
        </w:numPr>
        <w:spacing w:lineRule="auto"/>
      </w:pPr>
      <w:r>
        <w:rPr>
          <w:rFonts w:eastAsia="Georgia" w:cs="Georgia" w:ascii="Georgia" w:hAnsi="Georgia"/>
        </w:rPr>
        <w:t xml:space="preserve">Indiquer le nom des règles utiles à l'établissement de ces configurations électroniques.</w:t>
      </w:r>
    </w:p>
    <w:p>
      <w:pPr>
        <w:numPr>
          <w:ilvl w:val="0"/>
          <w:numId w:val="1"/>
        </w:numPr>
        <w:spacing w:lineRule="auto"/>
      </w:pPr>
      <w:r>
        <w:rPr>
          <w:rFonts w:eastAsia="Georgia" w:cs="Georgia" w:ascii="Georgia" w:hAnsi="Georgia"/>
        </w:rPr>
        <w:t xml:space="preserve">Expliquer pourquoi le carbone est tétravalent.</w:t>
      </w:r>
    </w:p>
    <w:p>
      <w:pPr>
        <w:numPr>
          <w:ilvl w:val="0"/>
          <w:numId w:val="1"/>
        </w:numPr>
        <w:spacing w:lineRule="auto"/>
      </w:pPr>
      <w:r>
        <w:rPr>
          <w:rFonts w:eastAsia="Georgia" w:cs="Georgia" w:ascii="Georgia" w:hAnsi="Georgia"/>
        </w:rPr>
        <w:t xml:space="preserve">Quels sont les deux isotopes du carbone les plus répandus sur Terre ? Ecrire leur représentation symbolique.</w:t>
      </w:r>
    </w:p>
    <w:p>
      <w:pPr>
        <w:numPr>
          <w:ilvl w:val="0"/>
          <w:numId w:val="1"/>
        </w:numPr>
        <w:spacing w:lineRule="auto"/>
      </w:pPr>
      <w:r>
        <w:rPr>
          <w:rFonts w:eastAsia="Georgia" w:cs="Georgia" w:ascii="Georgia" w:hAnsi="Georgia"/>
        </w:rPr>
        <w:t xml:space="preserve">Où se situe l'oxygène dans la classification périodique (ligne, colonne) ?</w:t>
      </w:r>
    </w:p>
    <w:p>
      <w:pPr>
        <w:numPr>
          <w:ilvl w:val="0"/>
          <w:numId w:val="1"/>
        </w:numPr>
        <w:spacing w:lineRule="auto"/>
      </w:pPr>
      <w:r>
        <w:rPr>
          <w:rFonts w:eastAsia="Georgia" w:cs="Georgia" w:ascii="Georgia" w:hAnsi="Georgia"/>
        </w:rPr>
        <w:t xml:space="preserve">Citer un élément situé dans la même colonne que l'oxygène.</w:t>
      </w:r>
    </w:p>
    <w:p>
      <w:pPr>
        <w:numPr>
          <w:ilvl w:val="0"/>
          <w:numId w:val="1"/>
        </w:numPr>
        <w:spacing w:lineRule="auto"/>
      </w:pPr>
      <w:r>
        <w:rPr>
          <w:rFonts w:eastAsia="Georgia" w:cs="Georgia" w:ascii="Georgia" w:hAnsi="Georgia"/>
        </w:rPr>
        <w:t xml:space="preserve">Proposer une représentation possible de Lewis pour la molécule de monoxyde de carbone.</w:t>
      </w:r>
    </w:p>
    <w:p>
      <w:pPr>
        <w:numPr>
          <w:ilvl w:val="0"/>
          <w:numId w:val="1"/>
        </w:numPr>
        <w:spacing w:lineRule="auto"/>
      </w:pPr>
      <w:r>
        <w:rPr>
          <w:rFonts w:eastAsia="Georgia" w:cs="Georgia" w:ascii="Georgia" w:hAnsi="Georgia"/>
        </w:rPr>
        <w:t xml:space="preserve">Comment évolue l'électronégativité d'un élément au sein d'une ligne du tableau périodique ?</w:t>
      </w:r>
    </w:p>
    <w:p>
      <w:pPr>
        <w:numPr>
          <w:ilvl w:val="0"/>
          <w:numId w:val="1"/>
        </w:numPr>
        <w:spacing w:lineRule="auto"/>
      </w:pPr>
      <w:r>
        <w:rPr>
          <w:rFonts w:eastAsia="Georgia" w:cs="Georgia" w:ascii="Georgia" w:hAnsi="Georgia"/>
        </w:rPr>
        <w:t xml:space="preserve">La formule de Lewis proposée par vos soins est-elle alors en accord avec les électronégativités du carbone et de l'oxygène ?</w:t>
      </w:r>
    </w:p>
    <w:p>
      <w:pPr>
        <w:spacing w:line="271" w:before="330" w:lineRule="auto"/>
      </w:pPr>
      <w:r>
        <w:rPr>
          <w:rFonts w:eastAsia="Georgia" w:cs="Georgia" w:ascii="Georgia" w:hAnsi="Georgia"/>
          <w:b/>
          <w:sz w:val="42"/>
        </w:rPr>
        <w:t xml:space="preserve">Partie 2: Pyrométallurgie du zinc</w:t>
      </w:r>
    </w:p>
    <w:p>
      <w:pPr>
        <w:spacing w:line="271" w:before="330" w:lineRule="auto"/>
      </w:pPr>
      <w:r>
        <w:rPr>
          <w:b/>
          <w:sz w:val="42"/>
        </w:rPr>
        <w:t xml:space="preserve">Structures cristallines</w:t>
      </w:r>
    </w:p>
    <w:p>
      <w:pPr>
        <w:spacing w:after="220" w:lineRule="auto"/>
      </w:pPr>
      <w:r>
        <w:rPr/>
        <w:t xml:space="preserve">L'oxyde de zinc peut exister dans la nature sous forme de poudre ou de cristal massif.</w:t>
      </w:r>
      <w:r>
        <w:rPr/>
        <w:br w:type="textWrapping"/>
      </w:r>
      <w:r>
        <w:rPr>
          <w:rFonts w:eastAsia="Georgia" w:cs="Georgia" w:ascii="Georgia" w:hAnsi="Georgia"/>
        </w:rPr>
        <w:t xml:space="preserve">Du point de vue cristallographique, ZnO peut exister selon les conditions d'élaboration, sous trois types de structures différentes. La première est la structure Würtzite, stable dans les conditions usuelles ; la seconde est la structure cubique, qui est instable et qui apparaît sous des pressions élevées ; la troisième est la structure Rocksalt qui apparaît sous des pressions très élevées.</w:t>
      </w:r>
    </w:p>
    <w:p>
      <w:pPr>
        <w:spacing w:after="220" w:lineRule="auto"/>
      </w:pPr>
      <w:r>
        <w:rPr>
          <w:rFonts w:eastAsia="Georgia" w:cs="Georgia" w:ascii="Georgia" w:hAnsi="Georgia"/>
        </w:rPr>
        <w:t xml:space="preserve">Ces différentes structures sont formées des ions </w:t>
      </w:r>
      <m:oMath>
        <m:r>
          <m:rPr>
            <m:sty m:val="i"/>
          </m:rPr>
          <m:t>Z</m:t>
        </m:r>
        <m:sSup>
          <m:sSupPr/>
          <m:e>
            <m:r>
              <m:rPr>
                <m:sty m:val="i"/>
              </m:rPr>
              <m:t>n</m:t>
            </m:r>
          </m:e>
          <m:sup>
            <m:r>
              <m:rPr>
                <m:sty m:val="p"/>
              </m:rPr>
              <m:t>2</m:t>
            </m:r>
            <m:r>
              <m:rPr>
                <m:sty m:val="p"/>
              </m:rPr>
              <m:t>+</m:t>
            </m:r>
          </m:sup>
        </m:sSup>
      </m:oMath>
      <w:r>
        <w:rPr/>
        <w:t xml:space="preserve"> et </w:t>
      </w:r>
      <m:oMath>
        <m:sSup>
          <m:sSupPr/>
          <m:e>
            <m:r>
              <m:rPr>
                <m:sty m:val="i"/>
              </m:rPr>
              <m:t>O</m:t>
            </m:r>
          </m:e>
          <m:sup>
            <m:r>
              <m:rPr>
                <m:sty m:val="p"/>
              </m:rPr>
              <m:t>2</m:t>
            </m:r>
            <m:r>
              <m:rPr>
                <m:sty m:val="p"/>
              </m:rPr>
              <m:t>−</m:t>
            </m:r>
          </m:sup>
        </m:sSup>
      </m:oMath>
      <w:r>
        <w:rPr/>
        <w:t xml:space="preserve">, de rayons respectifs </w:t>
      </w:r>
      <m:oMath>
        <m:sSub>
          <m:sSubPr/>
          <m:e>
            <m:r>
              <m:rPr>
                <m:sty m:val="i"/>
              </m:rPr>
              <m:t>r</m:t>
            </m:r>
          </m:e>
          <m:sub>
            <m:r>
              <m:rPr>
                <m:sty m:val="i"/>
              </m:rPr>
              <m:t>Z</m:t>
            </m:r>
            <m:sSup>
              <m:sSupPr/>
              <m:e>
                <m:r>
                  <m:rPr>
                    <m:sty m:val="i"/>
                  </m:rPr>
                  <m:t>n</m:t>
                </m:r>
              </m:e>
              <m:sup>
                <m:r>
                  <m:rPr>
                    <m:sty m:val="p"/>
                  </m:rPr>
                  <m:t>2</m:t>
                </m:r>
                <m:r>
                  <m:rPr>
                    <m:sty m:val="p"/>
                  </m:rPr>
                  <m:t>+</m:t>
                </m:r>
              </m:sup>
            </m:sSup>
          </m:sub>
        </m:sSub>
      </m:oMath>
      <w:r>
        <w:rPr/>
        <w:t xml:space="preserve"> et </w:t>
      </w:r>
      <m:oMath>
        <m:sSub>
          <m:sSubPr/>
          <m:e>
            <m:r>
              <m:rPr>
                <m:sty m:val="i"/>
              </m:rPr>
              <m:t>r</m:t>
            </m:r>
          </m:e>
          <m:sub>
            <m:sSup>
              <m:sSupPr/>
              <m:e>
                <m:r>
                  <m:rPr>
                    <m:sty m:val="i"/>
                  </m:rPr>
                  <m:t>O</m:t>
                </m:r>
              </m:e>
              <m:sup>
                <m:r>
                  <m:rPr>
                    <m:sty m:val="p"/>
                  </m:rPr>
                  <m:t>2</m:t>
                </m:r>
                <m:r>
                  <m:rPr>
                    <m:sty m:val="p"/>
                  </m:rPr>
                  <m:t>−</m:t>
                </m:r>
              </m:sup>
            </m:sSup>
          </m:sub>
        </m:sSub>
      </m:oMath>
      <w:r>
        <w:rPr>
          <w:rFonts w:eastAsia="Georgia" w:cs="Georgia" w:ascii="Georgia" w:hAnsi="Georgia"/>
        </w:rPr>
        <w:t xml:space="preserve">. Pour la structure cubique, les atomes d'oxygène sont aux sommets du cube et un atome de zinc occupe le centre du cube.</w:t>
      </w:r>
      <w:r>
        <w:rPr/>
        <w:br w:type="textWrapping"/>
      </w:r>
      <w:r>
        <w:rPr>
          <w:rFonts w:eastAsia="Georgia" w:cs="Georgia" w:ascii="Georgia" w:hAnsi="Georgia"/>
        </w:rPr>
        <w:t xml:space="preserve">Pour la structure Rocksalt, les atomes d'oxygène occupent les sommets du cube et le milieu de chaque face ; les atomes de zinc occupent tous les sites octaédriques de cette structure.</w:t>
      </w:r>
      <w:r>
        <w:rPr/>
        <w:br w:type="textWrapping"/>
      </w:r>
      <w:r>
        <w:rPr>
          <w:rFonts w:eastAsia="Georgia" w:cs="Georgia" w:ascii="Georgia" w:hAnsi="Georgia"/>
        </w:rPr>
        <w:t xml:space="preserve">10. Dessiner sur l'annexe fournie (et à rendre avec la copie) les deux structures cubique et Rocksalt décrites précédemment.</w:t>
      </w:r>
      <w:r>
        <w:rPr/>
        <w:br w:type="textWrapping"/>
      </w:r>
      <w:r>
        <w:rPr>
          <w:rFonts w:eastAsia="Georgia" w:cs="Georgia" w:ascii="Georgia" w:hAnsi="Georgia"/>
        </w:rPr>
        <w:t xml:space="preserve">11. Pour chaque maille, calculer le nombre d'atomes en propre de zinc et d'oxygène (c'est à dire le nombre d'atomes de zinc et d'oxygène réellement contenu dans la maille).</w:t>
      </w:r>
      <w:r>
        <w:rPr/>
        <w:br w:type="textWrapping"/>
      </w:r>
      <w:r>
        <w:rPr>
          <w:rFonts w:eastAsia="Georgia" w:cs="Georgia" w:ascii="Georgia" w:hAnsi="Georgia"/>
        </w:rPr>
        <w:t xml:space="preserve">12. L'électroneutralité à l'intérieur de ces mailles conventionnelles est-elle respectée?</w:t>
      </w:r>
      <w:r>
        <w:rPr/>
        <w:br w:type="textWrapping"/>
      </w:r>
      <w:r>
        <w:rPr>
          <w:rFonts w:eastAsia="Georgia" w:cs="Georgia" w:ascii="Georgia" w:hAnsi="Georgia"/>
        </w:rPr>
        <w:t xml:space="preserve">13. Pour la structure cubique, préciser suivant quel axe s'effectue le contact entre atomes (arête, diagonale d'une face, diagonale du cube ?). En déduire l'expression littérale puis la valeur du paramètre de maille </w:t>
      </w:r>
      <m:oMath>
        <m:r>
          <m:rPr>
            <m:sty m:val="i"/>
          </m:rPr>
          <m:t>a</m:t>
        </m:r>
      </m:oMath>
      <w:r>
        <w:rPr/>
        <w:t xml:space="preserve"> correspondant.</w:t>
      </w:r>
      <w:r>
        <w:rPr/>
        <w:br w:type="textWrapping"/>
      </w:r>
      <w:r>
        <w:rPr>
          <w:rFonts w:eastAsia="Georgia" w:cs="Georgia" w:ascii="Georgia" w:hAnsi="Georgia"/>
        </w:rPr>
        <w:t xml:space="preserve">14. Mêmes questions pour la structure Rocksalt.</w:t>
      </w:r>
      <w:r>
        <w:rPr/>
        <w:br w:type="textWrapping"/>
      </w:r>
      <w:r>
        <w:rPr>
          <w:rFonts w:eastAsia="Georgia" w:cs="Georgia" w:ascii="Georgia" w:hAnsi="Georgia"/>
        </w:rPr>
        <w:t xml:space="preserve">15. Exprimer puis calculer la masse volumique de ces édifices.</w:t>
      </w:r>
    </w:p>
    <w:p>
      <w:pPr>
        <w:spacing w:after="220" w:lineRule="auto"/>
      </w:pPr>
      <w:r>
        <w:rPr>
          <w:rFonts w:eastAsia="Georgia" w:cs="Georgia" w:ascii="Georgia" w:hAnsi="Georgia"/>
        </w:rPr>
        <w:t xml:space="preserve">La structure Würtzite (la plus stable) est caractérisée par des atomes d'oxygène disposés suivant une structure hexagonale compact et des atomes de zinc occupant la moitié des sites tétraédriques de ce réseau hexagonal compact. Pour les questions 16 à 18 , on considèrera la maille conventionnelle de cette structure (surlignée en noir sur le schéma).</w:t>
      </w:r>
      <w:r>
        <w:rPr/>
        <w:br w:type="textWrapping"/>
      </w:r>
      <w:r>
        <w:rPr>
          <w:rFonts w:eastAsia="Georgia" w:cs="Georgia" w:ascii="Georgia" w:hAnsi="Georgia"/>
        </w:rPr>
        <w:t xml:space="preserve">16. Calculer le nombre d'atomes en propre d'oxygène.</w:t>
      </w:r>
      <w:r>
        <w:rPr/>
        <w:br w:type="textWrapping"/>
      </w:r>
      <w:r>
        <w:rPr>
          <w:rFonts w:eastAsia="Georgia" w:cs="Georgia" w:ascii="Georgia" w:hAnsi="Georgia"/>
        </w:rPr>
        <w:t xml:space="preserve">17. L'électroneutralité est-elle respectée sachant que l'on a dans cette maille conventionnelle 2 atomes de zinc en propre?</w:t>
      </w:r>
      <w:r>
        <w:rPr/>
        <w:br w:type="textWrapping"/>
      </w:r>
      <w:r>
        <w:rPr/>
        <w:t xml:space="preserve">18. Exprimer puis calculer la masse volumique de ce cristal.</w:t>
      </w:r>
    </w:p>
    <w:p>
      <w:pPr>
        <w:spacing w:lineRule="auto"/>
        <w:jc w:val="center"/>
      </w:pPr>
      <w:r>
        <w:rPr/>
        <w:drawing>
          <wp:inline distB="0" distL="0" distR="0" distT="0">
            <wp:extent cx="5486400" cy="4491318"/>
            <wp:effectExtent b="0" l="0" r="0" t="0"/>
            <wp:docPr id="1" name="image-d0383bac0d755f2ccabb4b34a45b526f8052fecd.jpg"/>
            <a:graphic>
              <a:graphicData uri="http://schemas.openxmlformats.org/drawingml/2006/picture">
                <pic:pic>
                  <pic:nvPicPr>
                    <pic:cNvPr id="1" name="image-d0383bac0d755f2ccabb4b34a45b526f8052fecd.jpg" descr=""/>
                    <pic:cNvPicPr/>
                  </pic:nvPicPr>
                  <pic:blipFill>
                    <a:blip r:embed="rId5" cstate="print"/>
                    <a:srcRect b="0" l="0" r="0" t="0"/>
                    <a:stretch>
                      <a:fillRect/>
                    </a:stretch>
                  </pic:blipFill>
                  <pic:spPr>
                    <a:xfrm>
                      <a:off x="0" y="0"/>
                      <a:ext cx="5486400" cy="4491318"/>
                    </a:xfrm>
                    <a:prstGeom prst="rect"/>
                  </pic:spPr>
                </pic:pic>
              </a:graphicData>
            </a:graphic>
          </wp:inline>
        </w:drawing>
      </w:r>
    </w:p>
    <w:p>
      <w:pPr>
        <w:spacing w:lineRule="auto"/>
      </w:pPr>
      <w:r>
        <w:rPr>
          <w:rFonts w:eastAsia="Georgia" w:cs="Georgia" w:ascii="Georgia" w:hAnsi="Georgia"/>
        </w:rPr>
        <w:t xml:space="preserve">Structure Würtzite</w:t>
      </w:r>
    </w:p>
    <w:p>
      <w:pPr>
        <w:spacing w:line="271" w:before="330" w:lineRule="auto"/>
      </w:pPr>
      <w:r>
        <w:rPr>
          <w:b/>
          <w:sz w:val="42"/>
        </w:rPr>
        <w:t xml:space="preserve">Diagramme d'Ellingham</w:t>
      </w:r>
    </w:p>
    <w:p>
      <w:pPr>
        <w:spacing w:after="220" w:lineRule="auto"/>
      </w:pPr>
      <w:r>
        <w:rPr>
          <w:rFonts w:eastAsia="Georgia" w:cs="Georgia" w:ascii="Georgia" w:hAnsi="Georgia"/>
        </w:rPr>
        <w:t xml:space="preserve">Pour réaliser industriellement la pyrométallurgie du zinc, il est nécessaire de dresser le diagramme d'Ellingham des espèces intervenants dans les processus réactionnels.</w:t>
      </w:r>
      <w:r>
        <w:rPr/>
        <w:br w:type="textWrapping"/>
      </w:r>
      <w:r>
        <w:rPr/>
        <w:t xml:space="preserve">19. Expliquer en quoi consiste l'approximation d'Ellingham.</w:t>
      </w:r>
      <w:r>
        <w:rPr/>
        <w:br w:type="textWrapping"/>
      </w:r>
      <w:r>
        <w:rPr/>
        <w:t xml:space="preserve">20. Sur le document annexe, les courbes (en traits pleins sur le graphique) relatives aux couples </w:t>
      </w:r>
      <m:oMath>
        <m:r>
          <m:rPr>
            <m:sty m:val="i"/>
          </m:rPr>
          <m:t>C</m:t>
        </m:r>
        <m:r>
          <m:rPr>
            <m:sty m:val="i"/>
          </m:rPr>
          <m:t>O</m:t>
        </m:r>
        <m:r>
          <m:rPr>
            <m:sty m:val="p"/>
          </m:rPr>
          <m:t>(</m:t>
        </m:r>
        <m:r>
          <m:rPr>
            <m:sty m:val="i"/>
          </m:rPr>
          <m:t>g</m:t>
        </m:r>
        <m:r>
          <m:rPr>
            <m:sty m:val="p"/>
          </m:rPr>
          <m:t>)</m:t>
        </m:r>
        <m:r>
          <m:rPr>
            <m:sty m:val="p"/>
          </m:rPr>
          <m:t>/</m:t>
        </m:r>
        <m:r>
          <m:rPr>
            <m:sty m:val="i"/>
          </m:rPr>
          <m:t>C</m:t>
        </m:r>
        <m:r>
          <m:rPr>
            <m:sty m:val="p"/>
          </m:rPr>
          <m:t>(</m:t>
        </m:r>
        <m:r>
          <m:rPr>
            <m:sty m:val="i"/>
          </m:rPr>
          <m:t>s</m:t>
        </m:r>
        <m:r>
          <m:rPr>
            <m:sty m:val="p"/>
          </m:rPr>
          <m:t>)</m:t>
        </m:r>
      </m:oMath>
      <w:r>
        <w:rPr/>
        <w:t xml:space="preserve"> (couple </w:t>
      </w:r>
      <m:oMath>
        <m:sSup>
          <m:sSupPr/>
          <m:e>
            <m:r>
              <m:rPr>
                <m:sty m:val="p"/>
              </m:rPr>
              <m:t>n</m:t>
            </m:r>
          </m:e>
          <m:sup>
            <m:r>
              <m:rPr>
                <m:sty m:val="p"/>
              </m:rPr>
              <m:t>∘</m:t>
            </m:r>
          </m:sup>
        </m:sSup>
        <m:r>
          <m:rPr>
            <m:sty m:val="p"/>
          </m:rPr>
          <m:t>1</m:t>
        </m:r>
      </m:oMath>
      <w:r>
        <w:rPr/>
        <w:t xml:space="preserve"> ); </w:t>
      </w:r>
      <m:oMath>
        <m:sSub>
          <m:sSubPr/>
          <m:e>
            <m:r>
              <m:rPr>
                <m:sty m:val="p"/>
              </m:rPr>
              <m:t>CO</m:t>
            </m:r>
          </m:e>
          <m:sub>
            <m:r>
              <m:rPr>
                <m:sty m:val="p"/>
              </m:rPr>
              <m:t>2</m:t>
            </m:r>
          </m:sub>
        </m:sSub>
        <m:r>
          <m:rPr>
            <m:sty m:val="p"/>
          </m:rPr>
          <m:t>(</m:t>
        </m:r>
        <m:r>
          <m:rPr>
            <m:sty m:val="i"/>
          </m:rPr>
          <m:t>g</m:t>
        </m:r>
        <m:r>
          <m:rPr>
            <m:sty m:val="p"/>
          </m:rPr>
          <m:t>)</m:t>
        </m:r>
        <m:r>
          <m:rPr>
            <m:sty m:val="p"/>
          </m:rPr>
          <m:t>/</m:t>
        </m:r>
        <m:r>
          <m:rPr>
            <m:sty m:val="i"/>
          </m:rPr>
          <m:t>C</m:t>
        </m:r>
        <m:r>
          <m:rPr>
            <m:sty m:val="p"/>
          </m:rPr>
          <m:t>(</m:t>
        </m:r>
        <m:r>
          <m:rPr>
            <m:sty m:val="i"/>
          </m:rPr>
          <m:t>s</m:t>
        </m:r>
        <m:r>
          <m:rPr>
            <m:sty m:val="p"/>
          </m:rPr>
          <m:t>)</m:t>
        </m:r>
      </m:oMath>
      <w:r>
        <w:rPr/>
        <w:t xml:space="preserve"> (couple </w:t>
      </w:r>
      <m:oMath>
        <m:sSup>
          <m:sSupPr/>
          <m:e>
            <m:r>
              <m:rPr>
                <m:sty m:val="p"/>
              </m:rPr>
              <m:t>n</m:t>
            </m:r>
          </m:e>
          <m:sup>
            <m:r>
              <m:rPr>
                <m:sty m:val="p"/>
              </m:rPr>
              <m:t>∘</m:t>
            </m:r>
          </m:sup>
        </m:sSup>
        <m:r>
          <m:rPr>
            <m:sty m:val="p"/>
          </m:rPr>
          <m:t>2</m:t>
        </m:r>
      </m:oMath>
      <w:r>
        <w:rPr/>
        <w:t xml:space="preserve"> ) et </w:t>
      </w:r>
      <m:oMath>
        <m:sSub>
          <m:sSubPr/>
          <m:e>
            <m:r>
              <m:rPr>
                <m:sty m:val="p"/>
              </m:rPr>
              <m:t>CO</m:t>
            </m:r>
          </m:e>
          <m:sub>
            <m:r>
              <m:rPr>
                <m:sty m:val="p"/>
              </m:rPr>
              <m:t>2</m:t>
            </m:r>
          </m:sub>
        </m:sSub>
        <m:r>
          <m:rPr>
            <m:sty m:val="p"/>
          </m:rPr>
          <m:t>(</m:t>
        </m:r>
        <m:r>
          <m:rPr>
            <m:sty m:val="i"/>
          </m:rPr>
          <m:t>g</m:t>
        </m:r>
        <m:r>
          <m:rPr>
            <m:sty m:val="p"/>
          </m:rPr>
          <m:t>)</m:t>
        </m:r>
        <m:r>
          <m:rPr>
            <m:sty m:val="p"/>
          </m:rPr>
          <m:t>/</m:t>
        </m:r>
        <m:r>
          <m:rPr>
            <m:sty m:val="p"/>
          </m:rPr>
          <m:t>CO</m:t>
        </m:r>
        <m:r>
          <m:rPr>
            <m:sty m:val="p"/>
          </m:rPr>
          <m:t>(</m:t>
        </m:r>
        <m:r>
          <m:rPr>
            <m:sty m:val="i"/>
          </m:rPr>
          <m:t>g</m:t>
        </m:r>
        <m:r>
          <m:rPr>
            <m:sty m:val="p"/>
          </m:rPr>
          <m:t>)</m:t>
        </m:r>
      </m:oMath>
      <w:r>
        <w:rPr/>
        <w:t xml:space="preserve"> (couple </w:t>
      </w:r>
      <m:oMath>
        <m:sSup>
          <m:sSupPr/>
          <m:e>
            <m:r>
              <m:rPr>
                <m:sty m:val="p"/>
              </m:rPr>
              <m:t>n</m:t>
            </m:r>
          </m:e>
          <m:sup>
            <m:r>
              <m:rPr>
                <m:sty m:val="p"/>
              </m:rPr>
              <m:t>∘</m:t>
            </m:r>
          </m:sup>
        </m:sSup>
        <m:r>
          <m:rPr>
            <m:sty m:val="p"/>
          </m:rPr>
          <m:t>3</m:t>
        </m:r>
      </m:oMath>
      <w:r>
        <w:rPr>
          <w:rFonts w:eastAsia="Georgia" w:cs="Georgia" w:ascii="Georgia" w:hAnsi="Georgia"/>
        </w:rPr>
        <w:t xml:space="preserve"> ) ont été représentées; le diagramme d'Ellingham des oxydes a été rapporté à une mole de dioxygène. Ecrire les réactions correspondant à chaque couple.</w:t>
      </w:r>
      <w:r>
        <w:rPr/>
        <w:br w:type="textWrapping"/>
      </w:r>
      <w:r>
        <w:rPr>
          <w:rFonts w:eastAsia="Georgia" w:cs="Georgia" w:ascii="Georgia" w:hAnsi="Georgia"/>
        </w:rPr>
        <w:t xml:space="preserve">21. En expliquant votre méthode, attribuer chaque courbe aux couples présents.</w:t>
      </w:r>
      <w:r>
        <w:rPr/>
        <w:br w:type="textWrapping"/>
      </w:r>
      <w:r>
        <w:rPr/>
        <w:t xml:space="preserve">22. Etablir le diagramme d'Ellingham final du carbone et de ses oxydes en ne gardant que les segments de droite ayant physiquement un sens.</w:t>
      </w:r>
      <w:r>
        <w:rPr/>
        <w:br w:type="textWrapping"/>
      </w:r>
      <w:r>
        <w:rPr>
          <w:rFonts w:eastAsia="Georgia" w:cs="Georgia" w:ascii="Georgia" w:hAnsi="Georgia"/>
        </w:rPr>
        <w:t xml:space="preserve">23. Attribuer une espèce à chaque domaine.</w:t>
      </w:r>
      <w:r>
        <w:rPr/>
        <w:br w:type="textWrapping"/>
      </w:r>
      <w:r>
        <w:rPr>
          <w:rFonts w:eastAsia="Georgia" w:cs="Georgia" w:ascii="Georgia" w:hAnsi="Georgia"/>
        </w:rPr>
        <w:t xml:space="preserve">24. En exploitant le graphique de l'annexe, identifier parmi les propositions suivantes, les valeurs, exprimées en </w:t>
      </w:r>
      <m:oMath>
        <m:r>
          <m:rPr>
            <m:sty m:val="p"/>
          </m:rPr>
          <m:t>kJ</m:t>
        </m:r>
        <m:sSup>
          <m:sSupPr/>
          <m:e>
            <m:r>
              <m:rPr>
                <m:sty m:val="p"/>
              </m:rPr>
              <m:t>mol</m:t>
            </m:r>
          </m:e>
          <m:sup>
            <m:r>
              <m:rPr>
                <m:sty m:val="p"/>
              </m:rPr>
              <m:t>−</m:t>
            </m:r>
            <m:r>
              <m:rPr>
                <m:sty m:val="p"/>
              </m:rPr>
              <m:t>1</m:t>
            </m:r>
          </m:sup>
        </m:sSup>
      </m:oMath>
      <w:r>
        <w:rPr/>
        <w:t xml:space="preserve">, des </w:t>
      </w:r>
      <m:oMath>
        <m:sSub>
          <m:sSubPr/>
          <m:e>
            <m:r>
              <m:rPr>
                <m:sty m:val="p"/>
              </m:rPr>
              <m:t>Δ</m:t>
            </m:r>
          </m:e>
          <m:sub>
            <m:r>
              <m:rPr>
                <m:sty m:val="i"/>
              </m:rPr>
              <m:t>r</m:t>
            </m:r>
          </m:sub>
        </m:sSub>
        <m:sSup>
          <m:sSupPr/>
          <m:e>
            <m:r>
              <m:rPr>
                <m:sty m:val="i"/>
              </m:rPr>
              <m:t>G</m:t>
            </m:r>
          </m:e>
          <m:sup>
            <m:r>
              <m:rPr>
                <m:sty m:val="p"/>
              </m:rPr>
              <m:t>0</m:t>
            </m:r>
          </m:sup>
        </m:sSup>
      </m:oMath>
      <w:r>
        <w:rPr>
          <w:rFonts w:eastAsia="Georgia" w:cs="Georgia" w:ascii="Georgia" w:hAnsi="Georgia"/>
        </w:rPr>
        <w:t xml:space="preserve"> à </w:t>
      </w:r>
      <m:oMath>
        <m:sSup>
          <m:sSupPr/>
          <m:e>
            <m:r>
              <m:rPr>
                <m:sty m:val="p"/>
              </m:rPr>
              <m:t>1000</m:t>
            </m:r>
          </m:e>
          <m:sup>
            <m:r>
              <m:rPr>
                <m:sty m:val="p"/>
              </m:rPr>
              <m:t>∘</m:t>
            </m:r>
          </m:sup>
        </m:sSup>
        <m:r>
          <m:rPr>
            <m:sty m:val="p"/>
          </m:rPr>
          <m:t>C</m:t>
        </m:r>
      </m:oMath>
      <w:r>
        <w:rPr/>
        <w:t xml:space="preserve"> pour les couples </w:t>
      </w:r>
      <m:oMath>
        <m:r>
          <m:rPr>
            <m:sty m:val="i"/>
          </m:rPr>
          <m:t>C</m:t>
        </m:r>
        <m:r>
          <m:rPr>
            <m:sty m:val="i"/>
          </m:rPr>
          <m:t>O</m:t>
        </m:r>
        <m:r>
          <m:rPr>
            <m:sty m:val="p"/>
          </m:rPr>
          <m:t>(</m:t>
        </m:r>
        <m:r>
          <m:rPr>
            <m:sty m:val="i"/>
          </m:rPr>
          <m:t>g</m:t>
        </m:r>
        <m:r>
          <m:rPr>
            <m:sty m:val="p"/>
          </m:rPr>
          <m:t>)</m:t>
        </m:r>
        <m:r>
          <m:rPr>
            <m:sty m:val="p"/>
          </m:rPr>
          <m:t>/</m:t>
        </m:r>
        <m:r>
          <m:rPr>
            <m:sty m:val="i"/>
          </m:rPr>
          <m:t>C</m:t>
        </m:r>
        <m:r>
          <m:rPr>
            <m:sty m:val="p"/>
          </m:rPr>
          <m:t>(</m:t>
        </m:r>
        <m:r>
          <m:rPr>
            <m:sty m:val="i"/>
          </m:rPr>
          <m:t>s</m:t>
        </m:r>
        <m:r>
          <m:rPr>
            <m:sty m:val="p"/>
          </m:rPr>
          <m:t>)</m:t>
        </m:r>
      </m:oMath>
      <w:r>
        <w:rPr/>
        <w:t xml:space="preserve"> et </w:t>
      </w:r>
      <m:oMath>
        <m:sSub>
          <m:sSubPr/>
          <m:e>
            <m:r>
              <m:rPr>
                <m:sty m:val="p"/>
              </m:rPr>
              <m:t>CO</m:t>
            </m:r>
          </m:e>
          <m:sub>
            <m:r>
              <m:rPr>
                <m:sty m:val="p"/>
              </m:rPr>
              <m:t>2</m:t>
            </m:r>
          </m:sub>
        </m:sSub>
        <m:r>
          <m:rPr>
            <m:sty m:val="p"/>
          </m:rPr>
          <m:t>(</m:t>
        </m:r>
        <m:r>
          <m:rPr>
            <m:nor/>
          </m:rPr>
          <m:t xml:space="preserve"> </m:t>
        </m:r>
        <m:r>
          <m:rPr>
            <m:sty m:val="p"/>
          </m:rPr>
          <m:t>g</m:t>
        </m:r>
        <m:r>
          <m:rPr>
            <m:sty m:val="p"/>
          </m:rPr>
          <m:t>)</m:t>
        </m:r>
        <m:r>
          <m:rPr>
            <m:sty m:val="p"/>
          </m:rPr>
          <m:t>/</m:t>
        </m:r>
        <m:r>
          <m:rPr>
            <m:sty m:val="p"/>
          </m:rPr>
          <m:t>CO</m:t>
        </m:r>
        <m:r>
          <m:rPr>
            <m:sty m:val="p"/>
          </m:rPr>
          <m:t>(</m:t>
        </m:r>
        <m:r>
          <m:rPr>
            <m:sty m:val="p"/>
          </m:rPr>
          <m:t>g</m:t>
        </m:r>
        <m:r>
          <m:rPr>
            <m:sty m:val="p"/>
          </m:rPr>
          <m:t>)</m:t>
        </m:r>
      </m:oMath>
      <w:r>
        <w:rPr/>
        <w:t xml:space="preserve"> (on notera </w:t>
      </w:r>
      <m:oMath>
        <m:sSub>
          <m:sSubPr/>
          <m:e>
            <m:r>
              <m:rPr>
                <m:sty m:val="p"/>
              </m:rPr>
              <m:t>Δ</m:t>
            </m:r>
          </m:e>
          <m:sub>
            <m:r>
              <m:rPr>
                <m:sty m:val="i"/>
              </m:rPr>
              <m:t>r</m:t>
            </m:r>
          </m:sub>
        </m:sSub>
        <m:sSubSup>
          <m:sSubSupPr/>
          <m:e>
            <m:r>
              <m:rPr>
                <m:sty m:val="i"/>
              </m:rPr>
              <m:t>G</m:t>
            </m:r>
          </m:e>
          <m:sub>
            <m:r>
              <m:rPr>
                <m:sty m:val="p"/>
              </m:rPr>
              <m:t>1</m:t>
            </m:r>
          </m:sub>
          <m:sup>
            <m:r>
              <m:rPr>
                <m:sty m:val="p"/>
              </m:rPr>
              <m:t>0</m:t>
            </m:r>
          </m:sup>
        </m:sSubSup>
        <m:d>
          <m:dPr>
            <m:begChr m:val="("/>
            <m:endChr m:val=")"/>
            <m:ctrlPr>
              <w:rPr>
                <w:rFonts w:ascii="Cambria Math" w:hAnsi="Cambria Math"/>
              </w:rPr>
            </m:ctrlPr>
          </m:dPr>
          <m:e>
            <m:sSup>
              <m:sSupPr/>
              <m:e>
                <m:r>
                  <m:rPr>
                    <m:sty m:val="p"/>
                  </m:rPr>
                  <m:t>1000</m:t>
                </m:r>
              </m:e>
              <m:sup>
                <m:r>
                  <m:rPr>
                    <m:sty m:val="p"/>
                  </m:rPr>
                  <m:t>∘</m:t>
                </m:r>
              </m:sup>
            </m:sSup>
            <m:r>
              <m:rPr>
                <m:sty m:val="p"/>
              </m:rPr>
              <m:t>C</m:t>
            </m:r>
          </m:e>
        </m:d>
      </m:oMath>
      <w:r>
        <w:rPr/>
        <w:t xml:space="preserve"> la valeur du premier couple et </w:t>
      </w:r>
      <m:oMath>
        <m:sSub>
          <m:sSubPr/>
          <m:e>
            <m:r>
              <m:rPr>
                <m:sty m:val="p"/>
              </m:rPr>
              <m:t>Δ</m:t>
            </m:r>
          </m:e>
          <m:sub>
            <m:r>
              <m:rPr>
                <m:sty m:val="i"/>
              </m:rPr>
              <m:t>r</m:t>
            </m:r>
          </m:sub>
        </m:sSub>
        <m:sSubSup>
          <m:sSubSupPr/>
          <m:e>
            <m:r>
              <m:rPr>
                <m:sty m:val="i"/>
              </m:rPr>
              <m:t>G</m:t>
            </m:r>
          </m:e>
          <m:sub>
            <m:r>
              <m:rPr>
                <m:sty m:val="p"/>
              </m:rPr>
              <m:t>3</m:t>
            </m:r>
          </m:sub>
          <m:sup>
            <m:r>
              <m:rPr>
                <m:sty m:val="p"/>
              </m:rPr>
              <m:t>0</m:t>
            </m:r>
          </m:sup>
        </m:sSubSup>
        <m:d>
          <m:dPr>
            <m:begChr m:val="("/>
            <m:endChr m:val=")"/>
            <m:ctrlPr>
              <w:rPr>
                <w:rFonts w:ascii="Cambria Math" w:hAnsi="Cambria Math"/>
              </w:rPr>
            </m:ctrlPr>
          </m:dPr>
          <m:e>
            <m:sSup>
              <m:sSupPr/>
              <m:e>
                <m:r>
                  <m:rPr>
                    <m:sty m:val="p"/>
                  </m:rPr>
                  <m:t>1000</m:t>
                </m:r>
              </m:e>
              <m:sup>
                <m:r>
                  <m:rPr>
                    <m:sty m:val="p"/>
                  </m:rPr>
                  <m:t>∘</m:t>
                </m:r>
              </m:sup>
            </m:sSup>
            <m:r>
              <m:rPr>
                <m:sty m:val="p"/>
              </m:rPr>
              <m:t>C</m:t>
            </m:r>
          </m:e>
        </m:d>
      </m:oMath>
      <w:r>
        <w:rPr/>
        <w:t xml:space="preserve"> la valeur du second) : - </w:t>
      </w:r>
      <m:oMath>
        <m:r>
          <m:rPr>
            <m:sty m:val="p"/>
          </m:rPr>
          <m:t>345</m:t>
        </m:r>
        <m:r>
          <m:rPr>
            <m:sty m:val="p"/>
          </m:rPr>
          <m:t>;</m:t>
        </m:r>
        <m:r>
          <m:rPr>
            <m:sty m:val="p"/>
          </m:rPr>
          <m:t>−</m:t>
        </m:r>
        <m:r>
          <m:rPr>
            <m:sty m:val="p"/>
          </m:rPr>
          <m:t>390</m:t>
        </m:r>
        <m:r>
          <m:rPr>
            <m:sty m:val="p"/>
          </m:rPr>
          <m:t>;</m:t>
        </m:r>
        <m:r>
          <m:rPr>
            <m:sty m:val="p"/>
          </m:rPr>
          <m:t>−</m:t>
        </m:r>
        <m:r>
          <m:rPr>
            <m:sty m:val="p"/>
          </m:rPr>
          <m:t>410</m:t>
        </m:r>
        <m:r>
          <m:rPr>
            <m:sty m:val="p"/>
          </m:rPr>
          <m:t>;</m:t>
        </m:r>
        <m:r>
          <m:rPr>
            <m:sty m:val="p"/>
          </m:rPr>
          <m:t>−</m:t>
        </m:r>
        <m:r>
          <m:rPr>
            <m:sty m:val="p"/>
          </m:rPr>
          <m:t>450</m:t>
        </m:r>
        <m:r>
          <m:rPr>
            <m:sty m:val="p"/>
          </m:rPr>
          <m:t>;</m:t>
        </m:r>
        <m:r>
          <m:rPr>
            <m:sty m:val="p"/>
          </m:rPr>
          <m:t>−</m:t>
        </m:r>
        <m:r>
          <m:rPr>
            <m:sty m:val="p"/>
          </m:rPr>
          <m:t>490</m:t>
        </m:r>
      </m:oMath>
      <w:r>
        <w:rPr/>
        <w:t xml:space="preserve">.</w:t>
      </w:r>
      <w:r>
        <w:rPr/>
        <w:br w:type="textWrapping"/>
      </w:r>
      <w:r>
        <w:rPr>
          <w:rFonts w:eastAsia="Georgia" w:cs="Georgia" w:ascii="Georgia" w:hAnsi="Georgia"/>
        </w:rPr>
        <w:t xml:space="preserve">25. L'équilibre chimique de Boudouard consiste en la réaction : </w:t>
      </w:r>
      <m:oMath>
        <m:r>
          <m:rPr>
            <m:sty m:val="i"/>
          </m:rPr>
          <m:t>C</m:t>
        </m:r>
        <m:r>
          <m:rPr>
            <m:sty m:val="p"/>
          </m:rPr>
          <m:t>(</m:t>
        </m:r>
        <m:r>
          <m:rPr>
            <m:sty m:val="i"/>
          </m:rPr>
          <m:t>s</m:t>
        </m:r>
        <m:r>
          <m:rPr>
            <m:sty m:val="p"/>
          </m:rPr>
          <m:t>)</m:t>
        </m:r>
        <m:r>
          <m:rPr>
            <m:sty m:val="p"/>
          </m:rPr>
          <m:t>+</m:t>
        </m:r>
        <m:sSub>
          <m:sSubPr/>
          <m:e>
            <m:r>
              <m:rPr>
                <m:sty m:val="p"/>
              </m:rPr>
              <m:t>CO</m:t>
            </m:r>
          </m:e>
          <m:sub>
            <m:r>
              <m:rPr>
                <m:sty m:val="p"/>
              </m:rPr>
              <m:t>2</m:t>
            </m:r>
          </m:sub>
        </m:sSub>
        <m:r>
          <m:rPr>
            <m:sty m:val="p"/>
          </m:rPr>
          <m:t>(</m:t>
        </m:r>
        <m:r>
          <m:rPr>
            <m:sty m:val="i"/>
          </m:rPr>
          <m:t>g</m:t>
        </m:r>
        <m:r>
          <m:rPr>
            <m:sty m:val="p"/>
          </m:rPr>
          <m:t>)</m:t>
        </m:r>
        <m:r>
          <m:rPr>
            <m:sty m:val="p"/>
          </m:rPr>
          <m:t>=</m:t>
        </m:r>
        <m:r>
          <m:rPr>
            <m:sty m:val="p"/>
          </m:rPr>
          <m:t>2</m:t>
        </m:r>
        <m:r>
          <m:rPr>
            <m:sty m:val="p"/>
          </m:rPr>
          <m:t>CO</m:t>
        </m:r>
        <m:r>
          <m:rPr>
            <m:sty m:val="p"/>
          </m:rPr>
          <m:t>(</m:t>
        </m:r>
        <m:r>
          <m:rPr>
            <m:sty m:val="i"/>
          </m:rPr>
          <m:t>g</m:t>
        </m:r>
        <m:r>
          <m:rPr>
            <m:sty m:val="p"/>
          </m:rPr>
          <m:t>)</m:t>
        </m:r>
      </m:oMath>
      <w:r>
        <w:rPr>
          <w:rFonts w:eastAsia="Georgia" w:cs="Georgia" w:ascii="Georgia" w:hAnsi="Georgia"/>
        </w:rPr>
        <w:t xml:space="preserve">. Donner l'expression littérale de l'enthalpie libre standard à </w:t>
      </w:r>
      <m:oMath>
        <m:sSup>
          <m:sSupPr/>
          <m:e>
            <m:r>
              <m:rPr>
                <m:sty m:val="p"/>
              </m:rPr>
              <m:t>1000</m:t>
            </m:r>
          </m:e>
          <m:sup>
            <m:r>
              <m:rPr>
                <m:sty m:val="p"/>
              </m:rPr>
              <m:t>∘</m:t>
            </m:r>
          </m:sup>
        </m:sSup>
        <m:r>
          <m:rPr>
            <m:sty m:val="p"/>
          </m:rPr>
          <m:t>C</m:t>
        </m:r>
      </m:oMath>
      <w:r>
        <w:rPr>
          <w:rFonts w:eastAsia="Georgia" w:cs="Georgia" w:ascii="Georgia" w:hAnsi="Georgia"/>
        </w:rPr>
        <w:t xml:space="preserve">, notée </w:t>
      </w:r>
      <m:oMath>
        <m:sSub>
          <m:sSubPr/>
          <m:e>
            <m:r>
              <m:rPr>
                <m:sty m:val="p"/>
              </m:rPr>
              <m:t>Δ</m:t>
            </m:r>
          </m:e>
          <m:sub>
            <m:r>
              <m:rPr>
                <m:sty m:val="i"/>
              </m:rPr>
              <m:t>r</m:t>
            </m:r>
          </m:sub>
        </m:sSub>
        <m:sSubSup>
          <m:sSubSupPr/>
          <m:e>
            <m:r>
              <m:rPr>
                <m:sty m:val="i"/>
              </m:rPr>
              <m:t>G</m:t>
            </m:r>
          </m:e>
          <m:sub>
            <m:r>
              <m:rPr>
                <m:nor/>
              </m:rPr>
              <m:t>Boud </m:t>
            </m:r>
          </m:sub>
          <m:sup>
            <m:r>
              <m:rPr>
                <m:sty m:val="p"/>
              </m:rPr>
              <m:t>0</m:t>
            </m:r>
          </m:sup>
        </m:sSubSup>
        <m:d>
          <m:dPr>
            <m:begChr m:val="("/>
            <m:endChr m:val=")"/>
            <m:ctrlPr>
              <w:rPr>
                <w:rFonts w:ascii="Cambria Math" w:hAnsi="Cambria Math"/>
              </w:rPr>
            </m:ctrlPr>
          </m:dPr>
          <m:e>
            <m:sSup>
              <m:sSupPr/>
              <m:e>
                <m:r>
                  <m:rPr>
                    <m:sty m:val="p"/>
                  </m:rPr>
                  <m:t>1000</m:t>
                </m:r>
              </m:e>
              <m:sup>
                <m:r>
                  <m:rPr>
                    <m:sty m:val="p"/>
                  </m:rPr>
                  <m:t>∘</m:t>
                </m:r>
              </m:sup>
            </m:sSup>
            <m:r>
              <m:rPr>
                <m:sty m:val="p"/>
              </m:rPr>
              <m:t>C</m:t>
            </m:r>
          </m:e>
        </m:d>
      </m:oMath>
      <w:r>
        <w:rPr>
          <w:rFonts w:eastAsia="Georgia" w:cs="Georgia" w:ascii="Georgia" w:hAnsi="Georgia"/>
        </w:rPr>
        <w:t xml:space="preserve">, de cette réaction, puis montrer que l'on obtient </w:t>
      </w:r>
      <m:oMath>
        <m:sSub>
          <m:sSubPr/>
          <m:e>
            <m:r>
              <m:rPr>
                <m:sty m:val="p"/>
              </m:rPr>
              <m:t>Δ</m:t>
            </m:r>
          </m:e>
          <m:sub>
            <m:r>
              <m:rPr>
                <m:sty m:val="i"/>
              </m:rPr>
              <m:t>r</m:t>
            </m:r>
          </m:sub>
        </m:sSub>
        <m:sSubSup>
          <m:sSubSupPr/>
          <m:e>
            <m:r>
              <m:rPr>
                <m:sty m:val="i"/>
              </m:rPr>
              <m:t>G</m:t>
            </m:r>
          </m:e>
          <m:sub>
            <m:r>
              <m:rPr>
                <m:nor/>
              </m:rPr>
              <m:t>Boud </m:t>
            </m:r>
          </m:sub>
          <m:sup>
            <m:r>
              <m:rPr>
                <m:sty m:val="p"/>
              </m:rPr>
              <m:t>0</m:t>
            </m:r>
          </m:sup>
        </m:sSubSup>
        <m:d>
          <m:dPr>
            <m:begChr m:val="("/>
            <m:endChr m:val=")"/>
            <m:ctrlPr>
              <w:rPr>
                <w:rFonts w:ascii="Cambria Math" w:hAnsi="Cambria Math"/>
              </w:rPr>
            </m:ctrlPr>
          </m:dPr>
          <m:e>
            <m:sSup>
              <m:sSupPr/>
              <m:e>
                <m:r>
                  <m:rPr>
                    <m:sty m:val="p"/>
                  </m:rPr>
                  <m:t>1000</m:t>
                </m:r>
              </m:e>
              <m:sup>
                <m:r>
                  <m:rPr>
                    <m:sty m:val="p"/>
                  </m:rPr>
                  <m:t>∘</m:t>
                </m:r>
              </m:sup>
            </m:sSup>
            <m:r>
              <m:rPr>
                <m:sty m:val="p"/>
              </m:rPr>
              <m:t>C</m:t>
            </m:r>
          </m:e>
        </m:d>
        <m:r>
          <m:rPr>
            <m:sty m:val="p"/>
          </m:rPr>
          <m:t>=</m:t>
        </m:r>
        <m:r>
          <m:rPr>
            <m:sty m:val="p"/>
          </m:rPr>
          <m:t>−</m:t>
        </m:r>
        <m:r>
          <m:rPr>
            <m:sty m:val="p"/>
          </m:rPr>
          <m:t>52</m:t>
        </m:r>
        <m:r>
          <m:rPr>
            <m:sty m:val="p"/>
          </m:rPr>
          <m:t>,</m:t>
        </m:r>
        <m:r>
          <m:rPr>
            <m:sty m:val="p"/>
          </m:rPr>
          <m:t>5</m:t>
        </m:r>
        <m:r>
          <m:rPr>
            <m:nor/>
          </m:rPr>
          <m:t xml:space="preserve"> </m:t>
        </m:r>
        <m:r>
          <m:rPr>
            <m:sty m:val="p"/>
          </m:rPr>
          <m:t>kJ</m:t>
        </m:r>
        <m:sSup>
          <m:sSupPr/>
          <m:e>
            <m:r>
              <m:rPr>
                <m:nor/>
              </m:rPr>
              <m:t xml:space="preserve"> </m:t>
            </m:r>
            <m:r>
              <m:rPr>
                <m:sty m:val="p"/>
              </m:rPr>
              <m:t>mol</m:t>
            </m:r>
          </m:e>
          <m:sup>
            <m:r>
              <m:rPr>
                <m:sty m:val="p"/>
              </m:rPr>
              <m:t>−</m:t>
            </m:r>
            <m:r>
              <m:rPr>
                <m:sty m:val="p"/>
              </m:rPr>
              <m:t>1</m:t>
            </m:r>
          </m:sup>
        </m:sSup>
      </m:oMath>
      <w:r>
        <w:rPr/>
        <w:t xml:space="preserve">.</w:t>
      </w:r>
      <w:r>
        <w:rPr/>
        <w:br w:type="textWrapping"/>
      </w:r>
      <w:r>
        <w:rPr>
          <w:rFonts w:eastAsia="Georgia" w:cs="Georgia" w:ascii="Georgia" w:hAnsi="Georgia"/>
        </w:rPr>
        <w:t xml:space="preserve">26. En déduire la valeur de la constante d'équilibre </w:t>
      </w:r>
      <m:oMath>
        <m:sSubSup>
          <m:sSubSupPr/>
          <m:e>
            <m:r>
              <m:rPr>
                <m:sty m:val="i"/>
              </m:rPr>
              <m:t>K</m:t>
            </m:r>
          </m:e>
          <m:sub>
            <m:r>
              <m:rPr>
                <m:nor/>
              </m:rPr>
              <m:t>Boud </m:t>
            </m:r>
          </m:sub>
          <m:sup>
            <m:r>
              <m:rPr>
                <m:sty m:val="p"/>
              </m:rPr>
              <m:t>0</m:t>
            </m:r>
          </m:sup>
        </m:sSubSup>
        <m:d>
          <m:dPr>
            <m:begChr m:val="("/>
            <m:endChr m:val=")"/>
            <m:ctrlPr>
              <w:rPr>
                <w:rFonts w:ascii="Cambria Math" w:hAnsi="Cambria Math"/>
              </w:rPr>
            </m:ctrlPr>
          </m:dPr>
          <m:e>
            <m:sSup>
              <m:sSupPr/>
              <m:e>
                <m:r>
                  <m:rPr>
                    <m:sty m:val="p"/>
                  </m:rPr>
                  <m:t>1000</m:t>
                </m:r>
              </m:e>
              <m:sup>
                <m:r>
                  <m:rPr>
                    <m:sty m:val="p"/>
                  </m:rPr>
                  <m:t>∘</m:t>
                </m:r>
              </m:sup>
            </m:sSup>
            <m:r>
              <m:rPr>
                <m:sty m:val="p"/>
              </m:rPr>
              <m:t>C</m:t>
            </m:r>
          </m:e>
        </m:d>
      </m:oMath>
      <w:r>
        <w:rPr/>
        <w:t xml:space="preserve">.</w:t>
      </w:r>
      <w:r>
        <w:rPr/>
        <w:br w:type="textWrapping"/>
      </w:r>
      <w:r>
        <w:rPr>
          <w:rFonts w:eastAsia="Georgia" w:cs="Georgia" w:ascii="Georgia" w:hAnsi="Georgia"/>
        </w:rPr>
        <w:t xml:space="preserve">27. La courbe représentée en pointillé sur le diagramme d'Ellingham de l'annexe correspond au diagramme d'Ellingham du couple </w:t>
      </w:r>
      <m:oMath>
        <m:r>
          <m:rPr>
            <m:sty m:val="p"/>
          </m:rPr>
          <m:t>ZnO</m:t>
        </m:r>
        <m:r>
          <m:rPr>
            <m:sty m:val="p"/>
          </m:rPr>
          <m:t>/</m:t>
        </m:r>
        <m:r>
          <m:rPr>
            <m:sty m:val="p"/>
          </m:rPr>
          <m:t>Zn</m:t>
        </m:r>
      </m:oMath>
      <w:r>
        <w:rPr>
          <w:rFonts w:eastAsia="Georgia" w:cs="Georgia" w:ascii="Georgia" w:hAnsi="Georgia"/>
        </w:rPr>
        <w:t xml:space="preserve"> pour des températures comprises entre 300 et 2200 K . Expliquer pourquoi le diagramme d'Ellingham de ce couple </w:t>
      </w:r>
      <m:oMath>
        <m:r>
          <m:rPr>
            <m:sty m:val="p"/>
          </m:rPr>
          <m:t>ZnO</m:t>
        </m:r>
        <m:r>
          <m:rPr>
            <m:sty m:val="p"/>
          </m:rPr>
          <m:t>/</m:t>
        </m:r>
        <m:r>
          <m:rPr>
            <m:sty m:val="p"/>
          </m:rPr>
          <m:t>Zn</m:t>
        </m:r>
      </m:oMath>
      <w:r>
        <w:rPr/>
        <w:t xml:space="preserve"> n'est pas une simple droite.</w:t>
      </w:r>
      <w:r>
        <w:rPr/>
        <w:br w:type="textWrapping"/>
      </w:r>
      <w:r>
        <w:rPr>
          <w:rFonts w:eastAsia="Georgia" w:cs="Georgia" w:ascii="Georgia" w:hAnsi="Georgia"/>
        </w:rPr>
        <w:t xml:space="preserve">28. Toujours en exploitant le graphique, identifier, parmi les propositions suivantes, la valeur exprimée en </w:t>
      </w:r>
      <m:oMath>
        <m:sSup>
          <m:sSupPr/>
          <m:e>
            <m:r>
              <m:rPr>
                <m:sty m:val="p"/>
              </m:rPr>
              <m:t>kJ</m:t>
            </m:r>
            <m:r>
              <m:rPr>
                <m:sty m:val="p"/>
              </m:rPr>
              <m:t>.</m:t>
            </m:r>
            <m:r>
              <m:rPr>
                <m:sty m:val="p"/>
              </m:rPr>
              <m:t>mol</m:t>
            </m:r>
          </m:e>
          <m:sup>
            <m:r>
              <m:rPr>
                <m:sty m:val="p"/>
              </m:rPr>
              <m:t>−</m:t>
            </m:r>
            <m:r>
              <m:rPr>
                <m:sty m:val="p"/>
              </m:rPr>
              <m:t>1</m:t>
            </m:r>
          </m:sup>
        </m:sSup>
      </m:oMath>
      <w:r>
        <w:rPr/>
        <w:t xml:space="preserve"> de </w:t>
      </w:r>
      <m:oMath>
        <m:sSub>
          <m:sSubPr/>
          <m:e>
            <m:r>
              <m:rPr>
                <m:sty m:val="p"/>
              </m:rPr>
              <m:t>Δ</m:t>
            </m:r>
          </m:e>
          <m:sub>
            <m:r>
              <m:rPr>
                <m:sty m:val="i"/>
              </m:rPr>
              <m:t>r</m:t>
            </m:r>
          </m:sub>
        </m:sSub>
        <m:sSubSup>
          <m:sSubSupPr/>
          <m:e>
            <m:r>
              <m:rPr>
                <m:sty m:val="i"/>
              </m:rPr>
              <m:t>G</m:t>
            </m:r>
          </m:e>
          <m:sub>
            <m:r>
              <m:rPr>
                <m:sty m:val="i"/>
              </m:rPr>
              <m:t>Z</m:t>
            </m:r>
            <m:r>
              <m:rPr>
                <m:sty m:val="i"/>
              </m:rPr>
              <m:t>n</m:t>
            </m:r>
            <m:r>
              <m:rPr>
                <m:sty m:val="i"/>
              </m:rPr>
              <m:t>O</m:t>
            </m:r>
            <m:r>
              <m:rPr>
                <m:sty m:val="p"/>
              </m:rPr>
              <m:t>/</m:t>
            </m:r>
            <m:r>
              <m:rPr>
                <m:sty m:val="i"/>
              </m:rPr>
              <m:t>Z</m:t>
            </m:r>
            <m:r>
              <m:rPr>
                <m:sty m:val="i"/>
              </m:rPr>
              <m:t>n</m:t>
            </m:r>
          </m:sub>
          <m:sup>
            <m:r>
              <m:rPr>
                <m:sty m:val="p"/>
              </m:rPr>
              <m:t>0</m:t>
            </m:r>
          </m:sup>
        </m:sSubSup>
        <m:d>
          <m:dPr>
            <m:begChr m:val="("/>
            <m:endChr m:val=")"/>
            <m:ctrlPr>
              <w:rPr>
                <w:rFonts w:ascii="Cambria Math" w:hAnsi="Cambria Math"/>
              </w:rPr>
            </m:ctrlPr>
          </m:dPr>
          <m:e>
            <m:sSup>
              <m:sSupPr/>
              <m:e>
                <m:r>
                  <m:rPr>
                    <m:sty m:val="p"/>
                  </m:rPr>
                  <m:t>1000</m:t>
                </m:r>
              </m:e>
              <m:sup>
                <m:r>
                  <m:rPr>
                    <m:sty m:val="p"/>
                  </m:rPr>
                  <m:t>∘</m:t>
                </m:r>
              </m:sup>
            </m:sSup>
            <m:r>
              <m:rPr>
                <m:sty m:val="p"/>
              </m:rPr>
              <m:t>C</m:t>
            </m:r>
          </m:e>
        </m:d>
      </m:oMath>
      <w:r>
        <w:rPr>
          <w:rFonts w:eastAsia="Georgia" w:cs="Georgia" w:ascii="Georgia" w:hAnsi="Georgia"/>
        </w:rPr>
        <w:t xml:space="preserve">, l'enthalpie libre standard à </w:t>
      </w:r>
      <m:oMath>
        <m:sSup>
          <m:sSupPr/>
          <m:e>
            <m:r>
              <m:rPr>
                <m:sty m:val="p"/>
              </m:rPr>
              <m:t>1000</m:t>
            </m:r>
          </m:e>
          <m:sup>
            <m:r>
              <m:rPr>
                <m:sty m:val="p"/>
              </m:rPr>
              <m:t>∘</m:t>
            </m:r>
          </m:sup>
        </m:sSup>
        <m:r>
          <m:rPr>
            <m:sty m:val="p"/>
          </m:rPr>
          <m:t>C</m:t>
        </m:r>
      </m:oMath>
      <w:r>
        <w:rPr/>
        <w:t xml:space="preserve"> pour le couple </w:t>
      </w:r>
      <m:oMath>
        <m:r>
          <m:rPr>
            <m:sty m:val="p"/>
          </m:rPr>
          <m:t>ZnO</m:t>
        </m:r>
        <m:r>
          <m:rPr>
            <m:sty m:val="p"/>
          </m:rPr>
          <m:t>/</m:t>
        </m:r>
        <m:r>
          <m:rPr>
            <m:sty m:val="p"/>
          </m:rPr>
          <m:t>Zn</m:t>
        </m:r>
        <m:r>
          <m:rPr>
            <m:sty m:val="p"/>
          </m:rPr>
          <m:t>:</m:t>
        </m:r>
        <m:r>
          <m:rPr>
            <m:sty m:val="p"/>
          </m:rPr>
          <m:t>−</m:t>
        </m:r>
        <m:r>
          <m:rPr>
            <m:sty m:val="p"/>
          </m:rPr>
          <m:t>345</m:t>
        </m:r>
        <m:r>
          <m:rPr>
            <m:sty m:val="p"/>
          </m:rPr>
          <m:t>;</m:t>
        </m:r>
        <m:r>
          <m:rPr>
            <m:sty m:val="p"/>
          </m:rPr>
          <m:t>−</m:t>
        </m:r>
        <m:r>
          <m:rPr>
            <m:sty m:val="p"/>
          </m:rPr>
          <m:t>390</m:t>
        </m:r>
        <m:r>
          <m:rPr>
            <m:sty m:val="p"/>
          </m:rPr>
          <m:t>;</m:t>
        </m:r>
        <m:r>
          <m:rPr>
            <m:sty m:val="p"/>
          </m:rPr>
          <m:t>−</m:t>
        </m:r>
        <m:r>
          <m:rPr>
            <m:sty m:val="p"/>
          </m:rPr>
          <m:t>410</m:t>
        </m:r>
        <m:r>
          <m:rPr>
            <m:sty m:val="p"/>
          </m:rPr>
          <m:t>;</m:t>
        </m:r>
        <m:r>
          <m:rPr>
            <m:sty m:val="p"/>
          </m:rPr>
          <m:t>−</m:t>
        </m:r>
        <m:r>
          <m:rPr>
            <m:sty m:val="p"/>
          </m:rPr>
          <m:t>450</m:t>
        </m:r>
        <m:r>
          <m:rPr>
            <m:sty m:val="p"/>
          </m:rPr>
          <m:t>;</m:t>
        </m:r>
        <m:r>
          <m:rPr>
            <m:sty m:val="p"/>
          </m:rPr>
          <m:t>−</m:t>
        </m:r>
        <m:r>
          <m:rPr>
            <m:sty m:val="p"/>
          </m:rPr>
          <m:t>490</m:t>
        </m:r>
      </m:oMath>
      <w:r>
        <w:rPr/>
        <w:t xml:space="preserve">.</w:t>
      </w:r>
      <w:r>
        <w:rPr/>
        <w:br w:type="textWrapping"/>
      </w:r>
      <w:r>
        <w:rPr>
          <w:rFonts w:eastAsia="Georgia" w:cs="Georgia" w:ascii="Georgia" w:hAnsi="Georgia"/>
        </w:rPr>
        <w:t xml:space="preserve">29. On considère la réaction de l'oxyde de zinc par le monoxyde de carbone à </w:t>
      </w:r>
      <m:oMath>
        <m:sSup>
          <m:sSupPr/>
          <m:e>
            <m:r>
              <m:rPr>
                <m:sty m:val="p"/>
              </m:rPr>
              <m:t>1000</m:t>
            </m:r>
          </m:e>
          <m:sup>
            <m:r>
              <m:rPr>
                <m:sty m:val="p"/>
              </m:rPr>
              <m:t>∘</m:t>
            </m:r>
          </m:sup>
        </m:sSup>
        <m:r>
          <m:rPr>
            <m:sty m:val="p"/>
          </m:rPr>
          <m:t>C</m:t>
        </m:r>
      </m:oMath>
      <w:r>
        <w:rPr/>
        <w:t xml:space="preserve"> : </w:t>
      </w:r>
      <m:oMath>
        <m:r>
          <m:rPr>
            <m:sty m:val="p"/>
          </m:rPr>
          <m:t>ZnO</m:t>
        </m:r>
        <m:r>
          <m:rPr>
            <m:sty m:val="p"/>
          </m:rPr>
          <m:t>(</m:t>
        </m:r>
        <m:r>
          <m:rPr>
            <m:sty m:val="i"/>
          </m:rPr>
          <m:t>s</m:t>
        </m:r>
        <m:r>
          <m:rPr>
            <m:sty m:val="p"/>
          </m:rPr>
          <m:t>)</m:t>
        </m:r>
        <m:r>
          <m:rPr>
            <m:sty m:val="p"/>
          </m:rPr>
          <m:t>+</m:t>
        </m:r>
        <m:r>
          <m:rPr>
            <m:sty m:val="p"/>
          </m:rPr>
          <m:t>CO</m:t>
        </m:r>
        <m:r>
          <m:rPr>
            <m:sty m:val="p"/>
          </m:rPr>
          <m:t>(</m:t>
        </m:r>
        <m:r>
          <m:rPr>
            <m:sty m:val="i"/>
          </m:rPr>
          <m:t>g</m:t>
        </m:r>
        <m:r>
          <m:rPr>
            <m:sty m:val="p"/>
          </m:rPr>
          <m:t>)</m:t>
        </m:r>
        <m:r>
          <m:rPr>
            <m:sty m:val="p"/>
          </m:rPr>
          <m:t>=</m:t>
        </m:r>
        <m:r>
          <m:rPr>
            <m:sty m:val="p"/>
          </m:rPr>
          <m:t>Zn</m:t>
        </m:r>
        <m:r>
          <m:rPr>
            <m:sty m:val="p"/>
          </m:rPr>
          <m:t>(</m:t>
        </m:r>
        <m:r>
          <m:rPr>
            <m:sty m:val="i"/>
          </m:rPr>
          <m:t>g</m:t>
        </m:r>
        <m:r>
          <m:rPr>
            <m:sty m:val="p"/>
          </m:rPr>
          <m:t>)</m:t>
        </m:r>
        <m:r>
          <m:rPr>
            <m:sty m:val="p"/>
          </m:rPr>
          <m:t>+</m:t>
        </m:r>
        <m:sSub>
          <m:sSubPr/>
          <m:e>
            <m:r>
              <m:rPr>
                <m:sty m:val="p"/>
              </m:rPr>
              <m:t>CO</m:t>
            </m:r>
          </m:e>
          <m:sub>
            <m:r>
              <m:rPr>
                <m:sty m:val="p"/>
              </m:rPr>
              <m:t>2</m:t>
            </m:r>
          </m:sub>
        </m:sSub>
        <m:r>
          <m:rPr>
            <m:sty m:val="p"/>
          </m:rPr>
          <m:t>(</m:t>
        </m:r>
        <m:r>
          <m:rPr>
            <m:sty m:val="i"/>
          </m:rPr>
          <m:t>g</m:t>
        </m:r>
        <m:r>
          <m:rPr>
            <m:sty m:val="p"/>
          </m:rPr>
          <m:t>)</m:t>
        </m:r>
      </m:oMath>
      <w:r>
        <w:rPr/>
        <w:t xml:space="preserve">. Calculer l'enthalpie libre standard </w:t>
      </w:r>
      <m:oMath>
        <m:d>
          <m:dPr>
            <m:begChr m:val="("/>
            <m:endChr m:val=")"/>
            <m:ctrlPr>
              <w:rPr>
                <w:rFonts w:ascii="Cambria Math" w:hAnsi="Cambria Math"/>
              </w:rPr>
            </m:ctrlPr>
          </m:dPr>
          <m:e>
            <m:sSub>
              <m:sSubPr/>
              <m:e>
                <m:r>
                  <m:rPr>
                    <m:sty m:val="p"/>
                  </m:rPr>
                  <m:t>Δ</m:t>
                </m:r>
              </m:e>
              <m:sub>
                <m:r>
                  <m:rPr>
                    <m:sty m:val="i"/>
                  </m:rPr>
                  <m:t>r</m:t>
                </m:r>
              </m:sub>
            </m:sSub>
            <m:sSubSup>
              <m:sSubSupPr/>
              <m:e>
                <m:r>
                  <m:rPr>
                    <m:sty m:val="i"/>
                  </m:rPr>
                  <m:t>G</m:t>
                </m:r>
              </m:e>
              <m:sub>
                <m:r>
                  <m:rPr>
                    <m:sty m:val="p"/>
                  </m:rPr>
                  <m:t>4</m:t>
                </m:r>
              </m:sub>
              <m:sup>
                <m:r>
                  <m:rPr>
                    <m:sty m:val="p"/>
                  </m:rPr>
                  <m:t>0</m:t>
                </m:r>
              </m:sup>
            </m:sSubSup>
            <m:d>
              <m:dPr>
                <m:begChr m:val="("/>
                <m:endChr m:val=")"/>
                <m:ctrlPr>
                  <w:rPr>
                    <w:rFonts w:ascii="Cambria Math" w:hAnsi="Cambria Math"/>
                  </w:rPr>
                </m:ctrlPr>
              </m:dPr>
              <m:e>
                <m:sSup>
                  <m:sSupPr/>
                  <m:e>
                    <m:r>
                      <m:rPr>
                        <m:sty m:val="p"/>
                      </m:rPr>
                      <m:t>1000</m:t>
                    </m:r>
                  </m:e>
                  <m:sup>
                    <m:r>
                      <m:rPr>
                        <m:sty m:val="p"/>
                      </m:rPr>
                      <m:t>∘</m:t>
                    </m:r>
                  </m:sup>
                </m:sSup>
                <m:r>
                  <m:rPr>
                    <m:sty m:val="p"/>
                  </m:rPr>
                  <m:t>C</m:t>
                </m:r>
              </m:e>
            </m:d>
          </m:e>
        </m:d>
      </m:oMath>
      <w:r>
        <w:rPr>
          <w:rFonts w:eastAsia="Georgia" w:cs="Georgia" w:ascii="Georgia" w:hAnsi="Georgia"/>
        </w:rPr>
        <w:t xml:space="preserve"> et la constante d'équilibre </w:t>
      </w:r>
      <m:oMath>
        <m:d>
          <m:dPr>
            <m:begChr m:val="("/>
            <m:endChr m:val=")"/>
            <m:ctrlPr>
              <w:rPr>
                <w:rFonts w:ascii="Cambria Math" w:hAnsi="Cambria Math"/>
              </w:rPr>
            </m:ctrlPr>
          </m:dPr>
          <m:e>
            <m:sSubSup>
              <m:sSubSupPr/>
              <m:e>
                <m:r>
                  <m:rPr>
                    <m:sty m:val="i"/>
                  </m:rPr>
                  <m:t>K</m:t>
                </m:r>
              </m:e>
              <m:sub>
                <m:r>
                  <m:rPr>
                    <m:sty m:val="p"/>
                  </m:rPr>
                  <m:t>4</m:t>
                </m:r>
              </m:sub>
              <m:sup>
                <m:r>
                  <m:rPr>
                    <m:sty m:val="p"/>
                  </m:rPr>
                  <m:t>0</m:t>
                </m:r>
              </m:sup>
            </m:sSubSup>
            <m:d>
              <m:dPr>
                <m:begChr m:val="("/>
                <m:endChr m:val=")"/>
                <m:ctrlPr>
                  <w:rPr>
                    <w:rFonts w:ascii="Cambria Math" w:hAnsi="Cambria Math"/>
                  </w:rPr>
                </m:ctrlPr>
              </m:dPr>
              <m:e>
                <m:sSup>
                  <m:sSupPr/>
                  <m:e>
                    <m:r>
                      <m:rPr>
                        <m:sty m:val="p"/>
                      </m:rPr>
                      <m:t>1000</m:t>
                    </m:r>
                  </m:e>
                  <m:sup>
                    <m:r>
                      <m:rPr>
                        <m:sty m:val="p"/>
                      </m:rPr>
                      <m:t>∘</m:t>
                    </m:r>
                  </m:sup>
                </m:sSup>
                <m:r>
                  <m:rPr>
                    <m:sty m:val="p"/>
                  </m:rPr>
                  <m:t>C</m:t>
                </m:r>
              </m:e>
            </m:d>
          </m:e>
        </m:d>
      </m:oMath>
      <w:r>
        <w:rPr>
          <w:rFonts w:eastAsia="Georgia" w:cs="Georgia" w:ascii="Georgia" w:hAnsi="Georgia"/>
        </w:rPr>
        <w:t xml:space="preserve"> de cette réaction à </w:t>
      </w:r>
      <m:oMath>
        <m:sSup>
          <m:sSupPr/>
          <m:e>
            <m:r>
              <m:rPr>
                <m:sty m:val="p"/>
              </m:rPr>
              <m:t>1000</m:t>
            </m:r>
          </m:e>
          <m:sup>
            <m:r>
              <m:rPr>
                <m:sty m:val="p"/>
              </m:rPr>
              <m:t>∘</m:t>
            </m:r>
          </m:sup>
        </m:sSup>
        <m:r>
          <m:rPr>
            <m:sty m:val="p"/>
          </m:rPr>
          <m:t>C</m:t>
        </m:r>
      </m:oMath>
      <w:r>
        <w:rPr/>
        <w:t xml:space="preserve">.</w:t>
      </w:r>
      <w:r>
        <w:rPr/>
        <w:br w:type="textWrapping"/>
      </w:r>
      <w:r>
        <w:rPr>
          <w:rFonts w:eastAsia="Georgia" w:cs="Georgia" w:ascii="Georgia" w:hAnsi="Georgia"/>
        </w:rPr>
        <w:t xml:space="preserve">30. En présence d'un excès de carbone, la réaction globale de réduction de l'oxyde de zinc est: </w:t>
      </w:r>
      <m:oMath>
        <m:r>
          <m:rPr>
            <m:sty m:val="i"/>
          </m:rPr>
          <m:t>Z</m:t>
        </m:r>
        <m:r>
          <m:rPr>
            <m:sty m:val="i"/>
          </m:rPr>
          <m:t>n</m:t>
        </m:r>
        <m:r>
          <m:rPr>
            <m:sty m:val="i"/>
          </m:rPr>
          <m:t>O</m:t>
        </m:r>
        <m:r>
          <m:rPr>
            <m:sty m:val="p"/>
          </m:rPr>
          <m:t>(</m:t>
        </m:r>
        <m:r>
          <m:rPr>
            <m:sty m:val="i"/>
          </m:rPr>
          <m:t>s</m:t>
        </m:r>
        <m:r>
          <m:rPr>
            <m:sty m:val="p"/>
          </m:rPr>
          <m:t>)</m:t>
        </m:r>
        <m:r>
          <m:rPr>
            <m:sty m:val="p"/>
          </m:rPr>
          <m:t>+</m:t>
        </m:r>
        <m:r>
          <m:rPr>
            <m:sty m:val="i"/>
          </m:rPr>
          <m:t>C</m:t>
        </m:r>
        <m:r>
          <m:rPr>
            <m:sty m:val="p"/>
          </m:rPr>
          <m:t>(</m:t>
        </m:r>
        <m:r>
          <m:rPr>
            <m:sty m:val="i"/>
          </m:rPr>
          <m:t>s</m:t>
        </m:r>
        <m:r>
          <m:rPr>
            <m:sty m:val="p"/>
          </m:rPr>
          <m:t>)</m:t>
        </m:r>
        <m:r>
          <m:rPr>
            <m:sty m:val="p"/>
          </m:rPr>
          <m:t>=</m:t>
        </m:r>
        <m:r>
          <m:rPr>
            <m:sty m:val="i"/>
          </m:rPr>
          <m:t>Z</m:t>
        </m:r>
        <m:r>
          <m:rPr>
            <m:sty m:val="i"/>
          </m:rPr>
          <m:t>n</m:t>
        </m:r>
        <m:r>
          <m:rPr>
            <m:sty m:val="p"/>
          </m:rPr>
          <m:t>(</m:t>
        </m:r>
        <m:r>
          <m:rPr>
            <m:sty m:val="i"/>
          </m:rPr>
          <m:t>g</m:t>
        </m:r>
        <m:r>
          <m:rPr>
            <m:sty m:val="p"/>
          </m:rPr>
          <m:t>)</m:t>
        </m:r>
        <m:r>
          <m:rPr>
            <m:sty m:val="p"/>
          </m:rPr>
          <m:t>+</m:t>
        </m:r>
        <m:r>
          <m:rPr>
            <m:sty m:val="i"/>
          </m:rPr>
          <m:t>C</m:t>
        </m:r>
        <m:r>
          <m:rPr>
            <m:sty m:val="i"/>
          </m:rPr>
          <m:t>O</m:t>
        </m:r>
        <m:r>
          <m:rPr>
            <m:sty m:val="p"/>
          </m:rPr>
          <m:t>(</m:t>
        </m:r>
        <m:r>
          <m:rPr>
            <m:sty m:val="i"/>
          </m:rPr>
          <m:t>g</m:t>
        </m:r>
        <m:r>
          <m:rPr>
            <m:sty m:val="p"/>
          </m:rPr>
          <m:t>)</m:t>
        </m:r>
      </m:oMath>
      <w:r>
        <w:rPr>
          <w:rFonts w:eastAsia="Georgia" w:cs="Georgia" w:ascii="Georgia" w:hAnsi="Georgia"/>
        </w:rPr>
        <w:t xml:space="preserve">. Déduire sa constante d'équilibre </w:t>
      </w:r>
      <m:oMath>
        <m:d>
          <m:dPr>
            <m:begChr m:val="("/>
            <m:endChr m:val=")"/>
            <m:ctrlPr>
              <w:rPr>
                <w:rFonts w:ascii="Cambria Math" w:hAnsi="Cambria Math"/>
              </w:rPr>
            </m:ctrlPr>
          </m:dPr>
          <m:e>
            <m:sSubSup>
              <m:sSubSupPr/>
              <m:e>
                <m:r>
                  <m:rPr>
                    <m:sty m:val="i"/>
                  </m:rPr>
                  <m:t>K</m:t>
                </m:r>
              </m:e>
              <m:sub>
                <m:r>
                  <m:rPr>
                    <m:sty m:val="p"/>
                  </m:rPr>
                  <m:t>5</m:t>
                </m:r>
              </m:sub>
              <m:sup>
                <m:r>
                  <m:rPr>
                    <m:sty m:val="p"/>
                  </m:rPr>
                  <m:t>0</m:t>
                </m:r>
              </m:sup>
            </m:sSubSup>
            <m:d>
              <m:dPr>
                <m:begChr m:val="("/>
                <m:endChr m:val=")"/>
                <m:ctrlPr>
                  <w:rPr>
                    <w:rFonts w:ascii="Cambria Math" w:hAnsi="Cambria Math"/>
                  </w:rPr>
                </m:ctrlPr>
              </m:dPr>
              <m:e>
                <m:sSup>
                  <m:sSupPr/>
                  <m:e>
                    <m:r>
                      <m:rPr>
                        <m:sty m:val="p"/>
                      </m:rPr>
                      <m:t>1000</m:t>
                    </m:r>
                  </m:e>
                  <m:sup>
                    <m:r>
                      <m:rPr>
                        <m:sty m:val="p"/>
                      </m:rPr>
                      <m:t>∘</m:t>
                    </m:r>
                  </m:sup>
                </m:sSup>
                <m:r>
                  <m:rPr>
                    <m:sty m:val="i"/>
                  </m:rPr>
                  <m:t>C</m:t>
                </m:r>
              </m:e>
            </m:d>
          </m:e>
        </m:d>
      </m:oMath>
      <w:r>
        <w:rPr/>
        <w:t xml:space="preserve"> des questions 26 et 29.</w:t>
      </w:r>
      <w:r>
        <w:rPr/>
        <w:br w:type="textWrapping"/>
      </w:r>
      <w:r>
        <w:rPr>
          <w:rFonts w:eastAsia="Georgia" w:cs="Georgia" w:ascii="Georgia" w:hAnsi="Georgia"/>
        </w:rPr>
        <w:t xml:space="preserve">31. Bilan : Pour obtenir du zinc à partir de l'oxyde de zinc, quelle réaction doit-on exploiter industriellement? A quelle température travaillera-t-on?</w:t>
      </w:r>
      <w:r>
        <w:rPr/>
        <w:br w:type="textWrapping"/>
      </w:r>
      <w:r>
        <w:rPr>
          <w:rFonts w:eastAsia="Georgia" w:cs="Georgia" w:ascii="Georgia" w:hAnsi="Georgia"/>
        </w:rPr>
        <w:t xml:space="preserve">32. Votre résultat est-il en accord avec l'exploitation de votre diagramme d'Ellingham ?</w:t>
      </w:r>
    </w:p>
    <w:p>
      <w:pPr>
        <w:spacing w:line="271" w:before="330" w:lineRule="auto"/>
      </w:pPr>
      <w:r>
        <w:rPr>
          <w:rFonts w:eastAsia="Georgia" w:cs="Georgia" w:ascii="Georgia" w:hAnsi="Georgia"/>
          <w:b/>
          <w:sz w:val="42"/>
        </w:rPr>
        <w:t xml:space="preserve">Partie 3: Nocivité du CO pour l'organisme</w:t>
      </w:r>
    </w:p>
    <w:p>
      <w:pPr>
        <w:spacing w:after="220" w:lineRule="auto"/>
      </w:pPr>
      <w:r>
        <w:rPr>
          <w:rFonts w:eastAsia="Georgia" w:cs="Georgia" w:ascii="Georgia" w:hAnsi="Georgia"/>
        </w:rPr>
        <w:t xml:space="preserve">Dans le corps humain, au niveau des poumons, le dioxygène gazeux se fixe par complexation sur l'hémoglobine (notée Hb ) du sang et forme de l'oxyhémoglobine: </w:t>
      </w:r>
      <m:oMath>
        <m:sSub>
          <m:sSubPr/>
          <m:e>
            <m:r>
              <m:rPr>
                <m:sty m:val="p"/>
              </m:rPr>
              <m:t>HbO</m:t>
            </m:r>
          </m:e>
          <m:sub>
            <m:r>
              <m:rPr>
                <m:sty m:val="p"/>
              </m:rPr>
              <m:t>2</m:t>
            </m:r>
          </m:sub>
        </m:sSub>
      </m:oMath>
      <w:r>
        <w:rPr>
          <w:rFonts w:eastAsia="Georgia" w:cs="Georgia" w:ascii="Georgia" w:hAnsi="Georgia"/>
        </w:rPr>
        <w:t xml:space="preserve">. Cette molécule permet ensuite de véhiculer le dioxygène jusqu'aux organes.</w:t>
      </w:r>
      <w:r>
        <w:rPr/>
        <w:br w:type="textWrapping"/>
      </w:r>
      <w:r>
        <w:rPr>
          <w:rFonts w:eastAsia="Georgia" w:cs="Georgia" w:ascii="Georgia" w:hAnsi="Georgia"/>
        </w:rPr>
        <w:t xml:space="preserve">Le monoxyde de carbone a la propriété de réagir avec l'oxyhémoglobine suivant la réaction :</w:t>
      </w:r>
    </w:p>
    <w:p>
      <w:pPr>
        <w:spacing w:after="220" w:lineRule="auto"/>
      </w:pPr>
      <m:oMathPara>
        <m:oMath>
          <m:sSub>
            <m:sSubPr/>
            <m:e>
              <m:r>
                <m:rPr>
                  <m:sty m:val="p"/>
                </m:rPr>
                <m:t>HbO</m:t>
              </m:r>
            </m:e>
            <m:sub>
              <m:r>
                <m:rPr>
                  <m:sty m:val="p"/>
                </m:rPr>
                <m:t>2</m:t>
              </m:r>
            </m:sub>
          </m:sSub>
          <m:r>
            <m:rPr>
              <m:sty m:val="p"/>
            </m:rPr>
            <m:t>+</m:t>
          </m:r>
          <m:r>
            <m:rPr>
              <m:sty m:val="p"/>
            </m:rPr>
            <m:t>CO</m:t>
          </m:r>
          <m:r>
            <m:rPr>
              <m:sty m:val="p"/>
            </m:rPr>
            <m:t>=</m:t>
          </m:r>
          <m:r>
            <m:rPr>
              <m:sty m:val="p"/>
            </m:rPr>
            <m:t>HbCO</m:t>
          </m:r>
          <m:r>
            <m:rPr>
              <m:sty m:val="p"/>
            </m:rPr>
            <m:t>+</m:t>
          </m:r>
          <m:sSub>
            <m:sSubPr/>
            <m:e>
              <m:r>
                <m:rPr>
                  <m:sty m:val="p"/>
                </m:rPr>
                <m:t>O</m:t>
              </m:r>
            </m:e>
            <m:sub>
              <m:r>
                <m:rPr>
                  <m:sty m:val="p"/>
                </m:rPr>
                <m:t>2</m:t>
              </m:r>
            </m:sub>
          </m:sSub>
          <m:r>
            <m:rPr>
              <m:sty m:val="p"/>
            </m:rPr>
            <m:t>.</m:t>
          </m:r>
        </m:oMath>
      </m:oMathPara>
    </w:p>
    <w:p>
      <w:pPr>
        <w:spacing w:after="220" w:lineRule="auto"/>
      </w:pPr>
      <w:r>
        <w:rPr>
          <w:rFonts w:eastAsia="Georgia" w:cs="Georgia" w:ascii="Georgia" w:hAnsi="Georgia"/>
        </w:rPr>
        <w:t xml:space="preserve">La constante de réaction vaut </w:t>
      </w:r>
      <m:oMath>
        <m:r>
          <m:rPr>
            <m:sty m:val="i"/>
          </m:rPr>
          <m:t>K</m:t>
        </m:r>
        <m:r>
          <m:rPr>
            <m:sty m:val="p"/>
          </m:rPr>
          <m:t>=</m:t>
        </m:r>
        <m:r>
          <m:rPr>
            <m:sty m:val="p"/>
          </m:rPr>
          <m:t>210</m:t>
        </m:r>
      </m:oMath>
      <w:r>
        <w:rPr>
          <w:rFonts w:eastAsia="Georgia" w:cs="Georgia" w:ascii="Georgia" w:hAnsi="Georgia"/>
        </w:rPr>
        <w:t xml:space="preserve"> à </w:t>
      </w:r>
      <m:oMath>
        <m:sSup>
          <m:sSupPr/>
          <m:e>
            <m:r>
              <m:rPr>
                <m:sty m:val="p"/>
              </m:rPr>
              <m:t>25</m:t>
            </m:r>
          </m:e>
          <m:sup>
            <m:r>
              <m:rPr>
                <m:sty m:val="p"/>
              </m:rPr>
              <m:t>∘</m:t>
            </m:r>
          </m:sup>
        </m:sSup>
        <m:r>
          <m:rPr>
            <m:sty m:val="p"/>
          </m:rPr>
          <m:t>C</m:t>
        </m:r>
      </m:oMath>
      <w:r>
        <w:rPr>
          <w:rFonts w:eastAsia="Georgia" w:cs="Georgia" w:ascii="Georgia" w:hAnsi="Georgia"/>
        </w:rPr>
        <w:t xml:space="preserve">. Ainsi lors de l'inhalation d'un air contenant un mélange de dioxygène et de monoxyde de carbone, ce dernier sera fixé à l'hémoglobine de façon privilégiée. Les organes du corps ne sont alors plus alimentés en dioxygène : c'est l'intoxication.</w:t>
      </w:r>
    </w:p>
    <w:p>
      <w:pPr>
        <w:spacing w:after="220" w:lineRule="auto"/>
      </w:pPr>
      <w:r>
        <w:rPr>
          <w:rFonts w:eastAsia="Georgia" w:cs="Georgia" w:ascii="Georgia" w:hAnsi="Georgia"/>
        </w:rPr>
        <w:t xml:space="preserve">Les signes cliniques d'une intoxication vont du malaise jusqu'à la mort selon le pourcentage de monoxyde de carbone gazeux présent dans l'air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 de </w:t>
            </w:r>
            <m:oMath>
              <m:r>
                <m:rPr>
                  <m:sty m:val="i"/>
                </m:rPr>
                <m:t>C</m:t>
              </m:r>
              <m:r>
                <m:rPr>
                  <m:sty m:val="i"/>
                </m:rPr>
                <m:t>O</m:t>
              </m:r>
              <m:r>
                <m:rPr>
                  <m:sty m:val="p"/>
                </m:rPr>
                <m:t>(</m:t>
              </m:r>
              <m:r>
                <m:rPr>
                  <m:sty m:val="i"/>
                </m:rPr>
                <m:t>g</m:t>
              </m:r>
              <m:r>
                <m:rPr>
                  <m:sty m:val="p"/>
                </m:rPr>
                <m:t>)</m:t>
              </m:r>
            </m:oMath>
            <w:r>
              <w:rPr/>
              <w:t xml:space="preserve"> dans l'air</w:t>
            </w:r>
          </w:p>
        </w:tc>
        <w:tc>
          <w:tcPr>
            <w:tcBorders>
              <w:top w:val="single" w:sz="8" w:space="0" w:color="000000"/>
              <w:bottom w:val="single" w:sz="8" w:space="0" w:color="000000"/>
              <w:right w:val="single" w:sz="8" w:space="0" w:color="000000"/>
            </w:tcBorders>
            <w:vAlign w:val="center"/>
          </w:tcPr>
          <w:p>
            <w:pPr>
              <w:spacing w:lineRule="auto"/>
              <w:jc w:val="left"/>
            </w:pPr>
            <w:r>
              <w:rPr/>
              <w:t xml:space="preserve">Effets sur l'organisme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0,0035%</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Maux de tête et étourdissement dans un délai de six à huit heures après le début d'une exposition prolongée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0,01% à 0,02%</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Légers maux de tête au bout de deux à trois heures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0,04%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Céphalées frontales survenant dans un délai d'une à deux heures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0,08%</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Etourdissements, nausées, convulsions apparaissant dans un délai de 45 minutes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0,16%</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Maux de tête, vertiges, nausées apparaissant dans un délai de 20 minutes. Issue mortelle en moins de deux heures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0,32%</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Maux de tête, étourdissements et nausées au bout de cinq à dix minutes. Décès survenant dans les 30 minutes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0,64%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Maux de tête et vertiges apparaissant en une à deux minutes. La mort survient en moins de 20 minutes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1,28%</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Perte de connaissance après 2 à 3 respirations. La mort survient en moins de 3 minutes</w:t>
            </w:r>
          </w:p>
        </w:tc>
      </w:tr>
    </w:tbl>
    <w:p>
      <w:pPr>
        <w:spacing w:lineRule="auto"/>
      </w:pPr>
    </w:p>
    <w:p>
      <w:pPr>
        <w:spacing w:after="220" w:lineRule="auto"/>
      </w:pPr>
      <w:r>
        <w:rPr>
          <w:rFonts w:eastAsia="Georgia" w:cs="Georgia" w:ascii="Georgia" w:hAnsi="Georgia"/>
        </w:rPr>
        <w:t xml:space="preserve">Lors de la pyrométallurgie du zinc, nous avons constaté dans la partie précédente que le monoxyde de carbone était présent dans les processus réactionnels. Les professionnels de l'industrie métallurgique se trouvent ainsi potentiellement au contact du monoxyde de carbone : ils constituent une population à risque particulièrement exposée. Dès lors qu'une intoxication est suspectée, il devient nécessaire de connaître le pourcentage de </w:t>
      </w:r>
      <m:oMath>
        <m:r>
          <m:rPr>
            <m:sty m:val="i"/>
          </m:rPr>
          <m:t>C</m:t>
        </m:r>
        <m:r>
          <m:rPr>
            <m:sty m:val="i"/>
          </m:rPr>
          <m:t>O</m:t>
        </m:r>
      </m:oMath>
      <w:r>
        <w:rPr>
          <w:rFonts w:eastAsia="Georgia" w:cs="Georgia" w:ascii="Georgia" w:hAnsi="Georgia"/>
        </w:rPr>
        <w:t xml:space="preserve"> présent dans le sang pour fournir au patient le traitement médical le plus approprié, ou bien vérifier, le cas échéant, la cause du décès.</w:t>
      </w:r>
    </w:p>
    <w:p>
      <w:pPr>
        <w:spacing w:after="220" w:lineRule="auto"/>
      </w:pPr>
      <w:r>
        <w:rPr>
          <w:rFonts w:eastAsia="Georgia" w:cs="Georgia" w:ascii="Georgia" w:hAnsi="Georgia"/>
        </w:rPr>
        <w:t xml:space="preserve">Deux techniques principales sont exploitées :</w:t>
      </w:r>
    </w:p>
    <w:p>
      <w:pPr>
        <w:numPr>
          <w:ilvl w:val="0"/>
          <w:numId w:val="2"/>
        </w:numPr>
        <w:spacing w:lineRule="auto"/>
      </w:pPr>
      <w:r>
        <w:rPr>
          <w:rFonts w:eastAsia="Georgia" w:cs="Georgia" w:ascii="Georgia" w:hAnsi="Georgia"/>
        </w:rPr>
        <w:t xml:space="preserve">une méthode colorimétrique (méthode par microdiffusion associée à la méthode de Truhaut Boudène)</w:t>
      </w:r>
    </w:p>
    <w:p>
      <w:pPr>
        <w:numPr>
          <w:ilvl w:val="0"/>
          <w:numId w:val="2"/>
        </w:numPr>
        <w:spacing w:lineRule="auto"/>
      </w:pPr>
      <w:r>
        <w:rPr>
          <w:rFonts w:eastAsia="Georgia" w:cs="Georgia" w:ascii="Georgia" w:hAnsi="Georgia"/>
        </w:rPr>
        <w:t xml:space="preserve">une méthode spectroscopique permettant une évaluation directe du pourcentage de HbCO .</w:t>
      </w:r>
    </w:p>
    <w:p>
      <w:pPr>
        <w:spacing w:line="271" w:before="330" w:lineRule="auto"/>
      </w:pPr>
      <w:r>
        <w:rPr>
          <w:rFonts w:eastAsia="Georgia" w:cs="Georgia" w:ascii="Georgia" w:hAnsi="Georgia"/>
          <w:b/>
          <w:sz w:val="42"/>
        </w:rPr>
        <w:t xml:space="preserve">Méthode par microdiffusion</w:t>
      </w:r>
    </w:p>
    <w:p>
      <w:pPr>
        <w:spacing w:after="220" w:lineRule="auto"/>
      </w:pPr>
      <w:r>
        <w:rPr/>
        <w:t xml:space="preserve">Principe de la manipulation :</w:t>
      </w:r>
      <w:r>
        <w:rPr/>
        <w:br w:type="textWrapping"/>
      </w:r>
      <w:r>
        <w:rPr>
          <w:rFonts w:eastAsia="Georgia" w:cs="Georgia" w:ascii="Georgia" w:hAnsi="Georgia"/>
        </w:rPr>
        <w:t xml:space="preserve">Le sang à analyser est imprégné d'un réactif dénaturant la HbCO (méthode de Truhaut Boudène) afin de libérer l'intégralité du monoxyde de carbone préalablement capté par l'hémoglobine.</w:t>
      </w:r>
      <w:r>
        <w:rPr/>
        <w:br w:type="textWrapping"/>
      </w:r>
      <w:r>
        <w:rPr>
          <w:rFonts w:eastAsia="Georgia" w:cs="Georgia" w:ascii="Georgia" w:hAnsi="Georgia"/>
        </w:rPr>
        <w:t xml:space="preserve">On fait ensuite réagir le </w:t>
      </w:r>
      <m:oMath>
        <m:r>
          <m:rPr>
            <m:sty m:val="i"/>
          </m:rPr>
          <m:t>C</m:t>
        </m:r>
        <m:r>
          <m:rPr>
            <m:sty m:val="i"/>
          </m:rPr>
          <m:t>O</m:t>
        </m:r>
        <m:r>
          <m:rPr>
            <m:sty m:val="p"/>
          </m:rPr>
          <m:t>(</m:t>
        </m:r>
        <m:r>
          <m:rPr>
            <m:sty m:val="i"/>
          </m:rPr>
          <m:t>g</m:t>
        </m:r>
        <m:r>
          <m:rPr>
            <m:sty m:val="p"/>
          </m:rPr>
          <m:t>)</m:t>
        </m:r>
      </m:oMath>
      <w:r>
        <w:rPr>
          <w:rFonts w:eastAsia="Georgia" w:cs="Georgia" w:ascii="Georgia" w:hAnsi="Georgia"/>
        </w:rPr>
        <w:t xml:space="preserve"> libéré avec une solution de chlorure de palladium ( </w:t>
      </w:r>
      <m:oMath>
        <m:sSup>
          <m:sSupPr/>
          <m:e>
            <m:r>
              <m:rPr>
                <m:sty m:val="p"/>
              </m:rPr>
              <m:t>Pd</m:t>
            </m:r>
          </m:e>
          <m:sup>
            <m:r>
              <m:rPr>
                <m:sty m:val="p"/>
              </m:rPr>
              <m:t>2</m:t>
            </m:r>
            <m:r>
              <m:rPr>
                <m:sty m:val="p"/>
              </m:rPr>
              <m:t>+</m:t>
            </m:r>
          </m:sup>
        </m:sSup>
        <m:r>
          <m:rPr>
            <m:sty m:val="p"/>
          </m:rPr>
          <m:t>+</m:t>
        </m:r>
        <m:r>
          <m:rPr>
            <m:sty m:val="p"/>
          </m:rPr>
          <m:t>2</m:t>
        </m:r>
        <m:r>
          <m:rPr>
            <m:sty m:val="i"/>
          </m:rPr>
          <m:t>C</m:t>
        </m:r>
        <m:sSup>
          <m:sSupPr/>
          <m:e>
            <m:r>
              <m:rPr>
                <m:sty m:val="i"/>
              </m:rPr>
              <m:t>ℓ</m:t>
            </m:r>
          </m:e>
          <m:sup>
            <m:r>
              <m:rPr>
                <m:sty m:val="p"/>
              </m:rPr>
              <m:t>−</m:t>
            </m:r>
          </m:sup>
        </m:sSup>
      </m:oMath>
      <w:r>
        <w:rPr/>
        <w:t xml:space="preserve">).</w:t>
      </w:r>
      <w:r>
        <w:rPr/>
        <w:br w:type="textWrapping"/>
      </w:r>
      <w:r>
        <w:rPr>
          <w:rFonts w:eastAsia="Georgia" w:cs="Georgia" w:ascii="Georgia" w:hAnsi="Georgia"/>
        </w:rPr>
        <w:t xml:space="preserve">Les produits obtenus sont du dioxyde de carbone gazeux et du palladium métallique (sous forme solide).</w:t>
      </w:r>
      <w:r>
        <w:rPr/>
        <w:br w:type="textWrapping"/>
      </w:r>
      <w:r>
        <w:rPr>
          <w:rFonts w:eastAsia="Georgia" w:cs="Georgia" w:ascii="Georgia" w:hAnsi="Georgia"/>
        </w:rPr>
        <w:t xml:space="preserve">Enfin, le palladium est titré par une méthode colorimétrique (non détaillée dans ce sujet).</w:t>
      </w:r>
      <w:r>
        <w:rPr/>
        <w:br w:type="textWrapping"/>
      </w:r>
      <w:r>
        <w:rPr>
          <w:rFonts w:eastAsia="Georgia" w:cs="Georgia" w:ascii="Georgia" w:hAnsi="Georgia"/>
        </w:rPr>
        <w:t xml:space="preserve">33. Ecrire les demi-réactions des couples impliquant </w:t>
      </w:r>
      <m:oMath>
        <m:r>
          <m:rPr>
            <m:sty m:val="i"/>
          </m:rPr>
          <m:t>C</m:t>
        </m:r>
        <m:r>
          <m:rPr>
            <m:sty m:val="i"/>
          </m:rPr>
          <m:t>O</m:t>
        </m:r>
        <m:r>
          <m:rPr>
            <m:sty m:val="p"/>
          </m:rPr>
          <m:t>(</m:t>
        </m:r>
        <m:r>
          <m:rPr>
            <m:sty m:val="i"/>
          </m:rPr>
          <m:t>g</m:t>
        </m:r>
        <m:r>
          <m:rPr>
            <m:sty m:val="p"/>
          </m:rPr>
          <m:t>)</m:t>
        </m:r>
      </m:oMath>
      <w:r>
        <w:rPr/>
        <w:t xml:space="preserve"> et </w:t>
      </w:r>
      <m:oMath>
        <m:sSup>
          <m:sSupPr/>
          <m:e>
            <m:r>
              <m:rPr>
                <m:sty m:val="p"/>
              </m:rPr>
              <m:t>Pd</m:t>
            </m:r>
          </m:e>
          <m:sup>
            <m:r>
              <m:rPr>
                <m:sty m:val="p"/>
              </m:rPr>
              <m:t>2</m:t>
            </m:r>
            <m:r>
              <m:rPr>
                <m:sty m:val="p"/>
              </m:rPr>
              <m:t>+</m:t>
            </m:r>
          </m:sup>
        </m:sSup>
        <m:r>
          <m:rPr>
            <m:sty m:val="p"/>
          </m:rPr>
          <m:t>(</m:t>
        </m:r>
        <m:r>
          <m:rPr>
            <m:sty m:val="i"/>
          </m:rPr>
          <m:t>a</m:t>
        </m:r>
        <m:r>
          <m:rPr>
            <m:sty m:val="i"/>
          </m:rPr>
          <m:t>q</m:t>
        </m:r>
        <m:r>
          <m:rPr>
            <m:sty m:val="p"/>
          </m:rPr>
          <m:t>)</m:t>
        </m:r>
      </m:oMath>
      <w:r>
        <w:rPr>
          <w:rFonts w:eastAsia="Georgia" w:cs="Georgia" w:ascii="Georgia" w:hAnsi="Georgia"/>
        </w:rPr>
        <w:t xml:space="preserve">. En déduire l'équation bilan de la réaction.</w:t>
      </w:r>
      <w:r>
        <w:rPr/>
        <w:br w:type="textWrapping"/>
      </w:r>
      <w:r>
        <w:rPr>
          <w:rFonts w:eastAsia="Georgia" w:cs="Georgia" w:ascii="Georgia" w:hAnsi="Georgia"/>
        </w:rPr>
        <w:t xml:space="preserve">34. Ecrire l'expression du quotient de réaction à l'équilibre de la réaction précédente.</w:t>
      </w:r>
      <w:r>
        <w:rPr/>
        <w:br w:type="textWrapping"/>
      </w:r>
      <w:r>
        <w:rPr>
          <w:rFonts w:eastAsia="Georgia" w:cs="Georgia" w:ascii="Georgia" w:hAnsi="Georgia"/>
        </w:rPr>
        <w:t xml:space="preserve">35. En utilisant les expressions de Nernst des couples impliqués, déterminer l'expression de la constante de réaction en fonction des potentiels standards. Calculer l'ordre de grandeur de sa valeur numérique.</w:t>
      </w:r>
      <w:r>
        <w:rPr/>
        <w:br w:type="textWrapping"/>
      </w:r>
      <w:r>
        <w:rPr>
          <w:rFonts w:eastAsia="Georgia" w:cs="Georgia" w:ascii="Georgia" w:hAnsi="Georgia"/>
        </w:rPr>
        <w:t xml:space="preserve">36. Que peut-on conclure à la vue de vos résultats précédents ?</w:t>
      </w:r>
      <w:r>
        <w:rPr/>
        <w:br w:type="textWrapping"/>
      </w:r>
      <w:r>
        <w:rPr>
          <w:rFonts w:eastAsia="Georgia" w:cs="Georgia" w:ascii="Georgia" w:hAnsi="Georgia"/>
        </w:rPr>
        <w:t xml:space="preserve">37. Expliquer qualitativement, mais de façon suffisamment détaillée, comment le titrage du palladium formé permet de connaître le pourcentage de </w:t>
      </w:r>
      <m:oMath>
        <m:r>
          <m:rPr>
            <m:sty m:val="i"/>
          </m:rPr>
          <m:t>C</m:t>
        </m:r>
        <m:r>
          <m:rPr>
            <m:sty m:val="i"/>
          </m:rPr>
          <m:t>O</m:t>
        </m:r>
      </m:oMath>
      <w:r>
        <w:rPr>
          <w:rFonts w:eastAsia="Georgia" w:cs="Georgia" w:ascii="Georgia" w:hAnsi="Georgia"/>
        </w:rPr>
        <w:t xml:space="preserve"> fixé à l'hémoglobine du sang.</w:t>
      </w:r>
    </w:p>
    <w:p>
      <w:pPr>
        <w:spacing w:line="271" w:before="330" w:lineRule="auto"/>
      </w:pPr>
      <w:r>
        <w:rPr>
          <w:rFonts w:eastAsia="Georgia" w:cs="Georgia" w:ascii="Georgia" w:hAnsi="Georgia"/>
          <w:b/>
          <w:sz w:val="42"/>
        </w:rPr>
        <w:t xml:space="preserve">Méthode spectroscopique</w:t>
      </w:r>
    </w:p>
    <w:p>
      <w:pPr>
        <w:spacing w:after="220" w:lineRule="auto"/>
      </w:pPr>
      <w:r>
        <w:rPr>
          <w:rFonts w:eastAsia="Georgia" w:cs="Georgia" w:ascii="Georgia" w:hAnsi="Georgia"/>
        </w:rPr>
        <w:t xml:space="preserve">Le principe de cette méthode repose sur la dissociation des caractéristiques spectrales des différentes hémoglobines.</w:t>
      </w:r>
    </w:p>
    <w:p>
      <w:pPr>
        <w:spacing w:after="220" w:lineRule="auto"/>
      </w:pPr>
      <w:r>
        <w:rPr>
          <w:rFonts w:eastAsia="Georgia" w:cs="Georgia" w:ascii="Georgia" w:hAnsi="Georgia"/>
        </w:rPr>
        <w:t xml:space="preserve">L'oxyhémoglobine ( </w:t>
      </w:r>
      <m:oMath>
        <m:sSub>
          <m:sSubPr/>
          <m:e>
            <m:r>
              <m:rPr>
                <m:sty m:val="p"/>
              </m:rPr>
              <m:t>HbO</m:t>
            </m:r>
          </m:e>
          <m:sub>
            <m:r>
              <m:rPr>
                <m:sty m:val="p"/>
              </m:rPr>
              <m:t>2</m:t>
            </m:r>
          </m:sub>
        </m:sSub>
      </m:oMath>
      <w:r>
        <w:rPr>
          <w:rFonts w:eastAsia="Georgia" w:cs="Georgia" w:ascii="Georgia" w:hAnsi="Georgia"/>
        </w:rPr>
        <w:t xml:space="preserve"> ) présente deux bandes d'absorption dans le visible </w:t>
      </w:r>
      <m:oMath>
        <m:sSub>
          <m:sSubPr/>
          <m:e>
            <m:r>
              <m:rPr>
                <m:sty m:val="i"/>
              </m:rPr>
              <m:t>λ</m:t>
            </m:r>
          </m:e>
          <m:sub>
            <m:r>
              <m:rPr>
                <m:sty m:val="p"/>
              </m:rPr>
              <m:t>1</m:t>
            </m:r>
          </m:sub>
        </m:sSub>
        <m:r>
          <m:rPr>
            <m:sty m:val="p"/>
          </m:rPr>
          <m:t>=</m:t>
        </m:r>
        <m:r>
          <m:rPr>
            <m:sty m:val="p"/>
          </m:rPr>
          <m:t>576</m:t>
        </m:r>
        <m:r>
          <m:rPr>
            <m:sty m:val="p"/>
          </m:rPr>
          <m:t>,</m:t>
        </m:r>
        <m:r>
          <m:rPr>
            <m:sty m:val="p"/>
          </m:rPr>
          <m:t>5</m:t>
        </m:r>
        <m:r>
          <m:rPr>
            <m:nor/>
          </m:rPr>
          <m:t xml:space="preserve"> </m:t>
        </m:r>
        <m:r>
          <m:rPr>
            <m:sty m:val="p"/>
          </m:rPr>
          <m:t>nm</m:t>
        </m:r>
      </m:oMath>
      <w:r>
        <w:rPr/>
        <w:t xml:space="preserve"> et </w:t>
      </w:r>
      <m:oMath>
        <m:sSub>
          <m:sSubPr/>
          <m:e>
            <m:r>
              <m:rPr>
                <m:sty m:val="i"/>
              </m:rPr>
              <m:t>λ</m:t>
            </m:r>
          </m:e>
          <m:sub>
            <m:r>
              <m:rPr>
                <m:sty m:val="p"/>
              </m:rPr>
              <m:t>2</m:t>
            </m:r>
          </m:sub>
        </m:sSub>
        <m:r>
          <m:rPr>
            <m:sty m:val="p"/>
          </m:rPr>
          <m:t>=</m:t>
        </m:r>
        <m:r>
          <m:rPr>
            <m:sty m:val="p"/>
          </m:rPr>
          <m:t>541</m:t>
        </m:r>
        <m:r>
          <m:rPr>
            <m:sty m:val="p"/>
          </m:rPr>
          <m:t>,</m:t>
        </m:r>
        <m:r>
          <m:rPr>
            <m:sty m:val="p"/>
          </m:rPr>
          <m:t>5</m:t>
        </m:r>
        <m:r>
          <m:rPr>
            <m:nor/>
          </m:rPr>
          <m:t xml:space="preserve"> </m:t>
        </m:r>
        <m:r>
          <m:rPr>
            <m:sty m:val="p"/>
          </m:rPr>
          <m:t>nm</m:t>
        </m:r>
      </m:oMath>
      <w:r>
        <w:rPr/>
        <w:t xml:space="preserve"> et un minimum relatif de </w:t>
      </w:r>
      <m:oMath>
        <m:sSub>
          <m:sSubPr/>
          <m:e>
            <m:r>
              <m:rPr>
                <m:sty m:val="i"/>
              </m:rPr>
              <m:t>λ</m:t>
            </m:r>
          </m:e>
          <m:sub>
            <m:r>
              <m:rPr>
                <m:sty m:val="p"/>
              </m:rPr>
              <m:t>3</m:t>
            </m:r>
          </m:sub>
        </m:sSub>
        <m:r>
          <m:rPr>
            <m:sty m:val="p"/>
          </m:rPr>
          <m:t>=</m:t>
        </m:r>
        <m:r>
          <m:rPr>
            <m:sty m:val="p"/>
          </m:rPr>
          <m:t>560</m:t>
        </m:r>
        <m:r>
          <m:rPr>
            <m:sty m:val="p"/>
          </m:rPr>
          <m:t>,</m:t>
        </m:r>
        <m:r>
          <m:rPr>
            <m:sty m:val="p"/>
          </m:rPr>
          <m:t>5</m:t>
        </m:r>
        <m:r>
          <m:rPr>
            <m:nor/>
          </m:rPr>
          <m:t xml:space="preserve"> </m:t>
        </m:r>
        <m:r>
          <m:rPr>
            <m:sty m:val="p"/>
          </m:rPr>
          <m:t>nm</m:t>
        </m:r>
      </m:oMath>
      <w:r>
        <w:rPr>
          <w:rFonts w:eastAsia="Georgia" w:cs="Georgia" w:ascii="Georgia" w:hAnsi="Georgia"/>
        </w:rPr>
        <w:t xml:space="preserve"> alors que la carboxyhémoglobine </w:t>
      </w:r>
      <m:oMath>
        <m:r>
          <m:rPr>
            <m:sty m:val="p"/>
          </m:rPr>
          <m:t>(</m:t>
        </m:r>
        <m:r>
          <m:rPr>
            <m:sty m:val="p"/>
          </m:rPr>
          <m:t>HbCO</m:t>
        </m:r>
        <m:r>
          <m:rPr>
            <m:sty m:val="p"/>
          </m:rPr>
          <m:t>)</m:t>
        </m:r>
      </m:oMath>
      <w:r>
        <w:rPr>
          <w:rFonts w:eastAsia="Georgia" w:cs="Georgia" w:ascii="Georgia" w:hAnsi="Georgia"/>
        </w:rPr>
        <w:t xml:space="preserve"> présente également deux bandes d'absorption mais dont les extrema sont légèrement décalés </w:t>
      </w:r>
      <m:oMath>
        <m:sSubSup>
          <m:sSubSupPr/>
          <m:e>
            <m:r>
              <m:rPr>
                <m:sty m:val="i"/>
              </m:rPr>
              <m:t>λ</m:t>
            </m:r>
          </m:e>
          <m:sub>
            <m:r>
              <m:rPr>
                <m:sty m:val="p"/>
              </m:rPr>
              <m:t>1</m:t>
            </m:r>
          </m:sub>
          <m:sup>
            <m:r>
              <m:rPr>
                <m:sty m:val="i"/>
              </m:rPr>
              <m:t>′</m:t>
            </m:r>
          </m:sup>
        </m:sSubSup>
        <m:r>
          <m:rPr>
            <m:sty m:val="p"/>
          </m:rPr>
          <m:t>=</m:t>
        </m:r>
        <m:r>
          <m:rPr>
            <m:sty m:val="p"/>
          </m:rPr>
          <m:t>569</m:t>
        </m:r>
        <m:r>
          <m:rPr>
            <m:nor/>
          </m:rPr>
          <m:t xml:space="preserve"> </m:t>
        </m:r>
        <m:r>
          <m:rPr>
            <m:sty m:val="p"/>
          </m:rPr>
          <m:t>nm</m:t>
        </m:r>
        <m:r>
          <m:rPr>
            <m:sty m:val="p"/>
          </m:rPr>
          <m:t>;</m:t>
        </m:r>
        <m:sSubSup>
          <m:sSubSupPr/>
          <m:e>
            <m:r>
              <m:rPr>
                <m:sty m:val="i"/>
              </m:rPr>
              <m:t>λ</m:t>
            </m:r>
          </m:e>
          <m:sub>
            <m:r>
              <m:rPr>
                <m:sty m:val="p"/>
              </m:rPr>
              <m:t>2</m:t>
            </m:r>
          </m:sub>
          <m:sup>
            <m:r>
              <m:rPr>
                <m:sty m:val="i"/>
              </m:rPr>
              <m:t>′</m:t>
            </m:r>
          </m:sup>
        </m:sSubSup>
        <m:r>
          <m:rPr>
            <m:sty m:val="p"/>
          </m:rPr>
          <m:t>=</m:t>
        </m:r>
        <m:r>
          <m:rPr>
            <m:sty m:val="p"/>
          </m:rPr>
          <m:t>539</m:t>
        </m:r>
        <m:r>
          <m:rPr>
            <m:nor/>
          </m:rPr>
          <m:t xml:space="preserve"> </m:t>
        </m:r>
        <m:r>
          <m:rPr>
            <m:sty m:val="p"/>
          </m:rPr>
          <m:t>nm</m:t>
        </m:r>
        <m:r>
          <m:rPr>
            <m:sty m:val="p"/>
          </m:rPr>
          <m:t>;</m:t>
        </m:r>
        <m:sSubSup>
          <m:sSubSupPr/>
          <m:e>
            <m:r>
              <m:rPr>
                <m:sty m:val="i"/>
              </m:rPr>
              <m:t>λ</m:t>
            </m:r>
          </m:e>
          <m:sub>
            <m:r>
              <m:rPr>
                <m:sty m:val="p"/>
              </m:rPr>
              <m:t>3</m:t>
            </m:r>
          </m:sub>
          <m:sup>
            <m:r>
              <m:rPr>
                <m:sty m:val="i"/>
              </m:rPr>
              <m:t>′</m:t>
            </m:r>
          </m:sup>
        </m:sSubSup>
        <m:r>
          <m:rPr>
            <m:sty m:val="p"/>
          </m:rPr>
          <m:t>=</m:t>
        </m:r>
        <m:r>
          <m:rPr>
            <m:sty m:val="p"/>
          </m:rPr>
          <m:t>554</m:t>
        </m:r>
        <m:r>
          <m:rPr>
            <m:sty m:val="p"/>
          </m:rPr>
          <m:t>,</m:t>
        </m:r>
        <m:r>
          <m:rPr>
            <m:sty m:val="p"/>
          </m:rPr>
          <m:t>5</m:t>
        </m:r>
        <m:r>
          <m:rPr>
            <m:nor/>
          </m:rPr>
          <m:t xml:space="preserve"> </m:t>
        </m:r>
        <m:r>
          <m:rPr>
            <m:sty m:val="p"/>
          </m:rPr>
          <m:t>nm</m:t>
        </m:r>
      </m:oMath>
      <w:r>
        <w:rPr/>
        <w:t xml:space="preserve"> (voir spectre </w:t>
      </w:r>
      <m:oMath>
        <m:sSup>
          <m:sSupPr/>
          <m:e>
            <m:r>
              <m:rPr>
                <m:sty m:val="p"/>
              </m:rPr>
              <m:t>n</m:t>
            </m:r>
          </m:e>
          <m:sup>
            <m:r>
              <m:rPr>
                <m:sty m:val="p"/>
              </m:rPr>
              <m:t>∘</m:t>
            </m:r>
          </m:sup>
        </m:sSup>
        <m:r>
          <m:rPr>
            <m:sty m:val="p"/>
          </m:rPr>
          <m:t>1</m:t>
        </m:r>
      </m:oMath>
      <w:r>
        <w:rPr>
          <w:rFonts w:eastAsia="Georgia" w:cs="Georgia" w:ascii="Georgia" w:hAnsi="Georgia"/>
        </w:rPr>
        <w:t xml:space="preserve"> ). En outre, le rapport des absorbances prises à </w:t>
      </w:r>
      <m:oMath>
        <m:sSub>
          <m:sSubPr/>
          <m:e>
            <m:r>
              <m:rPr>
                <m:sty m:val="i"/>
              </m:rPr>
              <m:t>λ</m:t>
            </m:r>
          </m:e>
          <m:sub>
            <m:r>
              <m:rPr>
                <m:sty m:val="p"/>
              </m:rPr>
              <m:t>1</m:t>
            </m:r>
          </m:sub>
        </m:sSub>
        <m:r>
          <m:rPr>
            <m:sty m:val="p"/>
          </m:rPr>
          <m:t>=</m:t>
        </m:r>
        <m:r>
          <m:rPr>
            <m:sty m:val="p"/>
          </m:rPr>
          <m:t>576</m:t>
        </m:r>
        <m:r>
          <m:rPr>
            <m:sty m:val="p"/>
          </m:rPr>
          <m:t>,</m:t>
        </m:r>
        <m:r>
          <m:rPr>
            <m:sty m:val="p"/>
          </m:rPr>
          <m:t>5</m:t>
        </m:r>
        <m:r>
          <m:rPr>
            <m:nor/>
          </m:rPr>
          <m:t xml:space="preserve"> </m:t>
        </m:r>
        <m:r>
          <m:rPr>
            <m:sty m:val="p"/>
          </m:rPr>
          <m:t>nm</m:t>
        </m:r>
      </m:oMath>
      <w:r>
        <w:rPr>
          <w:rFonts w:eastAsia="Georgia" w:cs="Georgia" w:ascii="Georgia" w:hAnsi="Georgia"/>
        </w:rPr>
        <w:t xml:space="preserve"> et à </w:t>
      </w:r>
      <m:oMath>
        <m:sSub>
          <m:sSubPr/>
          <m:e>
            <m:r>
              <m:rPr>
                <m:sty m:val="i"/>
              </m:rPr>
              <m:t>λ</m:t>
            </m:r>
          </m:e>
          <m:sub>
            <m:r>
              <m:rPr>
                <m:sty m:val="p"/>
              </m:rPr>
              <m:t>3</m:t>
            </m:r>
          </m:sub>
        </m:sSub>
        <m:r>
          <m:rPr>
            <m:sty m:val="p"/>
          </m:rPr>
          <m:t>=</m:t>
        </m:r>
        <m:r>
          <m:rPr>
            <m:sty m:val="p"/>
          </m:rPr>
          <m:t>560</m:t>
        </m:r>
        <m:r>
          <m:rPr>
            <m:sty m:val="p"/>
          </m:rPr>
          <m:t>,</m:t>
        </m:r>
        <m:r>
          <m:rPr>
            <m:sty m:val="p"/>
          </m:rPr>
          <m:t>5</m:t>
        </m:r>
        <m:r>
          <m:rPr>
            <m:nor/>
          </m:rPr>
          <m:t xml:space="preserve"> </m:t>
        </m:r>
        <m:r>
          <m:rPr>
            <m:sty m:val="p"/>
          </m:rPr>
          <m:t>nm</m:t>
        </m:r>
      </m:oMath>
      <w:r>
        <w:rPr>
          <w:rFonts w:eastAsia="Georgia" w:cs="Georgia" w:ascii="Georgia" w:hAnsi="Georgia"/>
        </w:rPr>
        <w:t xml:space="preserve"> sont modifiées en fonction du pourcentage de </w:t>
      </w:r>
      <m:oMath>
        <m:r>
          <m:rPr>
            <m:sty m:val="i"/>
          </m:rPr>
          <m:t>C</m:t>
        </m:r>
        <m:r>
          <m:rPr>
            <m:sty m:val="i"/>
          </m:rPr>
          <m:t>O</m:t>
        </m:r>
      </m:oMath>
      <w:r>
        <w:rPr>
          <w:rFonts w:eastAsia="Georgia" w:cs="Georgia" w:ascii="Georgia" w:hAnsi="Georgia"/>
        </w:rPr>
        <w:t xml:space="preserve"> fixé sur l'hémoglobine.</w:t>
      </w:r>
      <w:r>
        <w:rPr/>
        <w:br w:type="textWrapping"/>
      </w:r>
    </w:p>
    <w:p>
      <w:pPr>
        <w:spacing w:lineRule="auto"/>
        <w:jc w:val="center"/>
      </w:pPr>
      <w:r>
        <w:rPr/>
        <w:drawing>
          <wp:inline distB="0" distL="0" distR="0" distT="0">
            <wp:extent cx="5486400" cy="4340672"/>
            <wp:effectExtent b="0" l="0" r="0" t="0"/>
            <wp:docPr id="2" name="image-f38fbb029932b114749529a8a7fb61b42459d56d.jpg"/>
            <a:graphic>
              <a:graphicData uri="http://schemas.openxmlformats.org/drawingml/2006/picture">
                <pic:pic>
                  <pic:nvPicPr>
                    <pic:cNvPr id="2" name="image-f38fbb029932b114749529a8a7fb61b42459d56d.jpg" descr=""/>
                    <pic:cNvPicPr/>
                  </pic:nvPicPr>
                  <pic:blipFill>
                    <a:blip r:embed="rId6" cstate="print"/>
                    <a:srcRect b="0" l="0" r="0" t="0"/>
                    <a:stretch>
                      <a:fillRect/>
                    </a:stretch>
                  </pic:blipFill>
                  <pic:spPr>
                    <a:xfrm>
                      <a:off x="0" y="0"/>
                      <a:ext cx="5486400" cy="4340672"/>
                    </a:xfrm>
                    <a:prstGeom prst="rect"/>
                  </pic:spPr>
                </pic:pic>
              </a:graphicData>
            </a:graphic>
          </wp:inline>
        </w:drawing>
      </w:r>
    </w:p>
    <w:p>
      <w:pPr>
        <w:spacing w:after="220" w:lineRule="auto"/>
      </w:pPr>
      <w:r>
        <w:rPr/>
        <w:t xml:space="preserve">Spectre </w:t>
      </w:r>
      <m:oMath>
        <m:sSup>
          <m:sSupPr/>
          <m:e>
            <m:r>
              <m:rPr>
                <m:sty m:val="p"/>
              </m:rPr>
              <m:t>n</m:t>
            </m:r>
          </m:e>
          <m:sup>
            <m:r>
              <m:rPr>
                <m:sty m:val="p"/>
              </m:rPr>
              <m:t>∘</m:t>
            </m:r>
          </m:sup>
        </m:sSup>
        <m:r>
          <m:rPr>
            <m:sty m:val="p"/>
          </m:rPr>
          <m:t>1</m:t>
        </m:r>
        <m:r>
          <m:rPr>
            <m:sty m:val="p"/>
          </m:rPr>
          <m:t>:</m:t>
        </m:r>
        <m:r>
          <m:rPr>
            <m:sty m:val="p"/>
          </m:rPr>
          <m:t>100</m:t>
        </m:r>
        <m:r>
          <m:rPr>
            <m:sty m:val="p"/>
          </m:rPr>
          <m:t>%</m:t>
        </m:r>
      </m:oMath>
      <w:r>
        <w:rPr>
          <w:rFonts w:eastAsia="Georgia" w:cs="Georgia" w:ascii="Georgia" w:hAnsi="Georgia"/>
        </w:rPr>
        <w:t xml:space="preserve"> d'oxyhémoglobine et </w:t>
      </w:r>
      <m:oMath>
        <m:r>
          <m:rPr>
            <m:sty m:val="p"/>
          </m:rPr>
          <m:t>100</m:t>
        </m:r>
        <m:r>
          <m:rPr>
            <m:sty m:val="p"/>
          </m:rPr>
          <m:t>%</m:t>
        </m:r>
      </m:oMath>
      <w:r>
        <w:rPr>
          <w:rFonts w:eastAsia="Georgia" w:cs="Georgia" w:ascii="Georgia" w:hAnsi="Georgia"/>
        </w:rPr>
        <w:t xml:space="preserve"> de carboxyhémoglobine</w:t>
      </w:r>
      <w:r>
        <w:rPr/>
        <w:br w:type="textWrapping"/>
      </w:r>
      <w:r>
        <w:rPr>
          <w:rFonts w:eastAsia="Georgia" w:cs="Georgia" w:ascii="Georgia" w:hAnsi="Georgia"/>
        </w:rPr>
        <w:t xml:space="preserve">38. Sur quelle loi physique repose la méthode spectrométrique ?</w:t>
      </w:r>
      <w:r>
        <w:rPr/>
        <w:br w:type="textWrapping"/>
      </w:r>
      <w:r>
        <w:rPr>
          <w:rFonts w:eastAsia="Georgia" w:cs="Georgia" w:ascii="Georgia" w:hAnsi="Georgia"/>
        </w:rPr>
        <w:t xml:space="preserve">39. Pourquoi est-il important que l'absorbance ne soit pas trop élevée ?</w:t>
      </w:r>
    </w:p>
    <w:p>
      <w:pPr>
        <w:spacing w:after="220" w:lineRule="auto"/>
      </w:pPr>
      <w:r>
        <w:rPr>
          <w:rFonts w:eastAsia="Georgia" w:cs="Georgia" w:ascii="Georgia" w:hAnsi="Georgia"/>
        </w:rPr>
        <w:t xml:space="preserve">Pour exploiter des résultats de mesures spectroscopiques, il faut au préalable tracer la courbe d'étalonnage.</w:t>
      </w:r>
      <w:r>
        <w:rPr/>
        <w:br w:type="textWrapping"/>
      </w:r>
      <w:r>
        <w:rPr/>
        <w:t xml:space="preserve">On effectue ainsi le spectre d'une solution contenant </w:t>
      </w:r>
      <m:oMath>
        <m:r>
          <m:rPr>
            <m:sty m:val="p"/>
          </m:rPr>
          <m:t>100</m:t>
        </m:r>
        <m:r>
          <m:rPr>
            <m:sty m:val="p"/>
          </m:rPr>
          <m:t>%</m:t>
        </m:r>
      </m:oMath>
      <w:r>
        <w:rPr>
          <w:rFonts w:eastAsia="Georgia" w:cs="Georgia" w:ascii="Georgia" w:hAnsi="Georgia"/>
        </w:rPr>
        <w:t xml:space="preserve"> d'oxyhémoglobine ( </w:t>
      </w:r>
      <m:oMath>
        <m:sSub>
          <m:sSubPr/>
          <m:e>
            <m:r>
              <m:rPr>
                <m:sty m:val="p"/>
              </m:rPr>
              <m:t>HbO</m:t>
            </m:r>
          </m:e>
          <m:sub>
            <m:r>
              <m:rPr>
                <m:sty m:val="p"/>
              </m:rPr>
              <m:t>2</m:t>
            </m:r>
          </m:sub>
        </m:sSub>
      </m:oMath>
      <w:r>
        <w:rPr/>
        <w:t xml:space="preserve"> ), donc pas de </w:t>
      </w:r>
      <m:oMath>
        <m:r>
          <m:rPr>
            <m:sty m:val="i"/>
          </m:rPr>
          <m:t>C</m:t>
        </m:r>
        <m:r>
          <m:rPr>
            <m:sty m:val="i"/>
          </m:rPr>
          <m:t>O</m:t>
        </m:r>
      </m:oMath>
      <w:r>
        <w:rPr>
          <w:rFonts w:eastAsia="Georgia" w:cs="Georgia" w:ascii="Georgia" w:hAnsi="Georgia"/>
        </w:rPr>
        <w:t xml:space="preserve"> fixé sur l'hémoglobine. Les valeurs des absorbances lues sont: </w:t>
      </w:r>
      <m:oMath>
        <m:sSub>
          <m:sSubPr/>
          <m:e>
            <m:r>
              <m:rPr>
                <m:sty m:val="i"/>
              </m:rPr>
              <m:t>A</m:t>
            </m:r>
          </m:e>
          <m:sub>
            <m:r>
              <m:rPr>
                <m:sty m:val="p"/>
              </m:rPr>
              <m:t>560</m:t>
            </m:r>
            <m:r>
              <m:rPr>
                <m:sty m:val="p"/>
              </m:rPr>
              <m:t>,</m:t>
            </m:r>
            <m:r>
              <m:rPr>
                <m:sty m:val="p"/>
              </m:rPr>
              <m:t>5</m:t>
            </m:r>
          </m:sub>
        </m:sSub>
        <m:r>
          <m:rPr>
            <m:sty m:val="p"/>
          </m:rPr>
          <m:t>=</m:t>
        </m:r>
        <m:r>
          <m:rPr>
            <m:sty m:val="p"/>
          </m:rPr>
          <m:t>0</m:t>
        </m:r>
        <m:r>
          <m:rPr>
            <m:sty m:val="p"/>
          </m:rPr>
          <m:t>,</m:t>
        </m:r>
        <m:r>
          <m:rPr>
            <m:sty m:val="p"/>
          </m:rPr>
          <m:t>720</m:t>
        </m:r>
      </m:oMath>
      <w:r>
        <w:rPr/>
        <w:t xml:space="preserve"> et </w:t>
      </w:r>
      <m:oMath>
        <m:sSub>
          <m:sSubPr/>
          <m:e>
            <m:r>
              <m:rPr>
                <m:sty m:val="i"/>
              </m:rPr>
              <m:t>A</m:t>
            </m:r>
          </m:e>
          <m:sub>
            <m:r>
              <m:rPr>
                <m:sty m:val="p"/>
              </m:rPr>
              <m:t>576</m:t>
            </m:r>
            <m:r>
              <m:rPr>
                <m:sty m:val="p"/>
              </m:rPr>
              <m:t>,</m:t>
            </m:r>
            <m:r>
              <m:rPr>
                <m:sty m:val="p"/>
              </m:rPr>
              <m:t>5</m:t>
            </m:r>
          </m:sub>
        </m:sSub>
        <m:r>
          <m:rPr>
            <m:sty m:val="p"/>
          </m:rPr>
          <m:t>=</m:t>
        </m:r>
        <m:r>
          <m:rPr>
            <m:sty m:val="p"/>
          </m:rPr>
          <m:t>1</m:t>
        </m:r>
        <m:r>
          <m:rPr>
            <m:sty m:val="p"/>
          </m:rPr>
          <m:t>,</m:t>
        </m:r>
        <m:r>
          <m:rPr>
            <m:sty m:val="p"/>
          </m:rPr>
          <m:t>271</m:t>
        </m:r>
      </m:oMath>
      <w:r>
        <w:rPr>
          <w:rFonts w:eastAsia="Georgia" w:cs="Georgia" w:ascii="Georgia" w:hAnsi="Georgia"/>
        </w:rPr>
        <w:t xml:space="preserve">. Le rapport de ces valeurs nous fournit le résultat: </w:t>
      </w:r>
      <m:oMath>
        <m:sSub>
          <m:sSubPr/>
          <m:e>
            <m:r>
              <m:rPr>
                <m:sty m:val="i"/>
              </m:rPr>
              <m:t>r</m:t>
            </m:r>
          </m:e>
          <m:sub>
            <m:r>
              <m:rPr>
                <m:sty m:val="p"/>
              </m:rPr>
              <m:t>0</m:t>
            </m:r>
            <m:r>
              <m:rPr>
                <m:sty m:val="p"/>
              </m:rPr>
              <m:t>%</m:t>
            </m:r>
            <m:r>
              <m:rPr>
                <m:sty m:val="p"/>
              </m:rPr>
              <m:t>,</m:t>
            </m:r>
            <m:r>
              <m:rPr>
                <m:sty m:val="i"/>
              </m:rPr>
              <m:t>C</m:t>
            </m:r>
            <m:r>
              <m:rPr>
                <m:sty m:val="i"/>
              </m:rPr>
              <m:t>O</m:t>
            </m:r>
          </m:sub>
        </m:sSub>
        <m:r>
          <m:rPr>
            <m:sty m:val="p"/>
          </m:rPr>
          <m:t>=</m:t>
        </m:r>
        <m:f>
          <m:fPr>
            <m:ctrlPr>
              <w:rPr>
                <w:rFonts w:ascii="Cambria Math" w:hAnsi="Cambria Math"/>
              </w:rPr>
            </m:ctrlPr>
          </m:fPr>
          <m:num>
            <m:sSub>
              <m:sSubPr/>
              <m:e>
                <m:r>
                  <m:rPr>
                    <m:sty m:val="i"/>
                  </m:rPr>
                  <m:t>A</m:t>
                </m:r>
              </m:e>
              <m:sub>
                <m:r>
                  <m:rPr>
                    <m:sty m:val="p"/>
                  </m:rPr>
                  <m:t>576</m:t>
                </m:r>
                <m:r>
                  <m:rPr>
                    <m:sty m:val="p"/>
                  </m:rPr>
                  <m:t>,</m:t>
                </m:r>
                <m:r>
                  <m:rPr>
                    <m:sty m:val="p"/>
                  </m:rPr>
                  <m:t>5</m:t>
                </m:r>
              </m:sub>
            </m:sSub>
          </m:num>
          <m:den>
            <m:sSub>
              <m:sSubPr/>
              <m:e>
                <m:r>
                  <m:rPr>
                    <m:sty m:val="i"/>
                  </m:rPr>
                  <m:t>A</m:t>
                </m:r>
              </m:e>
              <m:sub>
                <m:r>
                  <m:rPr>
                    <m:sty m:val="p"/>
                  </m:rPr>
                  <m:t>560</m:t>
                </m:r>
                <m:r>
                  <m:rPr>
                    <m:sty m:val="p"/>
                  </m:rPr>
                  <m:t>,</m:t>
                </m:r>
                <m:r>
                  <m:rPr>
                    <m:sty m:val="p"/>
                  </m:rPr>
                  <m:t>5</m:t>
                </m:r>
              </m:sub>
            </m:sSub>
          </m:den>
        </m:f>
        <m:r>
          <m:rPr>
            <m:sty m:val="p"/>
          </m:rPr>
          <m:t>=</m:t>
        </m:r>
        <m:f>
          <m:fPr>
            <m:ctrlPr>
              <w:rPr>
                <w:rFonts w:ascii="Cambria Math" w:hAnsi="Cambria Math"/>
              </w:rPr>
            </m:ctrlPr>
          </m:fPr>
          <m:num>
            <m:r>
              <m:rPr>
                <m:sty m:val="p"/>
              </m:rPr>
              <m:t>1</m:t>
            </m:r>
            <m:r>
              <m:rPr>
                <m:sty m:val="p"/>
              </m:rPr>
              <m:t>,</m:t>
            </m:r>
            <m:r>
              <m:rPr>
                <m:sty m:val="p"/>
              </m:rPr>
              <m:t>271</m:t>
            </m:r>
          </m:num>
          <m:den>
            <m:r>
              <m:rPr>
                <m:sty m:val="p"/>
              </m:rPr>
              <m:t>0</m:t>
            </m:r>
            <m:r>
              <m:rPr>
                <m:sty m:val="p"/>
              </m:rPr>
              <m:t>,</m:t>
            </m:r>
            <m:r>
              <m:rPr>
                <m:sty m:val="p"/>
              </m:rPr>
              <m:t>720</m:t>
            </m:r>
          </m:den>
        </m:f>
        <m:r>
          <m:rPr>
            <m:sty m:val="p"/>
          </m:rPr>
          <m:t>=</m:t>
        </m:r>
        <m:r>
          <m:rPr>
            <m:sty m:val="p"/>
          </m:rPr>
          <m:t>1</m:t>
        </m:r>
        <m:r>
          <m:rPr>
            <m:sty m:val="p"/>
          </m:rPr>
          <m:t>,</m:t>
        </m:r>
        <m:r>
          <m:rPr>
            <m:sty m:val="p"/>
          </m:rPr>
          <m:t>765</m:t>
        </m:r>
      </m:oMath>
      <w:r>
        <w:rPr/>
        <w:t xml:space="preserve">.</w:t>
      </w:r>
    </w:p>
    <w:p>
      <w:pPr>
        <w:spacing w:after="220" w:lineRule="auto"/>
      </w:pPr>
      <w:r>
        <w:rPr>
          <w:rFonts w:eastAsia="Georgia" w:cs="Georgia" w:ascii="Georgia" w:hAnsi="Georgia"/>
        </w:rPr>
        <w:t xml:space="preserve">On effectue ensuite le spectre d'une solution contenant 100% de carboxyhémoglobine ( </w:t>
      </w:r>
      <m:oMath>
        <m:r>
          <m:rPr>
            <m:sty m:val="i"/>
          </m:rPr>
          <m:t>H</m:t>
        </m:r>
        <m:r>
          <m:rPr>
            <m:sty m:val="i"/>
          </m:rPr>
          <m:t>b</m:t>
        </m:r>
        <m:r>
          <m:rPr>
            <m:sty m:val="i"/>
          </m:rPr>
          <m:t>C</m:t>
        </m:r>
        <m:r>
          <m:rPr>
            <m:sty m:val="i"/>
          </m:rPr>
          <m:t>O</m:t>
        </m:r>
      </m:oMath>
      <w:r>
        <w:rPr>
          <w:rFonts w:eastAsia="Georgia" w:cs="Georgia" w:ascii="Georgia" w:hAnsi="Georgia"/>
        </w:rPr>
        <w:t xml:space="preserve"> ), c'est-à-dire </w:t>
      </w:r>
      <m:oMath>
        <m:r>
          <m:rPr>
            <m:sty m:val="p"/>
          </m:rPr>
          <m:t>100</m:t>
        </m:r>
        <m:r>
          <m:rPr>
            <m:sty m:val="p"/>
          </m:rPr>
          <m:t>%</m:t>
        </m:r>
      </m:oMath>
      <w:r>
        <w:rPr>
          <w:rFonts w:eastAsia="Georgia" w:cs="Georgia" w:ascii="Georgia" w:hAnsi="Georgia"/>
        </w:rPr>
        <w:t xml:space="preserve"> de l'hémoglobine est complexée avec du </w:t>
      </w:r>
      <m:oMath>
        <m:r>
          <m:rPr>
            <m:sty m:val="i"/>
          </m:rPr>
          <m:t>C</m:t>
        </m:r>
        <m:r>
          <m:rPr>
            <m:sty m:val="i"/>
          </m:rPr>
          <m:t>O</m:t>
        </m:r>
      </m:oMath>
      <w:r>
        <w:rPr/>
        <w:t xml:space="preserve">. Les valeurs des absorbances lues sont: </w:t>
      </w:r>
      <m:oMath>
        <m:sSubSup>
          <m:sSubSupPr/>
          <m:e>
            <m:r>
              <m:rPr>
                <m:sty m:val="i"/>
              </m:rPr>
              <m:t>A</m:t>
            </m:r>
          </m:e>
          <m:sub>
            <m:r>
              <m:rPr>
                <m:sty m:val="p"/>
              </m:rPr>
              <m:t>560</m:t>
            </m:r>
            <m:r>
              <m:rPr>
                <m:sty m:val="p"/>
              </m:rPr>
              <m:t>,</m:t>
            </m:r>
            <m:r>
              <m:rPr>
                <m:sty m:val="p"/>
              </m:rPr>
              <m:t>5</m:t>
            </m:r>
          </m:sub>
          <m:sup>
            <m:r>
              <m:rPr>
                <m:sty m:val="i"/>
              </m:rPr>
              <m:t>′</m:t>
            </m:r>
          </m:sup>
        </m:sSubSup>
        <m:r>
          <m:rPr>
            <m:sty m:val="p"/>
          </m:rPr>
          <m:t>=</m:t>
        </m:r>
        <m:r>
          <m:rPr>
            <m:sty m:val="p"/>
          </m:rPr>
          <m:t>1</m:t>
        </m:r>
        <m:r>
          <m:rPr>
            <m:sty m:val="p"/>
          </m:rPr>
          <m:t>,</m:t>
        </m:r>
        <m:r>
          <m:rPr>
            <m:sty m:val="p"/>
          </m:rPr>
          <m:t>016</m:t>
        </m:r>
      </m:oMath>
      <w:r>
        <w:rPr/>
        <w:t xml:space="preserve"> et </w:t>
      </w:r>
      <m:oMath>
        <m:sSub>
          <m:sSubPr/>
          <m:e>
            <m:r>
              <m:rPr>
                <m:sty m:val="i"/>
              </m:rPr>
              <m:t>A</m:t>
            </m:r>
          </m:e>
          <m:sub>
            <m:r>
              <m:rPr>
                <m:sty m:val="p"/>
              </m:rPr>
              <m:t>576</m:t>
            </m:r>
            <m:r>
              <m:rPr>
                <m:sty m:val="p"/>
              </m:rPr>
              <m:t>,</m:t>
            </m:r>
            <m:r>
              <m:rPr>
                <m:sty m:val="p"/>
              </m:rPr>
              <m:t>5</m:t>
            </m:r>
          </m:sub>
        </m:sSub>
        <m:r>
          <m:rPr>
            <m:sty m:val="p"/>
          </m:rPr>
          <m:t>=</m:t>
        </m:r>
        <m:r>
          <m:rPr>
            <m:sty m:val="p"/>
          </m:rPr>
          <m:t>0</m:t>
        </m:r>
        <m:r>
          <m:rPr>
            <m:sty m:val="p"/>
          </m:rPr>
          <m:t>,</m:t>
        </m:r>
        <m:r>
          <m:rPr>
            <m:sty m:val="p"/>
          </m:rPr>
          <m:t>904</m:t>
        </m:r>
      </m:oMath>
      <w:r>
        <w:rPr>
          <w:rFonts w:eastAsia="Georgia" w:cs="Georgia" w:ascii="Georgia" w:hAnsi="Georgia"/>
        </w:rPr>
        <w:t xml:space="preserve">. Le rapport de ces valeurs nous fournit le résultat :</w:t>
      </w:r>
    </w:p>
    <w:p>
      <w:pPr>
        <w:spacing w:after="220" w:lineRule="auto"/>
      </w:pPr>
      <m:oMathPara>
        <m:oMath>
          <m:sSub>
            <m:sSubPr/>
            <m:e>
              <m:r>
                <m:rPr>
                  <m:sty m:val="i"/>
                </m:rPr>
                <m:t>r</m:t>
              </m:r>
            </m:e>
            <m:sub>
              <m:r>
                <m:rPr>
                  <m:sty m:val="p"/>
                </m:rPr>
                <m:t>100</m:t>
              </m:r>
              <m:r>
                <m:rPr>
                  <m:sty m:val="p"/>
                </m:rPr>
                <m:t>%</m:t>
              </m:r>
              <m:r>
                <m:rPr>
                  <m:sty m:val="p"/>
                </m:rPr>
                <m:t>,</m:t>
              </m:r>
              <m:r>
                <m:rPr>
                  <m:sty m:val="i"/>
                </m:rPr>
                <m:t>C</m:t>
              </m:r>
              <m:r>
                <m:rPr>
                  <m:sty m:val="i"/>
                </m:rPr>
                <m:t>O</m:t>
              </m:r>
            </m:sub>
          </m:sSub>
          <m:r>
            <m:rPr>
              <m:sty m:val="p"/>
            </m:rPr>
            <m:t>=</m:t>
          </m:r>
          <m:f>
            <m:fPr>
              <m:ctrlPr>
                <w:rPr>
                  <w:rFonts w:ascii="Cambria Math" w:hAnsi="Cambria Math"/>
                </w:rPr>
              </m:ctrlPr>
            </m:fPr>
            <m:num>
              <m:sSub>
                <m:sSubPr/>
                <m:e>
                  <m:r>
                    <m:rPr>
                      <m:sty m:val="i"/>
                    </m:rPr>
                    <m:t>A</m:t>
                  </m:r>
                </m:e>
                <m:sub>
                  <m:r>
                    <m:rPr>
                      <m:sty m:val="p"/>
                    </m:rPr>
                    <m:t>576</m:t>
                  </m:r>
                  <m:r>
                    <m:rPr>
                      <m:sty m:val="p"/>
                    </m:rPr>
                    <m:t>,</m:t>
                  </m:r>
                  <m:r>
                    <m:rPr>
                      <m:sty m:val="p"/>
                    </m:rPr>
                    <m:t>5</m:t>
                  </m:r>
                </m:sub>
              </m:sSub>
            </m:num>
            <m:den>
              <m:sSub>
                <m:sSubPr/>
                <m:e>
                  <m:r>
                    <m:rPr>
                      <m:sty m:val="i"/>
                    </m:rPr>
                    <m:t>A</m:t>
                  </m:r>
                </m:e>
                <m:sub>
                  <m:r>
                    <m:rPr>
                      <m:sty m:val="p"/>
                    </m:rPr>
                    <m:t>560</m:t>
                  </m:r>
                  <m:r>
                    <m:rPr>
                      <m:sty m:val="p"/>
                    </m:rPr>
                    <m:t>,</m:t>
                  </m:r>
                  <m:r>
                    <m:rPr>
                      <m:sty m:val="p"/>
                    </m:rPr>
                    <m:t>5</m:t>
                  </m:r>
                </m:sub>
              </m:sSub>
            </m:den>
          </m:f>
          <m:r>
            <m:rPr>
              <m:sty m:val="p"/>
            </m:rPr>
            <m:t>=</m:t>
          </m:r>
          <m:f>
            <m:fPr>
              <m:ctrlPr>
                <w:rPr>
                  <w:rFonts w:ascii="Cambria Math" w:hAnsi="Cambria Math"/>
                </w:rPr>
              </m:ctrlPr>
            </m:fPr>
            <m:num>
              <m:r>
                <m:rPr>
                  <m:sty m:val="p"/>
                </m:rPr>
                <m:t>0</m:t>
              </m:r>
              <m:r>
                <m:rPr>
                  <m:sty m:val="p"/>
                </m:rPr>
                <m:t>,</m:t>
              </m:r>
              <m:r>
                <m:rPr>
                  <m:sty m:val="p"/>
                </m:rPr>
                <m:t>904</m:t>
              </m:r>
            </m:num>
            <m:den>
              <m:r>
                <m:rPr>
                  <m:sty m:val="p"/>
                </m:rPr>
                <m:t>1</m:t>
              </m:r>
              <m:r>
                <m:rPr>
                  <m:sty m:val="p"/>
                </m:rPr>
                <m:t>,</m:t>
              </m:r>
              <m:r>
                <m:rPr>
                  <m:sty m:val="p"/>
                </m:rPr>
                <m:t>016</m:t>
              </m:r>
            </m:den>
          </m:f>
          <m:r>
            <m:rPr>
              <m:sty m:val="p"/>
            </m:rPr>
            <m:t>=</m:t>
          </m:r>
          <m:r>
            <m:rPr>
              <m:sty m:val="p"/>
            </m:rPr>
            <m:t>0</m:t>
          </m:r>
          <m:r>
            <m:rPr>
              <m:sty m:val="p"/>
            </m:rPr>
            <m:t>,</m:t>
          </m:r>
          <m:r>
            <m:rPr>
              <m:sty m:val="p"/>
            </m:rPr>
            <m:t>890</m:t>
          </m:r>
          <m:r>
            <m:rPr>
              <m:sty m:val="p"/>
            </m:rPr>
            <m:t>.</m:t>
          </m:r>
        </m:oMath>
      </m:oMathPara>
    </w:p>
    <w:p>
      <w:pPr>
        <w:spacing w:lineRule="auto"/>
        <w:jc w:val="center"/>
      </w:pPr>
      <w:r>
        <w:rPr/>
        <w:drawing>
          <wp:inline distB="0" distL="0" distR="0" distT="0">
            <wp:extent cx="5486400" cy="4708529"/>
            <wp:effectExtent b="0" l="0" r="0" t="0"/>
            <wp:docPr id="3" name="image-dfb101ab9e7d3faf8e60b55599580ead9f045bc2.jpg"/>
            <a:graphic>
              <a:graphicData uri="http://schemas.openxmlformats.org/drawingml/2006/picture">
                <pic:pic>
                  <pic:nvPicPr>
                    <pic:cNvPr id="3" name="image-dfb101ab9e7d3faf8e60b55599580ead9f045bc2.jpg" descr=""/>
                    <pic:cNvPicPr/>
                  </pic:nvPicPr>
                  <pic:blipFill>
                    <a:blip r:embed="rId7" cstate="print"/>
                    <a:srcRect b="0" l="0" r="0" t="0"/>
                    <a:stretch>
                      <a:fillRect/>
                    </a:stretch>
                  </pic:blipFill>
                  <pic:spPr>
                    <a:xfrm>
                      <a:off x="0" y="0"/>
                      <a:ext cx="5486400" cy="4708529"/>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536699"/>
            <wp:effectExtent b="0" l="0" r="0" t="0"/>
            <wp:docPr id="4" name="image-3e17792c23aedb4ede06e40a107c3cab8181bb63.jpg"/>
            <a:graphic>
              <a:graphicData uri="http://schemas.openxmlformats.org/drawingml/2006/picture">
                <pic:pic>
                  <pic:nvPicPr>
                    <pic:cNvPr id="4" name="image-3e17792c23aedb4ede06e40a107c3cab8181bb63.jpg" descr=""/>
                    <pic:cNvPicPr/>
                  </pic:nvPicPr>
                  <pic:blipFill>
                    <a:blip r:embed="rId8" cstate="print"/>
                    <a:srcRect b="0" l="0" r="0" t="0"/>
                    <a:stretch>
                      <a:fillRect/>
                    </a:stretch>
                  </pic:blipFill>
                  <pic:spPr>
                    <a:xfrm>
                      <a:off x="0" y="0"/>
                      <a:ext cx="5486400" cy="4536699"/>
                    </a:xfrm>
                    <a:prstGeom prst="rect"/>
                  </pic:spPr>
                </pic:pic>
              </a:graphicData>
            </a:graphic>
          </wp:inline>
        </w:drawing>
      </w:r>
    </w:p>
    <w:p>
      <w:pPr>
        <w:spacing w:after="220" w:lineRule="auto"/>
      </w:pPr>
      <w:r>
        <w:rPr/>
        <w:br w:type="textWrapping"/>
      </w:r>
      <w:r>
        <w:rPr>
          <w:rFonts w:eastAsia="Georgia" w:cs="Georgia" w:ascii="Georgia" w:hAnsi="Georgia"/>
        </w:rPr>
        <w:t xml:space="preserve">40. Sachant que l'évolution du rapport </w:t>
      </w:r>
      <m:oMath>
        <m:r>
          <m:rPr>
            <m:sty m:val="i"/>
          </m:rPr>
          <m:t>r</m:t>
        </m:r>
      </m:oMath>
      <w:r>
        <w:rPr>
          <w:rFonts w:eastAsia="Georgia" w:cs="Georgia" w:ascii="Georgia" w:hAnsi="Georgia"/>
        </w:rPr>
        <w:t xml:space="preserve"> des absorbances à </w:t>
      </w:r>
      <m:oMath>
        <m:r>
          <m:rPr>
            <m:sty m:val="p"/>
          </m:rPr>
          <m:t>576</m:t>
        </m:r>
        <m:r>
          <m:rPr>
            <m:sty m:val="p"/>
          </m:rPr>
          <m:t>,</m:t>
        </m:r>
        <m:r>
          <m:rPr>
            <m:sty m:val="p"/>
          </m:rPr>
          <m:t>5</m:t>
        </m:r>
        <m:r>
          <m:rPr>
            <m:nor/>
          </m:rPr>
          <m:t xml:space="preserve"> </m:t>
        </m:r>
        <m:r>
          <m:rPr>
            <m:sty m:val="p"/>
          </m:rPr>
          <m:t>nm</m:t>
        </m:r>
      </m:oMath>
      <w:r>
        <w:rPr/>
        <w:t xml:space="preserve"> et </w:t>
      </w:r>
      <m:oMath>
        <m:r>
          <m:rPr>
            <m:sty m:val="p"/>
          </m:rPr>
          <m:t>560</m:t>
        </m:r>
        <m:r>
          <m:rPr>
            <m:sty m:val="p"/>
          </m:rPr>
          <m:t>,</m:t>
        </m:r>
        <m:r>
          <m:rPr>
            <m:sty m:val="p"/>
          </m:rPr>
          <m:t>5</m:t>
        </m:r>
        <m:r>
          <m:rPr>
            <m:nor/>
          </m:rPr>
          <m:t xml:space="preserve"> </m:t>
        </m:r>
        <m:r>
          <m:rPr>
            <m:sty m:val="p"/>
          </m:rPr>
          <m:t>nm</m:t>
        </m:r>
        <m:d>
          <m:dPr>
            <m:begChr m:val="("/>
            <m:endChr m:val=")"/>
            <m:ctrlPr>
              <w:rPr>
                <w:rFonts w:ascii="Cambria Math" w:hAnsi="Cambria Math"/>
              </w:rPr>
            </m:ctrlPr>
          </m:dPr>
          <m:e>
            <m:r>
              <m:rPr>
                <m:sty m:val="i"/>
              </m:rPr>
              <m:t>r</m:t>
            </m:r>
            <m:r>
              <m:rPr>
                <m:sty m:val="p"/>
              </m:rPr>
              <m:t>=</m:t>
            </m:r>
            <m:f>
              <m:fPr>
                <m:ctrlPr>
                  <w:rPr>
                    <w:rFonts w:ascii="Cambria Math" w:hAnsi="Cambria Math"/>
                  </w:rPr>
                </m:ctrlPr>
              </m:fPr>
              <m:num>
                <m:sSub>
                  <m:sSubPr/>
                  <m:e>
                    <m:r>
                      <m:rPr>
                        <m:sty m:val="i"/>
                      </m:rPr>
                      <m:t>A</m:t>
                    </m:r>
                  </m:e>
                  <m:sub>
                    <m:r>
                      <m:rPr>
                        <m:sty m:val="p"/>
                      </m:rPr>
                      <m:t>576</m:t>
                    </m:r>
                    <m:r>
                      <m:rPr>
                        <m:sty m:val="p"/>
                      </m:rPr>
                      <m:t>,</m:t>
                    </m:r>
                    <m:r>
                      <m:rPr>
                        <m:sty m:val="p"/>
                      </m:rPr>
                      <m:t>5</m:t>
                    </m:r>
                  </m:sub>
                </m:sSub>
              </m:num>
              <m:den>
                <m:sSub>
                  <m:sSubPr/>
                  <m:e>
                    <m:r>
                      <m:rPr>
                        <m:sty m:val="i"/>
                      </m:rPr>
                      <m:t>A</m:t>
                    </m:r>
                  </m:e>
                  <m:sub>
                    <m:r>
                      <m:rPr>
                        <m:sty m:val="p"/>
                      </m:rPr>
                      <m:t>560</m:t>
                    </m:r>
                    <m:r>
                      <m:rPr>
                        <m:sty m:val="p"/>
                      </m:rPr>
                      <m:t>,</m:t>
                    </m:r>
                    <m:r>
                      <m:rPr>
                        <m:sty m:val="p"/>
                      </m:rPr>
                      <m:t>5</m:t>
                    </m:r>
                  </m:sub>
                </m:sSub>
              </m:den>
            </m:f>
          </m:e>
        </m:d>
      </m:oMath>
      <w:r>
        <w:rPr/>
        <w:t xml:space="preserve"> en fonction du pourcentage de </w:t>
      </w:r>
      <m:oMath>
        <m:r>
          <m:rPr>
            <m:sty m:val="i"/>
          </m:rPr>
          <m:t>C</m:t>
        </m:r>
        <m:r>
          <m:rPr>
            <m:sty m:val="i"/>
          </m:rPr>
          <m:t>O</m:t>
        </m:r>
      </m:oMath>
      <w:r>
        <w:rPr>
          <w:rFonts w:eastAsia="Georgia" w:cs="Georgia" w:ascii="Georgia" w:hAnsi="Georgia"/>
        </w:rPr>
        <w:t xml:space="preserve"> fixé sur l'hémoglobine du sang, suit une loi affine, compléter le graphe fourni en annexe pour représenter la courbe </w:t>
      </w:r>
      <m:oMath>
        <m:r>
          <m:rPr>
            <m:sty m:val="i"/>
          </m:rPr>
          <m:t>r</m:t>
        </m:r>
        <m:r>
          <m:rPr>
            <m:sty m:val="p"/>
          </m:rPr>
          <m:t>=</m:t>
        </m:r>
        <m:r>
          <m:rPr>
            <m:sty m:val="i"/>
          </m:rPr>
          <m:t>f</m:t>
        </m:r>
        <m:r>
          <m:rPr>
            <m:sty m:val="p"/>
          </m:rPr>
          <m:t>(</m:t>
        </m:r>
        <m:r>
          <m:rPr>
            <m:sty m:val="p"/>
          </m:rPr>
          <m:t>%</m:t>
        </m:r>
        <m:r>
          <m:rPr>
            <m:sty m:val="i"/>
          </m:rPr>
          <m:t>C</m:t>
        </m:r>
        <m:r>
          <m:rPr>
            <m:sty m:val="i"/>
          </m:rPr>
          <m:t>O</m:t>
        </m:r>
        <m:r>
          <m:rPr>
            <m:sty m:val="p"/>
          </m:rPr>
          <m:t>)</m:t>
        </m:r>
      </m:oMath>
      <w:r>
        <w:rPr/>
        <w:t xml:space="preserve">.</w:t>
      </w:r>
    </w:p>
    <w:p>
      <w:pPr>
        <w:spacing w:after="220" w:lineRule="auto"/>
      </w:pPr>
      <w:r>
        <w:rPr>
          <w:rFonts w:eastAsia="Georgia" w:cs="Georgia" w:ascii="Georgia" w:hAnsi="Georgia"/>
        </w:rPr>
        <w:t xml:space="preserve">Deux personnes sont retrouvées mortes sur deux sites industriels différents. Dans chaque cas, des échantillons de sang ont été prélevés sur les corps. La police a transmis ces échantillons au laboratoire de Pharmaco-Toxicologie de l'hôpital le plus proche afin de vérifier si ces personnes sont mortes intoxiquées par la monoxyde de carbone : il s'agirait alors d'un accident. Dans le cas contraire, vues les circonstances, il y aurait suspicion d'homicide volontaire.</w:t>
      </w:r>
    </w:p>
    <w:p>
      <w:pPr>
        <w:spacing w:after="220" w:lineRule="auto"/>
      </w:pPr>
      <w:r>
        <w:rPr>
          <w:rFonts w:eastAsia="Georgia" w:cs="Georgia" w:ascii="Georgia" w:hAnsi="Georgia"/>
        </w:rPr>
        <w:t xml:space="preserve">Les spectres des échantillons sanguins sont tracés (spectres </w:t>
      </w:r>
      <m:oMath>
        <m:sSup>
          <m:sSupPr/>
          <m:e>
            <m:r>
              <m:rPr>
                <m:sty m:val="p"/>
              </m:rPr>
              <m:t>n</m:t>
            </m:r>
          </m:e>
          <m:sup>
            <m:r>
              <m:rPr>
                <m:sty m:val="p"/>
              </m:rPr>
              <m:t>∘</m:t>
            </m:r>
          </m:sup>
        </m:sSup>
        <m:r>
          <m:rPr>
            <m:sty m:val="p"/>
          </m:rPr>
          <m:t>4</m:t>
        </m:r>
      </m:oMath>
      <w:r>
        <w:rPr/>
        <w:t xml:space="preserve"> et 5 ).</w:t>
      </w:r>
    </w:p>
    <w:p>
      <w:pPr>
        <w:spacing w:lineRule="auto"/>
        <w:jc w:val="center"/>
      </w:pPr>
      <w:r>
        <w:rPr/>
        <w:drawing>
          <wp:inline distB="0" distL="0" distR="0" distT="0">
            <wp:extent cx="5486400" cy="3423022"/>
            <wp:effectExtent b="0" l="0" r="0" t="0"/>
            <wp:docPr id="5" name="image-22875b9b955b700c6226c54d411ea89492f33cde.jpg"/>
            <a:graphic>
              <a:graphicData uri="http://schemas.openxmlformats.org/drawingml/2006/picture">
                <pic:pic>
                  <pic:nvPicPr>
                    <pic:cNvPr id="5" name="image-22875b9b955b700c6226c54d411ea89492f33cde.jpg" descr=""/>
                    <pic:cNvPicPr/>
                  </pic:nvPicPr>
                  <pic:blipFill>
                    <a:blip r:embed="rId9" cstate="print"/>
                    <a:srcRect b="0" l="0" r="0" t="0"/>
                    <a:stretch>
                      <a:fillRect/>
                    </a:stretch>
                  </pic:blipFill>
                  <pic:spPr>
                    <a:xfrm>
                      <a:off x="0" y="0"/>
                      <a:ext cx="5486400" cy="3423022"/>
                    </a:xfrm>
                    <a:prstGeom prst="rect"/>
                  </pic:spPr>
                </pic:pic>
              </a:graphicData>
            </a:graphic>
          </wp:inline>
        </w:drawing>
      </w:r>
    </w:p>
    <w:p>
      <w:pPr>
        <w:spacing w:lineRule="auto"/>
      </w:pPr>
      <w:r>
        <w:rPr/>
        <w:t xml:space="preserve">spectre </w:t>
      </w:r>
      <m:oMath>
        <m:sSup>
          <m:sSupPr/>
          <m:e>
            <m:r>
              <m:rPr>
                <m:sty m:val="p"/>
              </m:rPr>
              <m:t>n</m:t>
            </m:r>
          </m:e>
          <m:sup>
            <m:r>
              <m:rPr>
                <m:sty m:val="p"/>
              </m:rPr>
              <m:t>∘</m:t>
            </m:r>
          </m:sup>
        </m:sSup>
        <m:r>
          <m:rPr>
            <m:sty m:val="p"/>
          </m:rPr>
          <m:t>4</m:t>
        </m:r>
      </m:oMath>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N</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Longueur</w:t>
            </w:r>
          </w:p>
          <w:p>
            <w:pPr>
              <w:spacing w:lineRule="auto"/>
              <w:jc w:val="center"/>
            </w:pPr>
            <w:r>
              <w:rPr/>
              <w:t xml:space="preserve">d'onde</w:t>
            </w:r>
          </w:p>
          <w:p>
            <w:pPr>
              <w:spacing w:lineRule="auto"/>
              <w:jc w:val="center"/>
            </w:pPr>
            <m:oMathPara>
              <m:oMathParaPr>
                <m:jc m:val="center"/>
              </m:oMathParaPr>
              <m:oMath>
                <m:r>
                  <m:rPr>
                    <m:sty m:val="p"/>
                  </m:rPr>
                  <m:t>(</m:t>
                </m:r>
                <m:r>
                  <m:rPr>
                    <m:sty m:val="p"/>
                  </m:rPr>
                  <m:t>nm</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Absorbance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576,5</w:t>
            </w:r>
          </w:p>
        </w:tc>
        <w:tc>
          <w:tcPr>
            <w:tcBorders>
              <w:bottom w:val="single" w:sz="8" w:space="0" w:color="000000"/>
              <w:right w:val="single" w:sz="8" w:space="0" w:color="000000"/>
            </w:tcBorders>
            <w:vAlign w:val="center"/>
          </w:tcPr>
          <w:p>
            <w:pPr>
              <w:spacing w:lineRule="auto"/>
              <w:jc w:val="center"/>
            </w:pPr>
            <w:r>
              <w:rPr/>
              <w:t xml:space="preserve">1,049</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2</w:t>
            </w:r>
          </w:p>
        </w:tc>
        <w:tc>
          <w:tcPr>
            <w:tcBorders>
              <w:bottom w:val="single" w:sz="8" w:space="0" w:color="000000"/>
              <w:right w:val="single" w:sz="8" w:space="0" w:color="000000"/>
            </w:tcBorders>
            <w:vAlign w:val="center"/>
          </w:tcPr>
          <w:p>
            <w:pPr>
              <w:spacing w:lineRule="auto"/>
              <w:jc w:val="center"/>
            </w:pPr>
            <w:r>
              <w:rPr/>
              <w:t xml:space="preserve">541,0</w:t>
            </w:r>
          </w:p>
        </w:tc>
        <w:tc>
          <w:tcPr>
            <w:tcBorders>
              <w:bottom w:val="single" w:sz="8" w:space="0" w:color="000000"/>
              <w:right w:val="single" w:sz="8" w:space="0" w:color="000000"/>
            </w:tcBorders>
            <w:vAlign w:val="center"/>
          </w:tcPr>
          <w:p>
            <w:pPr>
              <w:spacing w:lineRule="auto"/>
              <w:jc w:val="center"/>
            </w:pPr>
            <w:r>
              <w:rPr/>
              <w:t xml:space="preserve">0,986</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3</w:t>
            </w:r>
          </w:p>
        </w:tc>
        <w:tc>
          <w:tcPr>
            <w:tcBorders>
              <w:bottom w:val="single" w:sz="8" w:space="0" w:color="000000"/>
              <w:right w:val="single" w:sz="8" w:space="0" w:color="000000"/>
            </w:tcBorders>
            <w:vAlign w:val="center"/>
          </w:tcPr>
          <w:p>
            <w:pPr>
              <w:spacing w:lineRule="auto"/>
              <w:jc w:val="center"/>
            </w:pPr>
            <w:r>
              <w:rPr/>
              <w:t xml:space="preserve">700,0</w:t>
            </w:r>
          </w:p>
        </w:tc>
        <w:tc>
          <w:tcPr>
            <w:tcBorders>
              <w:bottom w:val="single" w:sz="8" w:space="0" w:color="000000"/>
              <w:right w:val="single" w:sz="8" w:space="0" w:color="000000"/>
            </w:tcBorders>
            <w:vAlign w:val="center"/>
          </w:tcPr>
          <w:p>
            <w:pPr>
              <w:spacing w:lineRule="auto"/>
              <w:jc w:val="center"/>
            </w:pPr>
            <w:r>
              <w:rPr/>
              <w:t xml:space="preserve">0,008</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single" w:sz="8" w:space="0" w:color="000000"/>
            </w:tcBorders>
            <w:vAlign w:val="center"/>
          </w:tcPr>
          <w:p>
            <w:pPr>
              <w:spacing w:lineRule="auto"/>
              <w:jc w:val="center"/>
            </w:pPr>
            <w:r>
              <w:rPr/>
              <w:t xml:space="preserve">560,5</w:t>
            </w:r>
          </w:p>
        </w:tc>
        <w:tc>
          <w:tcPr>
            <w:tcBorders>
              <w:bottom w:val="single" w:sz="8" w:space="0" w:color="000000"/>
              <w:right w:val="single" w:sz="8" w:space="0" w:color="000000"/>
            </w:tcBorders>
            <w:vAlign w:val="center"/>
          </w:tcPr>
          <w:p>
            <w:pPr>
              <w:spacing w:lineRule="auto"/>
              <w:jc w:val="center"/>
            </w:pPr>
            <w:r>
              <w:rPr/>
              <w:t xml:space="preserve">0,598</w:t>
            </w:r>
          </w:p>
        </w:tc>
      </w:tr>
    </w:tbl>
    <w:p>
      <w:pPr>
        <w:spacing w:lineRule="auto"/>
      </w:pPr>
    </w:p>
    <w:p>
      <w:pPr>
        <w:spacing w:lineRule="auto"/>
        <w:jc w:val="center"/>
      </w:pPr>
      <w:r>
        <w:rPr/>
        <w:drawing>
          <wp:inline distB="0" distL="0" distR="0" distT="0">
            <wp:extent cx="5486400" cy="3689131"/>
            <wp:effectExtent b="0" l="0" r="0" t="0"/>
            <wp:docPr id="6" name="image-f6aaa4ad85028eb9c675c26929b5fafeb058864d.jpg"/>
            <a:graphic>
              <a:graphicData uri="http://schemas.openxmlformats.org/drawingml/2006/picture">
                <pic:pic>
                  <pic:nvPicPr>
                    <pic:cNvPr id="6" name="image-f6aaa4ad85028eb9c675c26929b5fafeb058864d.jpg" descr=""/>
                    <pic:cNvPicPr/>
                  </pic:nvPicPr>
                  <pic:blipFill>
                    <a:blip r:embed="rId10" cstate="print"/>
                    <a:srcRect b="0" l="0" r="0" t="0"/>
                    <a:stretch>
                      <a:fillRect/>
                    </a:stretch>
                  </pic:blipFill>
                  <pic:spPr>
                    <a:xfrm>
                      <a:off x="0" y="0"/>
                      <a:ext cx="5486400" cy="3689131"/>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N</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Longueur</w:t>
            </w:r>
          </w:p>
          <w:p>
            <w:pPr>
              <w:spacing w:lineRule="auto"/>
              <w:jc w:val="center"/>
            </w:pPr>
            <w:r>
              <w:rPr/>
              <w:t xml:space="preserve">d'onde</w:t>
            </w:r>
          </w:p>
          <w:p>
            <w:pPr>
              <w:spacing w:lineRule="auto"/>
              <w:jc w:val="center"/>
            </w:pPr>
            <m:oMathPara>
              <m:oMathParaPr>
                <m:jc m:val="center"/>
              </m:oMathParaPr>
              <m:oMath>
                <m:r>
                  <m:rPr>
                    <m:sty m:val="p"/>
                  </m:rPr>
                  <m:t>(</m:t>
                </m:r>
                <m:r>
                  <m:rPr>
                    <m:sty m:val="p"/>
                  </m:rPr>
                  <m:t>nm</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Absorbance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576,5</w:t>
            </w:r>
          </w:p>
        </w:tc>
        <w:tc>
          <w:tcPr>
            <w:tcBorders>
              <w:bottom w:val="single" w:sz="8" w:space="0" w:color="000000"/>
              <w:right w:val="single" w:sz="8" w:space="0" w:color="000000"/>
            </w:tcBorders>
            <w:vAlign w:val="center"/>
          </w:tcPr>
          <w:p>
            <w:pPr>
              <w:spacing w:lineRule="auto"/>
              <w:jc w:val="center"/>
            </w:pPr>
            <w:r>
              <w:rPr/>
              <w:t xml:space="preserve">0,583</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2</w:t>
            </w:r>
          </w:p>
        </w:tc>
        <w:tc>
          <w:tcPr>
            <w:tcBorders>
              <w:bottom w:val="single" w:sz="8" w:space="0" w:color="000000"/>
              <w:right w:val="single" w:sz="8" w:space="0" w:color="000000"/>
            </w:tcBorders>
            <w:vAlign w:val="center"/>
          </w:tcPr>
          <w:p>
            <w:pPr>
              <w:spacing w:lineRule="auto"/>
              <w:jc w:val="center"/>
            </w:pPr>
            <w:r>
              <w:rPr/>
              <w:t xml:space="preserve">541,0</w:t>
            </w:r>
          </w:p>
        </w:tc>
        <w:tc>
          <w:tcPr>
            <w:tcBorders>
              <w:bottom w:val="single" w:sz="8" w:space="0" w:color="000000"/>
              <w:right w:val="single" w:sz="8" w:space="0" w:color="000000"/>
            </w:tcBorders>
            <w:vAlign w:val="center"/>
          </w:tcPr>
          <w:p>
            <w:pPr>
              <w:spacing w:lineRule="auto"/>
              <w:jc w:val="center"/>
            </w:pPr>
            <w:r>
              <w:rPr/>
              <w:t xml:space="preserve">0,640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3</w:t>
            </w:r>
          </w:p>
        </w:tc>
        <w:tc>
          <w:tcPr>
            <w:tcBorders>
              <w:bottom w:val="single" w:sz="8" w:space="0" w:color="000000"/>
              <w:right w:val="single" w:sz="8" w:space="0" w:color="000000"/>
            </w:tcBorders>
            <w:vAlign w:val="center"/>
          </w:tcPr>
          <w:p>
            <w:pPr>
              <w:spacing w:lineRule="auto"/>
              <w:jc w:val="center"/>
            </w:pPr>
            <w:r>
              <w:rPr/>
              <w:t xml:space="preserve">700,0</w:t>
            </w:r>
          </w:p>
        </w:tc>
        <w:tc>
          <w:tcPr>
            <w:tcBorders>
              <w:bottom w:val="single" w:sz="8" w:space="0" w:color="000000"/>
              <w:right w:val="single" w:sz="8" w:space="0" w:color="000000"/>
            </w:tcBorders>
            <w:vAlign w:val="center"/>
          </w:tcPr>
          <w:p>
            <w:pPr>
              <w:spacing w:lineRule="auto"/>
              <w:jc w:val="center"/>
            </w:pPr>
            <w:r>
              <w:rPr/>
              <w:t xml:space="preserve">0,011</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single" w:sz="8" w:space="0" w:color="000000"/>
            </w:tcBorders>
            <w:vAlign w:val="center"/>
          </w:tcPr>
          <w:p>
            <w:pPr>
              <w:spacing w:lineRule="auto"/>
              <w:jc w:val="center"/>
            </w:pPr>
            <w:r>
              <w:rPr/>
              <w:t xml:space="preserve">560,5</w:t>
            </w:r>
          </w:p>
        </w:tc>
        <w:tc>
          <w:tcPr>
            <w:tcBorders>
              <w:bottom w:val="single" w:sz="8" w:space="0" w:color="000000"/>
              <w:right w:val="single" w:sz="8" w:space="0" w:color="000000"/>
            </w:tcBorders>
            <w:vAlign w:val="center"/>
          </w:tcPr>
          <w:p>
            <w:pPr>
              <w:spacing w:lineRule="auto"/>
              <w:jc w:val="center"/>
            </w:pPr>
            <w:r>
              <w:rPr/>
              <w:t xml:space="preserve">0,477</w:t>
            </w:r>
          </w:p>
        </w:tc>
      </w:tr>
    </w:tbl>
    <w:p>
      <w:pPr>
        <w:spacing w:lineRule="auto"/>
      </w:pPr>
    </w:p>
    <w:p>
      <w:pPr>
        <w:numPr>
          <w:ilvl w:val="0"/>
          <w:numId w:val="3"/>
        </w:numPr>
        <w:spacing w:lineRule="auto"/>
      </w:pPr>
      <w:r>
        <w:rPr>
          <w:rFonts w:eastAsia="Georgia" w:cs="Georgia" w:ascii="Georgia" w:hAnsi="Georgia"/>
        </w:rPr>
        <w:t xml:space="preserve">En exploitant les informations automatisées de ces spectres ainsi que votre courbe d'étalonnage précédemment tracée, déterminer le pourcentage de </w:t>
      </w:r>
      <m:oMath>
        <m:r>
          <m:rPr>
            <m:sty m:val="i"/>
          </m:rPr>
          <m:t>C</m:t>
        </m:r>
        <m:r>
          <m:rPr>
            <m:sty m:val="i"/>
          </m:rPr>
          <m:t>O</m:t>
        </m:r>
      </m:oMath>
      <w:r>
        <w:rPr/>
        <w:t xml:space="preserve"> contenu dans le sang de chaque personne.</w:t>
      </w:r>
    </w:p>
    <w:p>
      <w:pPr>
        <w:numPr>
          <w:ilvl w:val="0"/>
          <w:numId w:val="3"/>
        </w:numPr>
        <w:spacing w:lineRule="auto"/>
      </w:pPr>
      <w:r>
        <w:rPr>
          <w:rFonts w:eastAsia="Georgia" w:cs="Georgia" w:ascii="Georgia" w:hAnsi="Georgia"/>
        </w:rPr>
        <w:t xml:space="preserve">Quelles sont vos conclusions : pour chaque situation, indiquer si le tribunal, dont relève la commune du site industriel, doit ouvrir une enquête pour homicide volontaire ou involontaire. Dans le cadre de la détermination du pourcentage de monoxyde de carbone dans le sang, on notera que le taux normal pour une personne non fumeuse doit être inférieure à </w:t>
      </w:r>
      <m:oMath>
        <m:r>
          <m:rPr>
            <m:sty m:val="p"/>
          </m:rPr>
          <m:t>5</m:t>
        </m:r>
        <m:r>
          <m:rPr>
            <m:sty m:val="p"/>
          </m:rPr>
          <m:t>%</m:t>
        </m:r>
      </m:oMath>
      <w:r>
        <w:rPr>
          <w:rFonts w:eastAsia="Georgia" w:cs="Georgia" w:ascii="Georgia" w:hAnsi="Georgia"/>
        </w:rPr>
        <w:t xml:space="preserve">, alors que les fumeurs présentent des niveaux qui peuvent atteindre </w:t>
      </w:r>
      <m:oMath>
        <m:r>
          <m:rPr>
            <m:sty m:val="p"/>
          </m:rPr>
          <m:t>9</m:t>
        </m:r>
        <m:r>
          <m:rPr>
            <m:sty m:val="p"/>
          </m:rPr>
          <m:t>%</m:t>
        </m:r>
      </m:oMath>
      <w:r>
        <w:rPr>
          <w:rFonts w:eastAsia="Georgia" w:cs="Georgia" w:ascii="Georgia" w:hAnsi="Georgia"/>
        </w:rPr>
        <w:t xml:space="preserve">. Une toxicité grave est souvent associée à des niveaux de carboxyhémoglobine supérieurs à </w:t>
      </w:r>
      <m:oMath>
        <m:r>
          <m:rPr>
            <m:sty m:val="p"/>
          </m:rPr>
          <m:t>25</m:t>
        </m:r>
        <m:r>
          <m:rPr>
            <m:sty m:val="p"/>
          </m:rPr>
          <m:t>%</m:t>
        </m:r>
      </m:oMath>
      <w:r>
        <w:rPr>
          <w:rFonts w:eastAsia="Georgia" w:cs="Georgia" w:ascii="Georgia" w:hAnsi="Georgia"/>
        </w:rPr>
        <w:t xml:space="preserve">, et le risque de mortalité devient élevé à des niveaux dépassant </w:t>
      </w:r>
      <m:oMath>
        <m:r>
          <m:rPr>
            <m:sty m:val="p"/>
          </m:rPr>
          <m:t>60</m:t>
        </m:r>
        <m:r>
          <m:rPr>
            <m:sty m:val="p"/>
          </m:rPr>
          <m:t>%</m:t>
        </m:r>
      </m:oMath>
      <w:r>
        <w:rPr/>
        <w:t xml:space="preserve">.</w:t>
      </w:r>
    </w:p>
    <w:p>
      <w:pPr>
        <w:spacing w:line="271" w:before="330" w:lineRule="auto"/>
      </w:pPr>
      <w:r>
        <w:rPr>
          <w:rFonts w:eastAsia="Georgia" w:cs="Georgia" w:ascii="Georgia" w:hAnsi="Georgia"/>
          <w:b/>
          <w:sz w:val="42"/>
        </w:rPr>
        <w:t xml:space="preserve">Données</w:t>
      </w:r>
    </w:p>
    <w:p>
      <w:pPr>
        <w:spacing w:after="220" w:lineRule="auto"/>
      </w:pPr>
      <m:oMathPara>
        <m:oMathParaPr>
          <m:jc m:val="left"/>
        </m:oMathParaPr>
        <m:oMath>
          <m:sSub>
            <m:sSubPr/>
            <m:e>
              <m:r>
                <m:rPr>
                  <m:sty m:val="i"/>
                </m:rPr>
                <m:t>r</m:t>
              </m:r>
            </m:e>
            <m:sub>
              <m:r>
                <m:rPr>
                  <m:sty m:val="i"/>
                </m:rPr>
                <m:t>Z</m:t>
              </m:r>
              <m:sSup>
                <m:sSupPr/>
                <m:e>
                  <m:r>
                    <m:rPr>
                      <m:sty m:val="i"/>
                    </m:rPr>
                    <m:t>n</m:t>
                  </m:r>
                </m:e>
                <m:sup>
                  <m:r>
                    <m:rPr>
                      <m:sty m:val="p"/>
                    </m:rPr>
                    <m:t>2</m:t>
                  </m:r>
                  <m:r>
                    <m:rPr>
                      <m:sty m:val="p"/>
                    </m:rPr>
                    <m:t>+</m:t>
                  </m:r>
                </m:sup>
              </m:sSup>
            </m:sub>
          </m:sSub>
          <m:r>
            <m:rPr>
              <m:sty m:val="p"/>
            </m:rPr>
            <m:t>=</m:t>
          </m:r>
          <m:r>
            <m:rPr>
              <m:sty m:val="p"/>
            </m:rPr>
            <m:t>72</m:t>
          </m:r>
          <m:r>
            <m:rPr>
              <m:sty m:val="p"/>
            </m:rPr>
            <m:t>pm</m:t>
          </m:r>
          <m:r>
            <m:rPr>
              <m:sty m:val="p"/>
            </m:rPr>
            <m:t>;</m:t>
          </m:r>
          <m:sSub>
            <m:sSubPr/>
            <m:e>
              <m:r>
                <m:rPr>
                  <m:sty m:val="i"/>
                </m:rPr>
                <m:t>r</m:t>
              </m:r>
            </m:e>
            <m:sub>
              <m:sSup>
                <m:sSupPr/>
                <m:e>
                  <m:r>
                    <m:rPr>
                      <m:sty m:val="i"/>
                    </m:rPr>
                    <m:t>O</m:t>
                  </m:r>
                </m:e>
                <m:sup>
                  <m:r>
                    <m:rPr>
                      <m:sty m:val="p"/>
                    </m:rPr>
                    <m:t>2</m:t>
                  </m:r>
                  <m:r>
                    <m:rPr>
                      <m:sty m:val="p"/>
                    </m:rPr>
                    <m:t>−</m:t>
                  </m:r>
                </m:sup>
              </m:sSup>
            </m:sub>
          </m:sSub>
          <m:r>
            <m:rPr>
              <m:sty m:val="p"/>
            </m:rPr>
            <m:t>=</m:t>
          </m:r>
          <m:r>
            <m:rPr>
              <m:sty m:val="p"/>
            </m:rPr>
            <m:t>140</m:t>
          </m:r>
          <m:r>
            <m:rPr>
              <m:sty m:val="p"/>
            </m:rPr>
            <m:t>pm</m:t>
          </m:r>
          <m:r>
            <m:rPr>
              <m:sty m:val="p"/>
            </m:rPr>
            <m:t>;</m:t>
          </m:r>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p"/>
            </m:rPr>
            <m:t>10</m:t>
          </m:r>
          <m:r>
            <m:rPr>
              <m:sty m:val="p"/>
            </m:rPr>
            <m:t>≈</m:t>
          </m:r>
          <m:r>
            <m:rPr>
              <m:sty m:val="p"/>
            </m:rPr>
            <m:t>0</m:t>
          </m:r>
          <m:r>
            <m:rPr>
              <m:sty m:val="p"/>
            </m:rPr>
            <m:t>,</m:t>
          </m:r>
          <m:r>
            <m:rPr>
              <m:sty m:val="p"/>
            </m:rPr>
            <m:t>06</m:t>
          </m:r>
        </m:oMath>
      </m:oMathPara>
      <w:r>
        <w:rPr/>
        <w:br w:type="textWrapping"/>
      </w:r>
      <w:r>
        <w:rPr/>
        <w:t xml:space="preserve">Constante d'Avogadro : </w:t>
      </w:r>
      <m:oMath>
        <m:sSub>
          <m:sSubPr/>
          <m:e>
            <m:r>
              <m:rPr>
                <m:sty m:val="i"/>
              </m:rPr>
              <m:t>N</m:t>
            </m:r>
          </m:e>
          <m:sub>
            <m:r>
              <m:rPr>
                <m:sty m:val="i"/>
              </m:rPr>
              <m:t>A</m:t>
            </m:r>
          </m:sub>
        </m:sSub>
        <m:r>
          <m:rPr>
            <m:sty m:val="p"/>
          </m:rPr>
          <m:t>=</m:t>
        </m:r>
        <m:r>
          <m:rPr>
            <m:sty m:val="p"/>
          </m:rPr>
          <m:t>6</m:t>
        </m:r>
        <m:r>
          <m:rPr>
            <m:sty m:val="p"/>
          </m:rPr>
          <m:t>,</m:t>
        </m:r>
        <m:sSup>
          <m:sSupPr/>
          <m:e>
            <m:r>
              <m:rPr>
                <m:sty m:val="p"/>
              </m:rPr>
              <m:t>02.10</m:t>
            </m:r>
          </m:e>
          <m:sup>
            <m:r>
              <m:rPr>
                <m:sty m:val="p"/>
              </m:rPr>
              <m:t>23</m:t>
            </m:r>
          </m:sup>
        </m:sSup>
        <m:sSup>
          <m:sSupPr/>
          <m:e>
            <m:r>
              <m:rPr>
                <m:nor/>
              </m:rPr>
              <m:t xml:space="preserve"> </m:t>
            </m:r>
            <m:r>
              <m:rPr>
                <m:sty m:val="p"/>
              </m:rPr>
              <m:t>mol</m:t>
            </m:r>
          </m:e>
          <m:sup>
            <m:r>
              <m:rPr>
                <m:sty m:val="p"/>
              </m:rPr>
              <m:t>−</m:t>
            </m:r>
            <m:r>
              <m:rPr>
                <m:sty m:val="p"/>
              </m:rPr>
              <m:t>1</m:t>
            </m:r>
          </m:sup>
        </m:sSup>
      </m:oMath>
      <w:r>
        <w:rPr/>
        <w:t xml:space="preserve">; Constante des gaz parfaits : </w:t>
      </w:r>
      <m:oMath>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oMath>
      <w:r>
        <w:rPr/>
        <w:br w:type="textWrapping"/>
      </w:r>
      <w:r>
        <w:rPr/>
        <w:t xml:space="preserve">Masse molaire : </w:t>
      </w:r>
      <m:oMath>
        <m:r>
          <m:rPr>
            <m:sty m:val="i"/>
          </m:rPr>
          <m:t>M</m:t>
        </m:r>
        <m:r>
          <m:rPr>
            <m:sty m:val="p"/>
          </m:rPr>
          <m:t>(</m:t>
        </m:r>
        <m:r>
          <m:rPr>
            <m:sty m:val="p"/>
          </m:rPr>
          <m:t>ZnO</m:t>
        </m:r>
        <m:r>
          <m:rPr>
            <m:sty m:val="p"/>
          </m:rPr>
          <m:t>)</m:t>
        </m:r>
        <m:r>
          <m:rPr>
            <m:sty m:val="p"/>
          </m:rPr>
          <m:t>=</m:t>
        </m:r>
        <m:r>
          <m:rPr>
            <m:sty m:val="p"/>
          </m:rPr>
          <m:t>81</m:t>
        </m:r>
        <m:r>
          <m:rPr>
            <m:sty m:val="p"/>
          </m:rPr>
          <m:t>,</m:t>
        </m:r>
        <m:r>
          <m:rPr>
            <m:sty m:val="p"/>
          </m:rPr>
          <m:t>38</m:t>
        </m:r>
        <m:sSup>
          <m:sSupPr/>
          <m:e>
            <m:r>
              <m:rPr>
                <m:sty m:val="p"/>
              </m:rPr>
              <m:t>g</m:t>
            </m:r>
            <m:r>
              <m:rPr>
                <m:sty m:val="p"/>
              </m:rPr>
              <m:t>.</m:t>
            </m:r>
            <m:r>
              <m:rPr>
                <m:sty m:val="p"/>
              </m:rPr>
              <m:t>mol</m:t>
            </m:r>
          </m:e>
          <m:sup>
            <m:r>
              <m:rPr>
                <m:sty m:val="p"/>
              </m:rPr>
              <m:t>−</m:t>
            </m:r>
            <m:r>
              <m:rPr>
                <m:sty m:val="p"/>
              </m:rPr>
              <m:t>1</m:t>
            </m:r>
          </m:sup>
        </m:sSup>
      </m:oMath>
      <w:r>
        <w:rPr/>
        <w:br w:type="textWrapping"/>
      </w:r>
      <m:oMathPara>
        <m:oMathParaPr>
          <m:jc m:val="left"/>
        </m:oMathParaPr>
        <m:oMath>
          <m:sSub>
            <m:sSubPr/>
            <m:e>
              <m:r>
                <m:rPr>
                  <m:sty m:val="i"/>
                </m:rPr>
                <m:t>T</m:t>
              </m:r>
            </m:e>
            <m:sub>
              <m:r>
                <m:rPr>
                  <m:nor/>
                </m:rPr>
                <m:t>fus </m:t>
              </m:r>
            </m:sub>
          </m:sSub>
          <m:r>
            <m:rPr>
              <m:sty m:val="p"/>
            </m:rPr>
            <m:t>(</m:t>
          </m:r>
          <m:r>
            <m:rPr>
              <m:sty m:val="p"/>
            </m:rPr>
            <m:t>ZnO</m:t>
          </m:r>
          <m:r>
            <m:rPr>
              <m:sty m:val="p"/>
            </m:rPr>
            <m:t>)</m:t>
          </m:r>
          <m:r>
            <m:rPr>
              <m:sty m:val="p"/>
            </m:rPr>
            <m:t>=</m:t>
          </m:r>
          <m:r>
            <m:rPr>
              <m:sty m:val="p"/>
            </m:rPr>
            <m:t>2248</m:t>
          </m:r>
          <m:r>
            <m:rPr>
              <m:nor/>
            </m:rPr>
            <m:t xml:space="preserve"> </m:t>
          </m:r>
          <m:r>
            <m:rPr>
              <m:sty m:val="p"/>
            </m:rPr>
            <m:t>K</m:t>
          </m:r>
          <m:r>
            <m:rPr>
              <m:sty m:val="p"/>
            </m:rPr>
            <m:t>;</m:t>
          </m:r>
          <m:sSub>
            <m:sSubPr/>
            <m:e>
              <m:r>
                <m:rPr>
                  <m:sty m:val="i"/>
                </m:rPr>
                <m:t>T</m:t>
              </m:r>
            </m:e>
            <m:sub>
              <m:r>
                <m:rPr>
                  <m:nor/>
                </m:rPr>
                <m:t>fus </m:t>
              </m:r>
            </m:sub>
          </m:sSub>
          <m:r>
            <m:rPr>
              <m:sty m:val="p"/>
            </m:rPr>
            <m:t>(</m:t>
          </m:r>
          <m:r>
            <m:rPr>
              <m:sty m:val="p"/>
            </m:rPr>
            <m:t>Zn</m:t>
          </m:r>
          <m:r>
            <m:rPr>
              <m:sty m:val="p"/>
            </m:rPr>
            <m:t>)</m:t>
          </m:r>
          <m:r>
            <m:rPr>
              <m:sty m:val="p"/>
            </m:rPr>
            <m:t>=</m:t>
          </m:r>
          <m:r>
            <m:rPr>
              <m:sty m:val="p"/>
            </m:rPr>
            <m:t>693</m:t>
          </m:r>
          <m:r>
            <m:rPr>
              <m:nor/>
            </m:rPr>
            <m:t xml:space="preserve"> </m:t>
          </m:r>
          <m:r>
            <m:rPr>
              <m:sty m:val="p"/>
            </m:rPr>
            <m:t>K</m:t>
          </m:r>
          <m:r>
            <m:rPr>
              <m:sty m:val="p"/>
            </m:rPr>
            <m:t>;</m:t>
          </m:r>
          <m:sSub>
            <m:sSubPr/>
            <m:e>
              <m:r>
                <m:rPr>
                  <m:sty m:val="i"/>
                </m:rPr>
                <m:t>T</m:t>
              </m:r>
            </m:e>
            <m:sub>
              <m:r>
                <m:rPr>
                  <m:sty m:val="i"/>
                </m:rPr>
                <m:t>e</m:t>
              </m:r>
              <m:r>
                <m:rPr>
                  <m:sty m:val="i"/>
                </m:rPr>
                <m:t>b</m:t>
              </m:r>
            </m:sub>
          </m:sSub>
          <m:r>
            <m:rPr>
              <m:sty m:val="p"/>
            </m:rPr>
            <m:t>(</m:t>
          </m:r>
          <m:r>
            <m:rPr>
              <m:sty m:val="p"/>
            </m:rPr>
            <m:t>Zn</m:t>
          </m:r>
          <m:r>
            <m:rPr>
              <m:sty m:val="p"/>
            </m:rPr>
            <m:t>)</m:t>
          </m:r>
          <m:r>
            <m:rPr>
              <m:sty m:val="p"/>
            </m:rPr>
            <m:t>=</m:t>
          </m:r>
          <m:r>
            <m:rPr>
              <m:sty m:val="p"/>
            </m:rPr>
            <m:t>1180</m:t>
          </m:r>
          <m:r>
            <m:rPr>
              <m:nor/>
            </m:rPr>
            <m:t xml:space="preserve"> </m:t>
          </m:r>
          <m:r>
            <m:rPr>
              <m:sty m:val="p"/>
            </m:rPr>
            <m:t>K</m:t>
          </m:r>
        </m:oMath>
      </m:oMathPara>
      <w:r>
        <w:rPr/>
        <w:br w:type="textWrapping"/>
      </w:r>
      <w:r>
        <w:rPr>
          <w:rFonts w:eastAsia="Georgia" w:cs="Georgia" w:ascii="Georgia" w:hAnsi="Georgia"/>
        </w:rPr>
        <w:t xml:space="preserve">Structure Würtzite : </w:t>
      </w:r>
      <m:oMath>
        <m:r>
          <m:rPr>
            <m:sty m:val="i"/>
          </m:rPr>
          <m:t>a</m:t>
        </m:r>
        <m:r>
          <m:rPr>
            <m:sty m:val="p"/>
          </m:rPr>
          <m:t>=</m:t>
        </m:r>
        <m:r>
          <m:rPr>
            <m:sty m:val="p"/>
          </m:rPr>
          <m:t>325</m:t>
        </m:r>
        <m:r>
          <m:rPr>
            <m:sty m:val="p"/>
          </m:rPr>
          <m:t>pm</m:t>
        </m:r>
      </m:oMath>
      <w:r>
        <w:rPr/>
        <w:t xml:space="preserve">; </w:t>
      </w:r>
      <m:oMath>
        <m:r>
          <m:rPr>
            <m:sty m:val="i"/>
          </m:rPr>
          <m:t>c</m:t>
        </m:r>
        <m:r>
          <m:rPr>
            <m:sty m:val="p"/>
          </m:rPr>
          <m:t>=</m:t>
        </m:r>
        <m:r>
          <m:rPr>
            <m:sty m:val="p"/>
          </m:rPr>
          <m:t>521</m:t>
        </m:r>
        <m:r>
          <m:rPr>
            <m:sty m:val="p"/>
          </m:rPr>
          <m:t>pm</m:t>
        </m:r>
      </m:oMath>
      <w:r>
        <w:rPr/>
        <w:br w:type="textWrapping"/>
      </w:r>
      <w:r>
        <w:rPr/>
        <w:t xml:space="preserve">Potentiels standards : </w:t>
      </w:r>
      <m:oMath>
        <m:sSup>
          <m:sSupPr/>
          <m:e>
            <m:r>
              <m:rPr>
                <m:sty m:val="i"/>
              </m:rPr>
              <m:t>E</m:t>
            </m:r>
          </m:e>
          <m:sup>
            <m:r>
              <m:rPr>
                <m:sty m:val="p"/>
              </m:rPr>
              <m:t>0</m:t>
            </m:r>
          </m:sup>
        </m:sSup>
        <m:d>
          <m:dPr>
            <m:begChr m:val="("/>
            <m:endChr m:val=")"/>
            <m:ctrlPr>
              <w:rPr>
                <w:rFonts w:ascii="Cambria Math" w:hAnsi="Cambria Math"/>
              </w:rPr>
            </m:ctrlPr>
          </m:dPr>
          <m:e>
            <m:r>
              <m:rPr>
                <m:sty m:val="i"/>
              </m:rPr>
              <m:t>P</m:t>
            </m:r>
            <m:sSup>
              <m:sSupPr/>
              <m:e>
                <m:r>
                  <m:rPr>
                    <m:sty m:val="i"/>
                  </m:rPr>
                  <m:t>d</m:t>
                </m:r>
              </m:e>
              <m:sup>
                <m:r>
                  <m:rPr>
                    <m:sty m:val="p"/>
                  </m:rPr>
                  <m:t>2</m:t>
                </m:r>
                <m:r>
                  <m:rPr>
                    <m:sty m:val="p"/>
                  </m:rPr>
                  <m:t>+</m:t>
                </m:r>
              </m:sup>
            </m:sSup>
            <m:r>
              <m:rPr>
                <m:sty m:val="p"/>
              </m:rPr>
              <m:t>(</m:t>
            </m:r>
            <m:r>
              <m:rPr>
                <m:sty m:val="i"/>
              </m:rPr>
              <m:t>a</m:t>
            </m:r>
            <m:r>
              <m:rPr>
                <m:sty m:val="i"/>
              </m:rPr>
              <m:t>q</m:t>
            </m:r>
            <m:r>
              <m:rPr>
                <m:sty m:val="p"/>
              </m:rPr>
              <m:t>)</m:t>
            </m:r>
            <m:r>
              <m:rPr>
                <m:sty m:val="p"/>
              </m:rPr>
              <m:t>/</m:t>
            </m:r>
            <m:r>
              <m:rPr>
                <m:sty m:val="i"/>
              </m:rPr>
              <m:t>P</m:t>
            </m:r>
            <m:r>
              <m:rPr>
                <m:sty m:val="i"/>
              </m:rPr>
              <m:t>d</m:t>
            </m:r>
            <m:r>
              <m:rPr>
                <m:sty m:val="p"/>
              </m:rPr>
              <m:t>(</m:t>
            </m:r>
            <m:r>
              <m:rPr>
                <m:sty m:val="i"/>
              </m:rPr>
              <m:t>s</m:t>
            </m:r>
            <m:r>
              <m:rPr>
                <m:sty m:val="p"/>
              </m:rPr>
              <m:t>)</m:t>
            </m:r>
          </m:e>
        </m:d>
        <m:r>
          <m:rPr>
            <m:sty m:val="p"/>
          </m:rPr>
          <m:t>=</m:t>
        </m:r>
        <m:r>
          <m:rPr>
            <m:sty m:val="p"/>
          </m:rPr>
          <m:t>0</m:t>
        </m:r>
        <m:r>
          <m:rPr>
            <m:sty m:val="p"/>
          </m:rPr>
          <m:t>,</m:t>
        </m:r>
        <m:r>
          <m:rPr>
            <m:sty m:val="p"/>
          </m:rPr>
          <m:t>951</m:t>
        </m:r>
        <m:r>
          <m:rPr>
            <m:sty m:val="i"/>
          </m:rPr>
          <m:t>V</m:t>
        </m:r>
        <m:r>
          <m:rPr>
            <m:sty m:val="p"/>
          </m:rPr>
          <m:t>;</m:t>
        </m:r>
        <m:sSup>
          <m:sSupPr/>
          <m:e>
            <m:r>
              <m:rPr>
                <m:sty m:val="i"/>
              </m:rPr>
              <m:t>E</m:t>
            </m:r>
          </m:e>
          <m:sup>
            <m:r>
              <m:rPr>
                <m:sty m:val="p"/>
              </m:rPr>
              <m:t>0</m:t>
            </m:r>
          </m:sup>
        </m:sSup>
        <m:d>
          <m:dPr>
            <m:begChr m:val="("/>
            <m:endChr m:val=")"/>
            <m:ctrlPr>
              <w:rPr>
                <w:rFonts w:ascii="Cambria Math" w:hAnsi="Cambria Math"/>
              </w:rPr>
            </m:ctrlPr>
          </m:dPr>
          <m:e>
            <m:sSub>
              <m:sSubPr/>
              <m:e>
                <m:r>
                  <m:rPr>
                    <m:sty m:val="p"/>
                  </m:rPr>
                  <m:t>CO</m:t>
                </m:r>
              </m:e>
              <m:sub>
                <m:r>
                  <m:rPr>
                    <m:sty m:val="p"/>
                  </m:rPr>
                  <m:t>2</m:t>
                </m:r>
              </m:sub>
            </m:sSub>
            <m:r>
              <m:rPr>
                <m:sty m:val="p"/>
              </m:rPr>
              <m:t>(</m:t>
            </m:r>
            <m:r>
              <m:rPr>
                <m:sty m:val="i"/>
              </m:rPr>
              <m:t>g</m:t>
            </m:r>
            <m:r>
              <m:rPr>
                <m:sty m:val="p"/>
              </m:rPr>
              <m:t>)</m:t>
            </m:r>
            <m:r>
              <m:rPr>
                <m:sty m:val="p"/>
              </m:rPr>
              <m:t>/</m:t>
            </m:r>
            <m:r>
              <m:rPr>
                <m:sty m:val="i"/>
              </m:rPr>
              <m:t>C</m:t>
            </m:r>
            <m:r>
              <m:rPr>
                <m:sty m:val="i"/>
              </m:rPr>
              <m:t>O</m:t>
            </m:r>
            <m:r>
              <m:rPr>
                <m:sty m:val="p"/>
              </m:rPr>
              <m:t>(</m:t>
            </m:r>
            <m:r>
              <m:rPr>
                <m:sty m:val="i"/>
              </m:rPr>
              <m:t>g</m:t>
            </m:r>
            <m:r>
              <m:rPr>
                <m:sty m:val="p"/>
              </m:rPr>
              <m:t>)</m:t>
            </m:r>
          </m:e>
        </m:d>
        <m:r>
          <m:rPr>
            <m:sty m:val="p"/>
          </m:rPr>
          <m:t>=</m:t>
        </m:r>
        <m:r>
          <m:rPr>
            <m:sty m:val="p"/>
          </m:rPr>
          <m:t>−</m:t>
        </m:r>
        <m:r>
          <m:rPr>
            <m:sty m:val="p"/>
          </m:rPr>
          <m:t>0</m:t>
        </m:r>
        <m:r>
          <m:rPr>
            <m:sty m:val="p"/>
          </m:rPr>
          <m:t>,</m:t>
        </m:r>
        <m:r>
          <m:rPr>
            <m:sty m:val="p"/>
          </m:rPr>
          <m:t>520</m:t>
        </m:r>
        <m:r>
          <m:rPr>
            <m:sty m:val="i"/>
          </m:rPr>
          <m:t>V</m:t>
        </m:r>
      </m:oMath>
    </w:p>
    <w:p>
      <w:pPr>
        <w:spacing w:line="271" w:before="330" w:lineRule="auto"/>
      </w:pPr>
      <w:r>
        <w:rPr>
          <w:rFonts w:eastAsia="Georgia" w:cs="Georgia" w:ascii="Georgia" w:hAnsi="Georgia"/>
          <w:b/>
          <w:sz w:val="42"/>
        </w:rPr>
        <w:t xml:space="preserve">Aides numériques</w:t>
      </w:r>
    </w:p>
    <w:p>
      <w:pPr>
        <w:spacing w:after="220" w:lineRule="auto"/>
      </w:pPr>
      <m:oMathPara>
        <m:oMathParaPr>
          <m:jc m:val="left"/>
        </m:oMathParaPr>
        <m:oMath>
          <m:f>
            <m:fPr>
              <m:ctrlPr>
                <w:rPr>
                  <w:rFonts w:ascii="Cambria Math" w:hAnsi="Cambria Math"/>
                </w:rPr>
              </m:ctrlPr>
            </m:fPr>
            <m:num>
              <m:r>
                <m:rPr>
                  <m:sty m:val="p"/>
                </m:rPr>
                <m:t>81</m:t>
              </m:r>
              <m:r>
                <m:rPr>
                  <m:sty m:val="p"/>
                </m:rPr>
                <m:t>,</m:t>
              </m:r>
              <m:sSup>
                <m:sSupPr/>
                <m:e>
                  <m:r>
                    <m:rPr>
                      <m:sty m:val="p"/>
                    </m:rPr>
                    <m:t>38.10</m:t>
                  </m:r>
                </m:e>
                <m:sup>
                  <m:r>
                    <m:rPr>
                      <m:sty m:val="p"/>
                    </m:rPr>
                    <m:t>7</m:t>
                  </m:r>
                </m:sup>
              </m:sSup>
            </m:num>
            <m:den>
              <m:r>
                <m:rPr>
                  <m:sty m:val="p"/>
                </m:rPr>
                <m:t>6</m:t>
              </m:r>
              <m:r>
                <m:rPr>
                  <m:sty m:val="p"/>
                </m:rPr>
                <m:t>,</m:t>
              </m:r>
              <m:r>
                <m:rPr>
                  <m:sty m:val="p"/>
                </m:rPr>
                <m:t>02</m:t>
              </m:r>
              <m:r>
                <m:rPr>
                  <m:sty m:val="p"/>
                </m:rPr>
                <m:t>×</m:t>
              </m:r>
              <m:r>
                <m:rPr>
                  <m:sty m:val="p"/>
                </m:rPr>
                <m:t>(</m:t>
              </m:r>
              <m:r>
                <m:rPr>
                  <m:sty m:val="p"/>
                </m:rPr>
                <m:t>245</m:t>
              </m:r>
              <m:sSup>
                <m:sSupPr/>
                <m:e>
                  <m:r>
                    <m:rPr>
                      <m:sty m:val="p"/>
                    </m:rPr>
                    <m:t>)</m:t>
                  </m:r>
                </m:e>
                <m:sup>
                  <m:r>
                    <m:rPr>
                      <m:sty m:val="p"/>
                    </m:rPr>
                    <m:t>3</m:t>
                  </m:r>
                </m:sup>
              </m:sSup>
            </m:den>
          </m:f>
          <m:r>
            <m:rPr>
              <m:sty m:val="p"/>
            </m:rPr>
            <m:t>≈</m:t>
          </m:r>
          <m:r>
            <m:rPr>
              <m:sty m:val="p"/>
            </m:rPr>
            <m:t>9</m:t>
          </m:r>
          <m:r>
            <m:rPr>
              <m:sty m:val="p"/>
            </m:rPr>
            <m:t>,</m:t>
          </m:r>
          <m:r>
            <m:rPr>
              <m:sty m:val="p"/>
            </m:rPr>
            <m:t>192</m:t>
          </m:r>
          <m:r>
            <m:rPr>
              <m:sty m:val="p"/>
            </m:rPr>
            <m:t>;</m:t>
          </m:r>
          <m:r>
            <m:rPr>
              <m:sty m:val="p"/>
            </m:rPr>
            <m:t xml:space="preserve"> </m:t>
          </m:r>
          <m:f>
            <m:fPr>
              <m:ctrlPr>
                <w:rPr>
                  <w:rFonts w:ascii="Cambria Math" w:hAnsi="Cambria Math"/>
                </w:rPr>
              </m:ctrlPr>
            </m:fPr>
            <m:num>
              <m:r>
                <m:rPr>
                  <m:sty m:val="p"/>
                </m:rPr>
                <m:t>81</m:t>
              </m:r>
              <m:r>
                <m:rPr>
                  <m:sty m:val="p"/>
                </m:rPr>
                <m:t>,</m:t>
              </m:r>
              <m:sSup>
                <m:sSupPr/>
                <m:e>
                  <m:r>
                    <m:rPr>
                      <m:sty m:val="p"/>
                    </m:rPr>
                    <m:t>38.10</m:t>
                  </m:r>
                </m:e>
                <m:sup>
                  <m:r>
                    <m:rPr>
                      <m:sty m:val="p"/>
                    </m:rPr>
                    <m:t>7</m:t>
                  </m:r>
                </m:sup>
              </m:sSup>
            </m:num>
            <m:den>
              <m:r>
                <m:rPr>
                  <m:sty m:val="p"/>
                </m:rPr>
                <m:t>6</m:t>
              </m:r>
              <m:r>
                <m:rPr>
                  <m:sty m:val="p"/>
                </m:rPr>
                <m:t>,</m:t>
              </m:r>
              <m:r>
                <m:rPr>
                  <m:sty m:val="p"/>
                </m:rPr>
                <m:t>02</m:t>
              </m:r>
              <m:r>
                <m:rPr>
                  <m:sty m:val="p"/>
                </m:rPr>
                <m:t>×</m:t>
              </m:r>
              <m:r>
                <m:rPr>
                  <m:sty m:val="p"/>
                </m:rPr>
                <m:t>(</m:t>
              </m:r>
              <m:r>
                <m:rPr>
                  <m:sty m:val="p"/>
                </m:rPr>
                <m:t>424</m:t>
              </m:r>
              <m:sSup>
                <m:sSupPr/>
                <m:e>
                  <m:r>
                    <m:rPr>
                      <m:sty m:val="p"/>
                    </m:rPr>
                    <m:t>)</m:t>
                  </m:r>
                </m:e>
                <m:sup>
                  <m:r>
                    <m:rPr>
                      <m:sty m:val="p"/>
                    </m:rPr>
                    <m:t>3</m:t>
                  </m:r>
                </m:sup>
              </m:sSup>
            </m:den>
          </m:f>
          <m:r>
            <m:rPr>
              <m:sty m:val="p"/>
            </m:rPr>
            <m:t>≈</m:t>
          </m:r>
          <m:r>
            <m:rPr>
              <m:sty m:val="p"/>
            </m:rPr>
            <m:t>1</m:t>
          </m:r>
          <m:r>
            <m:rPr>
              <m:sty m:val="p"/>
            </m:rPr>
            <m:t>,</m:t>
          </m:r>
          <m:r>
            <m:rPr>
              <m:sty m:val="p"/>
            </m:rPr>
            <m:t>773</m:t>
          </m:r>
          <m:r>
            <m:rPr>
              <m:sty m:val="p"/>
            </m:rPr>
            <m:t>;</m:t>
          </m:r>
          <m:r>
            <m:rPr>
              <m:sty m:val="p"/>
            </m:rPr>
            <m:t xml:space="preserve"> </m:t>
          </m:r>
          <m:f>
            <m:fPr>
              <m:ctrlPr>
                <w:rPr>
                  <w:rFonts w:ascii="Cambria Math" w:hAnsi="Cambria Math"/>
                </w:rPr>
              </m:ctrlPr>
            </m:fPr>
            <m:num>
              <m:r>
                <m:rPr>
                  <m:sty m:val="p"/>
                </m:rPr>
                <m:t>424</m:t>
              </m:r>
            </m:num>
            <m:den>
              <m:rad>
                <m:radPr>
                  <m:degHide m:val="1"/>
                  <m:ctrlPr>
                    <w:rPr>
                      <w:rFonts w:ascii="Cambria Math" w:hAnsi="Cambria Math"/>
                    </w:rPr>
                  </m:ctrlPr>
                </m:radPr>
                <m:deg/>
                <m:e>
                  <m:r>
                    <m:rPr>
                      <m:sty m:val="p"/>
                    </m:rPr>
                    <m:t>3</m:t>
                  </m:r>
                </m:e>
              </m:rad>
            </m:den>
          </m:f>
          <m:r>
            <m:rPr>
              <m:sty m:val="p"/>
            </m:rPr>
            <m:t>≈</m:t>
          </m:r>
          <m:r>
            <m:rPr>
              <m:sty m:val="p"/>
            </m:rPr>
            <m:t>245</m:t>
          </m:r>
          <m:r>
            <m:rPr>
              <m:sty m:val="p"/>
            </m:rPr>
            <m:t>;</m:t>
          </m:r>
          <m:r>
            <m:rPr>
              <m:sty m:val="p"/>
            </m:rPr>
            <m:t xml:space="preserve"> </m:t>
          </m:r>
          <m:f>
            <m:fPr>
              <m:ctrlPr>
                <w:rPr>
                  <w:rFonts w:ascii="Cambria Math" w:hAnsi="Cambria Math"/>
                </w:rPr>
              </m:ctrlPr>
            </m:fPr>
            <m:num>
              <m:rad>
                <m:radPr>
                  <m:degHide m:val="1"/>
                  <m:ctrlPr>
                    <w:rPr>
                      <w:rFonts w:ascii="Cambria Math" w:hAnsi="Cambria Math"/>
                    </w:rPr>
                  </m:ctrlPr>
                </m:radPr>
                <m:deg/>
                <m:e>
                  <m:r>
                    <m:rPr>
                      <m:sty m:val="p"/>
                    </m:rPr>
                    <m:t>3</m:t>
                  </m:r>
                </m:e>
              </m:rad>
            </m:num>
            <m:den>
              <m:r>
                <m:rPr>
                  <m:sty m:val="p"/>
                </m:rPr>
                <m:t>2</m:t>
              </m:r>
            </m:den>
          </m:f>
          <m:r>
            <m:rPr>
              <m:sty m:val="p"/>
            </m:rPr>
            <m:t>×</m:t>
          </m:r>
          <m:r>
            <m:rPr>
              <m:sty m:val="p"/>
            </m:rPr>
            <m:t>(</m:t>
          </m:r>
          <m:r>
            <m:rPr>
              <m:sty m:val="p"/>
            </m:rPr>
            <m:t>325</m:t>
          </m:r>
          <m:sSup>
            <m:sSupPr/>
            <m:e>
              <m:r>
                <m:rPr>
                  <m:sty m:val="p"/>
                </m:rPr>
                <m:t>)</m:t>
              </m:r>
            </m:e>
            <m:sup>
              <m:r>
                <m:rPr>
                  <m:sty m:val="p"/>
                </m:rPr>
                <m:t>2</m:t>
              </m:r>
            </m:sup>
          </m:sSup>
          <m:r>
            <m:rPr>
              <m:sty m:val="p"/>
            </m:rPr>
            <m:t>×</m:t>
          </m:r>
          <m:sSup>
            <m:sSupPr/>
            <m:e>
              <m:r>
                <m:rPr>
                  <m:sty m:val="p"/>
                </m:rPr>
                <m:t>521.10</m:t>
              </m:r>
            </m:e>
            <m:sup>
              <m:r>
                <m:rPr>
                  <m:sty m:val="p"/>
                </m:rPr>
                <m:t>−</m:t>
              </m:r>
              <m:r>
                <m:rPr>
                  <m:sty m:val="p"/>
                </m:rPr>
                <m:t>7</m:t>
              </m:r>
            </m:sup>
          </m:sSup>
          <m:r>
            <m:rPr>
              <m:sty m:val="p"/>
            </m:rPr>
            <m:t>≈</m:t>
          </m:r>
          <m:r>
            <m:rPr>
              <m:sty m:val="p"/>
            </m:rPr>
            <m:t>4</m:t>
          </m:r>
          <m:r>
            <m:rPr>
              <m:sty m:val="p"/>
            </m:rPr>
            <m:t>,</m:t>
          </m:r>
          <m:r>
            <m:rPr>
              <m:sty m:val="p"/>
            </m:rPr>
            <m:t>77</m:t>
          </m:r>
          <m:r>
            <m:rPr>
              <m:sty m:val="p"/>
            </m:rPr>
            <m:t>;</m:t>
          </m:r>
        </m:oMath>
      </m:oMathPara>
      <w:r>
        <w:rPr/>
        <w:br w:type="textWrapping"/>
      </w:r>
      <m:oMathPara>
        <m:oMathParaPr>
          <m:jc m:val="left"/>
        </m:oMathParaPr>
        <m:oMath>
          <m:f>
            <m:fPr>
              <m:ctrlPr>
                <w:rPr>
                  <w:rFonts w:ascii="Cambria Math" w:hAnsi="Cambria Math"/>
                </w:rPr>
              </m:ctrlPr>
            </m:fPr>
            <m:num>
              <m:r>
                <m:rPr>
                  <m:sty m:val="p"/>
                </m:rPr>
                <m:t>143</m:t>
              </m:r>
            </m:num>
            <m:den>
              <m:r>
                <m:rPr>
                  <m:sty m:val="p"/>
                </m:rPr>
                <m:t>4</m:t>
              </m:r>
              <m:r>
                <m:rPr>
                  <m:sty m:val="p"/>
                </m:rPr>
                <m:t>,</m:t>
              </m:r>
              <m:sSup>
                <m:sSupPr/>
                <m:e>
                  <m:r>
                    <m:rPr>
                      <m:sty m:val="p"/>
                    </m:rPr>
                    <m:t>64.10</m:t>
                  </m:r>
                </m:e>
                <m:sup>
                  <m:r>
                    <m:rPr>
                      <m:sty m:val="p"/>
                    </m:rPr>
                    <m:t>−</m:t>
                  </m:r>
                  <m:r>
                    <m:rPr>
                      <m:sty m:val="p"/>
                    </m:rPr>
                    <m:t>2</m:t>
                  </m:r>
                </m:sup>
              </m:sSup>
            </m:den>
          </m:f>
          <m:r>
            <m:rPr>
              <m:sty m:val="p"/>
            </m:rPr>
            <m:t>≈</m:t>
          </m:r>
          <m:r>
            <m:rPr>
              <m:sty m:val="p"/>
            </m:rPr>
            <m:t>3</m:t>
          </m:r>
          <m:r>
            <m:rPr>
              <m:sty m:val="p"/>
            </m:rPr>
            <m:t>,</m:t>
          </m:r>
          <m:sSup>
            <m:sSupPr/>
            <m:e>
              <m:r>
                <m:rPr>
                  <m:sty m:val="p"/>
                </m:rPr>
                <m:t>08.10</m:t>
              </m:r>
            </m:e>
            <m:sup>
              <m:r>
                <m:rPr>
                  <m:sty m:val="p"/>
                </m:rPr>
                <m:t>2</m:t>
              </m:r>
            </m:sup>
          </m:sSup>
          <m:r>
            <m:rPr>
              <m:sty m:val="p"/>
            </m:rPr>
            <m:t>;</m:t>
          </m:r>
          <m:r>
            <m:rPr>
              <m:sty m:val="p"/>
            </m:rPr>
            <m:t xml:space="preserve"> </m:t>
          </m:r>
          <m:r>
            <m:rPr>
              <m:sty m:val="p"/>
            </m:rPr>
            <m:t>143</m:t>
          </m:r>
          <m:r>
            <m:rPr>
              <m:sty m:val="p"/>
            </m:rPr>
            <m:t>×</m:t>
          </m:r>
          <m:r>
            <m:rPr>
              <m:sty m:val="p"/>
            </m:rPr>
            <m:t>4</m:t>
          </m:r>
          <m:r>
            <m:rPr>
              <m:sty m:val="p"/>
            </m:rPr>
            <m:t>,</m:t>
          </m:r>
          <m:sSup>
            <m:sSupPr/>
            <m:e>
              <m:r>
                <m:rPr>
                  <m:sty m:val="p"/>
                </m:rPr>
                <m:t>64.10</m:t>
              </m:r>
            </m:e>
            <m:sup>
              <m:r>
                <m:rPr>
                  <m:sty m:val="p"/>
                </m:rPr>
                <m:t>−</m:t>
              </m:r>
              <m:r>
                <m:rPr>
                  <m:sty m:val="p"/>
                </m:rPr>
                <m:t>2</m:t>
              </m:r>
            </m:sup>
          </m:sSup>
          <m:r>
            <m:rPr>
              <m:sty m:val="p"/>
            </m:rPr>
            <m:t>≈</m:t>
          </m:r>
          <m:r>
            <m:rPr>
              <m:sty m:val="p"/>
            </m:rPr>
            <m:t>6</m:t>
          </m:r>
          <m:r>
            <m:rPr>
              <m:sty m:val="p"/>
            </m:rPr>
            <m:t>,</m:t>
          </m:r>
          <m:r>
            <m:rPr>
              <m:sty m:val="p"/>
            </m:rPr>
            <m:t>64</m:t>
          </m:r>
          <m:r>
            <m:rPr>
              <m:sty m:val="p"/>
            </m:rPr>
            <m:t>;</m:t>
          </m:r>
          <m:r>
            <m:rPr>
              <m:sty m:val="p"/>
            </m:rPr>
            <m:t xml:space="preserve"> </m:t>
          </m:r>
          <m:f>
            <m:fPr>
              <m:ctrlPr>
                <w:rPr>
                  <w:rFonts w:ascii="Cambria Math" w:hAnsi="Cambria Math"/>
                </w:rPr>
              </m:ctrlPr>
            </m:fPr>
            <m:num>
              <m:r>
                <m:rPr>
                  <m:sty m:val="p"/>
                </m:rPr>
                <m:t>4</m:t>
              </m:r>
              <m:r>
                <m:rPr>
                  <m:sty m:val="p"/>
                </m:rPr>
                <m:t>,</m:t>
              </m:r>
              <m:sSup>
                <m:sSupPr/>
                <m:e>
                  <m:r>
                    <m:rPr>
                      <m:sty m:val="p"/>
                    </m:rPr>
                    <m:t>64.10</m:t>
                  </m:r>
                </m:e>
                <m:sup>
                  <m:r>
                    <m:rPr>
                      <m:sty m:val="p"/>
                    </m:rPr>
                    <m:t>−</m:t>
                  </m:r>
                  <m:r>
                    <m:rPr>
                      <m:sty m:val="p"/>
                    </m:rPr>
                    <m:t>2</m:t>
                  </m:r>
                </m:sup>
              </m:sSup>
            </m:num>
            <m:den>
              <m:r>
                <m:rPr>
                  <m:sty m:val="p"/>
                </m:rPr>
                <m:t>143</m:t>
              </m:r>
            </m:den>
          </m:f>
          <m:r>
            <m:rPr>
              <m:sty m:val="p"/>
            </m:rPr>
            <m:t>≈</m:t>
          </m:r>
          <m:r>
            <m:rPr>
              <m:sty m:val="p"/>
            </m:rPr>
            <m:t>3</m:t>
          </m:r>
          <m:r>
            <m:rPr>
              <m:sty m:val="p"/>
            </m:rPr>
            <m:t>,</m:t>
          </m:r>
          <m:sSup>
            <m:sSupPr/>
            <m:e>
              <m:r>
                <m:rPr>
                  <m:sty m:val="p"/>
                </m:rPr>
                <m:t>24.10</m:t>
              </m:r>
            </m:e>
            <m:sup>
              <m:r>
                <m:rPr>
                  <m:sty m:val="p"/>
                </m:rPr>
                <m:t>−</m:t>
              </m:r>
              <m:r>
                <m:rPr>
                  <m:sty m:val="p"/>
                </m:rPr>
                <m:t>4</m:t>
              </m:r>
            </m:sup>
          </m:sSup>
          <m:r>
            <m:rPr>
              <m:sty m:val="p"/>
            </m:rPr>
            <m:t>;</m:t>
          </m:r>
          <m:r>
            <m:rPr>
              <m:sty m:val="p"/>
            </m:rPr>
            <m:t xml:space="preserve"> </m:t>
          </m:r>
          <m:r>
            <m:rPr>
              <m:sty m:val="p"/>
            </m:rPr>
            <m:t>1</m:t>
          </m:r>
          <m:r>
            <m:rPr>
              <m:sty m:val="p"/>
            </m:rPr>
            <m:t>,</m:t>
          </m:r>
          <m:r>
            <m:rPr>
              <m:sty m:val="p"/>
            </m:rPr>
            <m:t>773</m:t>
          </m:r>
          <m:r>
            <m:rPr>
              <m:sty m:val="p"/>
            </m:rPr>
            <m:t>×</m:t>
          </m:r>
          <m:r>
            <m:rPr>
              <m:sty m:val="p"/>
            </m:rPr>
            <m:t>4</m:t>
          </m:r>
          <m:r>
            <m:rPr>
              <m:sty m:val="p"/>
            </m:rPr>
            <m:t>≈</m:t>
          </m:r>
          <m:r>
            <m:rPr>
              <m:sty m:val="p"/>
            </m:rPr>
            <m:t>7</m:t>
          </m:r>
          <m:r>
            <m:rPr>
              <m:sty m:val="p"/>
            </m:rPr>
            <m:t>,</m:t>
          </m:r>
          <m:r>
            <m:rPr>
              <m:sty m:val="p"/>
            </m:rPr>
            <m:t>092</m:t>
          </m:r>
          <m:r>
            <m:rPr>
              <m:sty m:val="p"/>
            </m:rPr>
            <m:t>;</m:t>
          </m:r>
        </m:oMath>
      </m:oMathPara>
      <w:r>
        <w:rPr/>
        <w:br w:type="textWrapping"/>
      </w:r>
      <m:oMathPara>
        <m:oMathParaPr>
          <m:jc m:val="left"/>
        </m:oMathParaPr>
        <m:oMath>
          <m:f>
            <m:fPr>
              <m:ctrlPr>
                <w:rPr>
                  <w:rFonts w:ascii="Cambria Math" w:hAnsi="Cambria Math"/>
                </w:rPr>
              </m:ctrlPr>
            </m:fPr>
            <m:num>
              <m:r>
                <m:rPr>
                  <m:sty m:val="p"/>
                </m:rPr>
                <m:t>1</m:t>
              </m:r>
              <m:r>
                <m:rPr>
                  <m:sty m:val="p"/>
                </m:rPr>
                <m:t>,</m:t>
              </m:r>
              <m:r>
                <m:rPr>
                  <m:sty m:val="p"/>
                </m:rPr>
                <m:t>773</m:t>
              </m:r>
            </m:num>
            <m:den>
              <m:r>
                <m:rPr>
                  <m:sty m:val="p"/>
                </m:rPr>
                <m:t>4</m:t>
              </m:r>
            </m:den>
          </m:f>
          <m:r>
            <m:rPr>
              <m:sty m:val="p"/>
            </m:rPr>
            <m:t>≈</m:t>
          </m:r>
          <m:r>
            <m:rPr>
              <m:sty m:val="p"/>
            </m:rPr>
            <m:t>0</m:t>
          </m:r>
          <m:r>
            <m:rPr>
              <m:sty m:val="p"/>
            </m:rPr>
            <m:t>,</m:t>
          </m:r>
          <m:r>
            <m:rPr>
              <m:sty m:val="p"/>
            </m:rPr>
            <m:t>443</m:t>
          </m:r>
          <m:r>
            <m:rPr>
              <m:sty m:val="p"/>
            </m:rPr>
            <m:t>;</m:t>
          </m:r>
          <m:f>
            <m:fPr>
              <m:ctrlPr>
                <w:rPr>
                  <w:rFonts w:ascii="Cambria Math" w:hAnsi="Cambria Math"/>
                </w:rPr>
              </m:ctrlPr>
            </m:fPr>
            <m:num>
              <m:r>
                <m:rPr>
                  <m:sty m:val="p"/>
                </m:rPr>
                <m:t>2</m:t>
              </m:r>
              <m:r>
                <m:rPr>
                  <m:sty m:val="p"/>
                </m:rPr>
                <m:t>×</m:t>
              </m:r>
              <m:r>
                <m:rPr>
                  <m:sty m:val="p"/>
                </m:rPr>
                <m:t>81</m:t>
              </m:r>
              <m:r>
                <m:rPr>
                  <m:sty m:val="p"/>
                </m:rPr>
                <m:t>,</m:t>
              </m:r>
              <m:r>
                <m:rPr>
                  <m:sty m:val="p"/>
                </m:rPr>
                <m:t>38</m:t>
              </m:r>
            </m:num>
            <m:den>
              <m:r>
                <m:rPr>
                  <m:sty m:val="p"/>
                </m:rPr>
                <m:t>6</m:t>
              </m:r>
              <m:r>
                <m:rPr>
                  <m:sty m:val="p"/>
                </m:rPr>
                <m:t>,</m:t>
              </m:r>
              <m:r>
                <m:rPr>
                  <m:sty m:val="p"/>
                </m:rPr>
                <m:t>02</m:t>
              </m:r>
              <m:r>
                <m:rPr>
                  <m:sty m:val="p"/>
                </m:rPr>
                <m:t>×</m:t>
              </m:r>
              <m:r>
                <m:rPr>
                  <m:sty m:val="p"/>
                </m:rPr>
                <m:t>4</m:t>
              </m:r>
              <m:r>
                <m:rPr>
                  <m:sty m:val="p"/>
                </m:rPr>
                <m:t>,</m:t>
              </m:r>
              <m:r>
                <m:rPr>
                  <m:sty m:val="p"/>
                </m:rPr>
                <m:t>77</m:t>
              </m:r>
            </m:den>
          </m:f>
          <m:r>
            <m:rPr>
              <m:sty m:val="p"/>
            </m:rPr>
            <m:t>≈</m:t>
          </m:r>
          <m:r>
            <m:rPr>
              <m:sty m:val="p"/>
            </m:rPr>
            <m:t>5</m:t>
          </m:r>
          <m:r>
            <m:rPr>
              <m:sty m:val="p"/>
            </m:rPr>
            <m:t>,</m:t>
          </m:r>
          <m:r>
            <m:rPr>
              <m:sty m:val="p"/>
            </m:rPr>
            <m:t>67</m:t>
          </m:r>
          <m:r>
            <m:rPr>
              <m:sty m:val="p"/>
            </m:rPr>
            <m:t>;</m:t>
          </m:r>
          <m:f>
            <m:fPr>
              <m:ctrlPr>
                <w:rPr>
                  <w:rFonts w:ascii="Cambria Math" w:hAnsi="Cambria Math"/>
                </w:rPr>
              </m:ctrlPr>
            </m:fPr>
            <m:num>
              <m:r>
                <m:rPr>
                  <m:sty m:val="p"/>
                </m:rPr>
                <m:t>52</m:t>
              </m:r>
              <m:r>
                <m:rPr>
                  <m:sty m:val="p"/>
                </m:rPr>
                <m:t>,</m:t>
              </m:r>
              <m:sSup>
                <m:sSupPr/>
                <m:e>
                  <m:r>
                    <m:rPr>
                      <m:sty m:val="p"/>
                    </m:rPr>
                    <m:t>5.10</m:t>
                  </m:r>
                </m:e>
                <m:sup>
                  <m:r>
                    <m:rPr>
                      <m:sty m:val="p"/>
                    </m:rPr>
                    <m:t>3</m:t>
                  </m:r>
                </m:sup>
              </m:sSup>
            </m:num>
            <m:den>
              <m:r>
                <m:rPr>
                  <m:sty m:val="p"/>
                </m:rPr>
                <m:t>8</m:t>
              </m:r>
              <m:r>
                <m:rPr>
                  <m:sty m:val="p"/>
                </m:rPr>
                <m:t>,</m:t>
              </m:r>
              <m:r>
                <m:rPr>
                  <m:sty m:val="p"/>
                </m:rPr>
                <m:t>314</m:t>
              </m:r>
              <m:r>
                <m:rPr>
                  <m:sty m:val="p"/>
                </m:rPr>
                <m:t>×</m:t>
              </m:r>
              <m:r>
                <m:rPr>
                  <m:sty m:val="p"/>
                </m:rPr>
                <m:t>1273</m:t>
              </m:r>
            </m:den>
          </m:f>
          <m:r>
            <m:rPr>
              <m:sty m:val="p"/>
            </m:rPr>
            <m:t>≈</m:t>
          </m:r>
          <m:r>
            <m:rPr>
              <m:sty m:val="p"/>
            </m:rPr>
            <m:t>4</m:t>
          </m:r>
          <m:r>
            <m:rPr>
              <m:sty m:val="p"/>
            </m:rPr>
            <m:t>,</m:t>
          </m:r>
          <m:r>
            <m:rPr>
              <m:sty m:val="p"/>
            </m:rPr>
            <m:t>96</m:t>
          </m:r>
          <m:r>
            <m:rPr>
              <m:sty m:val="p"/>
            </m:rPr>
            <m:t>;</m:t>
          </m:r>
          <m:f>
            <m:fPr>
              <m:ctrlPr>
                <w:rPr>
                  <w:rFonts w:ascii="Cambria Math" w:hAnsi="Cambria Math"/>
                </w:rPr>
              </m:ctrlPr>
            </m:fPr>
            <m:num>
              <m:r>
                <m:rPr>
                  <m:sty m:val="p"/>
                </m:rPr>
                <m:t>32</m:t>
              </m:r>
              <m:r>
                <m:rPr>
                  <m:sty m:val="p"/>
                </m:rPr>
                <m:t>,</m:t>
              </m:r>
              <m:sSup>
                <m:sSupPr/>
                <m:e>
                  <m:r>
                    <m:rPr>
                      <m:sty m:val="p"/>
                    </m:rPr>
                    <m:t>5.10</m:t>
                  </m:r>
                </m:e>
                <m:sup>
                  <m:r>
                    <m:rPr>
                      <m:sty m:val="p"/>
                    </m:rPr>
                    <m:t>3</m:t>
                  </m:r>
                </m:sup>
              </m:sSup>
            </m:num>
            <m:den>
              <m:r>
                <m:rPr>
                  <m:sty m:val="p"/>
                </m:rPr>
                <m:t>8</m:t>
              </m:r>
              <m:r>
                <m:rPr>
                  <m:sty m:val="p"/>
                </m:rPr>
                <m:t>,</m:t>
              </m:r>
              <m:r>
                <m:rPr>
                  <m:sty m:val="p"/>
                </m:rPr>
                <m:t>314</m:t>
              </m:r>
              <m:r>
                <m:rPr>
                  <m:sty m:val="p"/>
                </m:rPr>
                <m:t>×</m:t>
              </m:r>
              <m:r>
                <m:rPr>
                  <m:sty m:val="p"/>
                </m:rPr>
                <m:t>1273</m:t>
              </m:r>
            </m:den>
          </m:f>
          <m:r>
            <m:rPr>
              <m:sty m:val="p"/>
            </m:rPr>
            <m:t>≈</m:t>
          </m:r>
          <m:r>
            <m:rPr>
              <m:sty m:val="p"/>
            </m:rPr>
            <m:t>3</m:t>
          </m:r>
          <m:r>
            <m:rPr>
              <m:sty m:val="p"/>
            </m:rPr>
            <m:t>,</m:t>
          </m:r>
          <m:r>
            <m:rPr>
              <m:sty m:val="p"/>
            </m:rPr>
            <m:t>07</m:t>
          </m:r>
          <m:r>
            <m:rPr>
              <m:sty m:val="p"/>
            </m:rPr>
            <m:t>;</m:t>
          </m:r>
          <m:r>
            <m:rPr>
              <m:sty m:val="p"/>
            </m:rPr>
            <m:t xml:space="preserve"> </m:t>
          </m:r>
          <m:sSup>
            <m:sSupPr/>
            <m:e>
              <m:r>
                <m:rPr>
                  <m:sty m:val="i"/>
                </m:rPr>
                <m:t>e</m:t>
              </m:r>
            </m:e>
            <m:sup>
              <m:r>
                <m:rPr>
                  <m:sty m:val="p"/>
                </m:rPr>
                <m:t>3</m:t>
              </m:r>
              <m:r>
                <m:rPr>
                  <m:sty m:val="p"/>
                </m:rPr>
                <m:t>,</m:t>
              </m:r>
              <m:r>
                <m:rPr>
                  <m:sty m:val="p"/>
                </m:rPr>
                <m:t>07</m:t>
              </m:r>
            </m:sup>
          </m:sSup>
          <m:r>
            <m:rPr>
              <m:sty m:val="p"/>
            </m:rPr>
            <m:t>≈</m:t>
          </m:r>
          <m:r>
            <m:rPr>
              <m:sty m:val="p"/>
            </m:rPr>
            <m:t>21</m:t>
          </m:r>
          <m:r>
            <m:rPr>
              <m:sty m:val="p"/>
            </m:rPr>
            <m:t>,</m:t>
          </m:r>
          <m:r>
            <m:rPr>
              <m:sty m:val="p"/>
            </m:rPr>
            <m:t>5</m:t>
          </m:r>
          <m:r>
            <m:rPr>
              <m:sty m:val="p"/>
            </m:rPr>
            <m:t>;</m:t>
          </m:r>
        </m:oMath>
      </m:oMathPara>
      <w:r>
        <w:rPr/>
        <w:br w:type="textWrapping"/>
      </w:r>
      <m:oMath>
        <m:sSup>
          <m:sSupPr/>
          <m:e>
            <m:r>
              <m:rPr>
                <m:sty m:val="i"/>
              </m:rPr>
              <m:t>e</m:t>
            </m:r>
          </m:e>
          <m:sup>
            <m:r>
              <m:rPr>
                <m:sty m:val="p"/>
              </m:rPr>
              <m:t>−</m:t>
            </m:r>
            <m:r>
              <m:rPr>
                <m:sty m:val="p"/>
              </m:rPr>
              <m:t>3</m:t>
            </m:r>
            <m:r>
              <m:rPr>
                <m:sty m:val="p"/>
              </m:rPr>
              <m:t>,</m:t>
            </m:r>
            <m:r>
              <m:rPr>
                <m:sty m:val="p"/>
              </m:rPr>
              <m:t>07</m:t>
            </m:r>
          </m:sup>
        </m:sSup>
        <m:r>
          <m:rPr>
            <m:sty m:val="p"/>
          </m:rPr>
          <m:t>≈</m:t>
        </m:r>
        <m:r>
          <m:rPr>
            <m:sty m:val="p"/>
          </m:rPr>
          <m:t>4</m:t>
        </m:r>
        <m:r>
          <m:rPr>
            <m:sty m:val="p"/>
          </m:rPr>
          <m:t>,</m:t>
        </m:r>
        <m:sSup>
          <m:sSupPr/>
          <m:e>
            <m:r>
              <m:rPr>
                <m:sty m:val="p"/>
              </m:rPr>
              <m:t>64.10</m:t>
            </m:r>
          </m:e>
          <m:sup>
            <m:r>
              <m:rPr>
                <m:sty m:val="p"/>
              </m:rPr>
              <m:t>−</m:t>
            </m:r>
            <m:r>
              <m:rPr>
                <m:sty m:val="p"/>
              </m:rPr>
              <m:t>2</m:t>
            </m:r>
          </m:sup>
        </m:sSup>
        <m:r>
          <m:rPr>
            <m:sty m:val="p"/>
          </m:rPr>
          <m:t>;</m:t>
        </m:r>
        <m:sSup>
          <m:sSupPr/>
          <m:e>
            <m:r>
              <m:rPr>
                <m:sty m:val="i"/>
              </m:rPr>
              <m:t>e</m:t>
            </m:r>
          </m:e>
          <m:sup>
            <m:r>
              <m:rPr>
                <m:sty m:val="p"/>
              </m:rPr>
              <m:t>4</m:t>
            </m:r>
            <m:r>
              <m:rPr>
                <m:sty m:val="p"/>
              </m:rPr>
              <m:t>,</m:t>
            </m:r>
            <m:r>
              <m:rPr>
                <m:sty m:val="p"/>
              </m:rPr>
              <m:t>96</m:t>
            </m:r>
          </m:sup>
        </m:sSup>
        <m:r>
          <m:rPr>
            <m:sty m:val="p"/>
          </m:rPr>
          <m:t>≈</m:t>
        </m:r>
        <m:r>
          <m:rPr>
            <m:sty m:val="p"/>
          </m:rPr>
          <m:t>143</m:t>
        </m:r>
        <m:r>
          <m:rPr>
            <m:sty m:val="p"/>
          </m:rPr>
          <m:t>;</m:t>
        </m:r>
        <m:sSup>
          <m:sSupPr/>
          <m:e>
            <m:r>
              <m:rPr>
                <m:sty m:val="i"/>
              </m:rPr>
              <m:t>e</m:t>
            </m:r>
          </m:e>
          <m:sup>
            <m:r>
              <m:rPr>
                <m:sty m:val="p"/>
              </m:rPr>
              <m:t>−</m:t>
            </m:r>
            <m:r>
              <m:rPr>
                <m:sty m:val="p"/>
              </m:rPr>
              <m:t>4</m:t>
            </m:r>
            <m:r>
              <m:rPr>
                <m:sty m:val="p"/>
              </m:rPr>
              <m:t>,</m:t>
            </m:r>
            <m:r>
              <m:rPr>
                <m:sty m:val="p"/>
              </m:rPr>
              <m:t>96</m:t>
            </m:r>
          </m:sup>
        </m:sSup>
        <m:r>
          <m:rPr>
            <m:sty m:val="p"/>
          </m:rPr>
          <m:t>≈</m:t>
        </m:r>
        <m:r>
          <m:rPr>
            <m:sty m:val="p"/>
          </m:rPr>
          <m:t>7</m:t>
        </m:r>
        <m:r>
          <m:rPr>
            <m:sty m:val="p"/>
          </m:rPr>
          <m:t>,</m:t>
        </m:r>
        <m:sSup>
          <m:sSupPr/>
          <m:e>
            <m:r>
              <m:rPr>
                <m:sty m:val="p"/>
              </m:rPr>
              <m:t>01.10</m:t>
            </m:r>
          </m:e>
          <m:sup>
            <m:r>
              <m:rPr>
                <m:sty m:val="p"/>
              </m:rPr>
              <m:t>−</m:t>
            </m:r>
            <m:r>
              <m:rPr>
                <m:sty m:val="p"/>
              </m:rPr>
              <m:t>3</m:t>
            </m:r>
          </m:sup>
        </m:sSup>
        <m:r>
          <m:rPr>
            <m:sty m:val="p"/>
          </m:rPr>
          <m:t>;</m:t>
        </m:r>
        <m:f>
          <m:fPr>
            <m:ctrlPr>
              <w:rPr>
                <w:rFonts w:ascii="Cambria Math" w:hAnsi="Cambria Math"/>
              </w:rPr>
            </m:ctrlPr>
          </m:fPr>
          <m:num>
            <m:r>
              <m:rPr>
                <m:sty m:val="p"/>
              </m:rPr>
              <m:t>1</m:t>
            </m:r>
            <m:r>
              <m:rPr>
                <m:sty m:val="p"/>
              </m:rPr>
              <m:t>,</m:t>
            </m:r>
            <m:r>
              <m:rPr>
                <m:sty m:val="p"/>
              </m:rPr>
              <m:t>049</m:t>
            </m:r>
          </m:num>
          <m:den>
            <m:r>
              <m:rPr>
                <m:sty m:val="p"/>
              </m:rPr>
              <m:t>0</m:t>
            </m:r>
            <m:r>
              <m:rPr>
                <m:sty m:val="p"/>
              </m:rPr>
              <m:t>,</m:t>
            </m:r>
            <m:r>
              <m:rPr>
                <m:sty m:val="p"/>
              </m:rPr>
              <m:t>598</m:t>
            </m:r>
          </m:den>
        </m:f>
        <m:r>
          <m:rPr>
            <m:sty m:val="p"/>
          </m:rPr>
          <m:t>≈</m:t>
        </m:r>
        <m:r>
          <m:rPr>
            <m:sty m:val="p"/>
          </m:rPr>
          <m:t>1</m:t>
        </m:r>
        <m:r>
          <m:rPr>
            <m:sty m:val="p"/>
          </m:rPr>
          <m:t>,</m:t>
        </m:r>
        <m:r>
          <m:rPr>
            <m:sty m:val="p"/>
          </m:rPr>
          <m:t>754</m:t>
        </m:r>
        <m:r>
          <m:rPr>
            <m:sty m:val="p"/>
          </m:rPr>
          <m:t>;</m:t>
        </m:r>
        <m:f>
          <m:fPr>
            <m:ctrlPr>
              <w:rPr>
                <w:rFonts w:ascii="Cambria Math" w:hAnsi="Cambria Math"/>
              </w:rPr>
            </m:ctrlPr>
          </m:fPr>
          <m:num>
            <m:r>
              <m:rPr>
                <m:sty m:val="p"/>
              </m:rPr>
              <m:t>0</m:t>
            </m:r>
            <m:r>
              <m:rPr>
                <m:sty m:val="p"/>
              </m:rPr>
              <m:t>,</m:t>
            </m:r>
            <m:r>
              <m:rPr>
                <m:sty m:val="p"/>
              </m:rPr>
              <m:t>583</m:t>
            </m:r>
          </m:num>
          <m:den>
            <m:r>
              <m:rPr>
                <m:sty m:val="p"/>
              </m:rPr>
              <m:t>0</m:t>
            </m:r>
            <m:r>
              <m:rPr>
                <m:sty m:val="p"/>
              </m:rPr>
              <m:t>,</m:t>
            </m:r>
            <m:r>
              <m:rPr>
                <m:sty m:val="p"/>
              </m:rPr>
              <m:t>477</m:t>
            </m:r>
          </m:den>
        </m:f>
        <m:r>
          <m:rPr>
            <m:sty m:val="p"/>
          </m:rPr>
          <m:t>≈</m:t>
        </m:r>
        <m:r>
          <m:rPr>
            <m:sty m:val="p"/>
          </m:rPr>
          <m:t>1</m:t>
        </m:r>
        <m:r>
          <m:rPr>
            <m:sty m:val="p"/>
          </m:rPr>
          <m:t>,</m:t>
        </m:r>
        <m:r>
          <m:rPr>
            <m:sty m:val="p"/>
          </m:rPr>
          <m:t>222</m:t>
        </m:r>
      </m:oMath>
      <w:r>
        <w:rPr/>
        <w:t xml:space="preserve">.</w:t>
      </w:r>
    </w:p>
    <w:p>
      <w:pPr>
        <w:spacing w:after="220" w:lineRule="auto"/>
      </w:pPr>
      <w:r>
        <w:rPr/>
        <w:t xml:space="preserve">Examen ou Concours :</w:t>
      </w:r>
      <w:r>
        <w:rPr/>
        <w:br w:type="textWrapping"/>
      </w:r>
      <w:r>
        <w:rPr>
          <w:rFonts w:eastAsia="Georgia" w:cs="Georgia" w:ascii="Georgia" w:hAnsi="Georgia"/>
        </w:rPr>
        <w:t xml:space="preserve">Spécialité/option:</w:t>
      </w:r>
      <w:r>
        <w:rPr/>
        <w:br w:type="textWrapping"/>
      </w:r>
      <w:r>
        <w:rPr>
          <w:rFonts w:eastAsia="Georgia" w:cs="Georgia" w:ascii="Georgia" w:hAnsi="Georgia"/>
        </w:rPr>
        <w:t xml:space="preserve">Épreuve/sous-épreuve:</w:t>
      </w:r>
    </w:p>
    <w:p>
      <w:pPr>
        <w:spacing w:after="220" w:lineRule="auto"/>
      </w:pPr>
      <w:r>
        <w:rPr/>
        <w:t xml:space="preserve">NOM :</w:t>
      </w:r>
      <w:r>
        <w:rPr/>
        <w:br w:type="textWrapping"/>
      </w:r>
      <w:r>
        <w:rPr>
          <w:rFonts w:eastAsia="Georgia" w:cs="Georgia" w:ascii="Georgia" w:hAnsi="Georgia"/>
        </w:rPr>
        <w:t xml:space="preserve">(en majuscules, suivi, s'il y a lieu, du nom d'épouse)</w:t>
      </w:r>
    </w:p>
    <w:p>
      <w:pPr>
        <w:spacing w:after="220" w:lineRule="auto"/>
      </w:pPr>
      <w:r>
        <w:rPr>
          <w:rFonts w:eastAsia="Georgia" w:cs="Georgia" w:ascii="Georgia" w:hAnsi="Georgia"/>
        </w:rPr>
        <w:t xml:space="preserve">Prénoms:</w:t>
      </w:r>
      <w:r>
        <w:rPr/>
        <w:br w:type="textWrapping"/>
      </w:r>
      <w:r>
        <w:rPr>
          <w:rFonts w:eastAsia="Georgia" w:cs="Georgia" w:ascii="Georgia" w:hAnsi="Georgia"/>
        </w:rPr>
        <w:t xml:space="preserve">Né(e) le</w:t>
      </w:r>
    </w:p>
    <w:p>
      <w:pPr>
        <w:spacing w:lineRule="auto"/>
        <w:jc w:val="center"/>
      </w:pPr>
      <w:r>
        <w:rPr/>
        <w:drawing>
          <wp:inline distB="0" distL="0" distR="0" distT="0">
            <wp:extent cx="2838450" cy="3028950"/>
            <wp:effectExtent b="0" l="0" r="0" t="0"/>
            <wp:docPr id="7" name="image-65fd8a8e215d73af9344427a4ee1ee7a6a63cb42.jpg"/>
            <a:graphic>
              <a:graphicData uri="http://schemas.openxmlformats.org/drawingml/2006/picture">
                <pic:pic>
                  <pic:nvPicPr>
                    <pic:cNvPr id="7" name="image-65fd8a8e215d73af9344427a4ee1ee7a6a63cb42.jpg" descr=""/>
                    <pic:cNvPicPr/>
                  </pic:nvPicPr>
                  <pic:blipFill>
                    <a:blip r:embed="rId11" cstate="print"/>
                    <a:srcRect b="0" l="0" r="0" t="0"/>
                    <a:stretch>
                      <a:fillRect/>
                    </a:stretch>
                  </pic:blipFill>
                  <pic:spPr>
                    <a:xfrm>
                      <a:off x="0" y="0"/>
                      <a:ext cx="2838450" cy="3028950"/>
                    </a:xfrm>
                    <a:prstGeom prst="rect"/>
                  </pic:spPr>
                </pic:pic>
              </a:graphicData>
            </a:graphic>
          </wp:inline>
        </w:drawing>
      </w:r>
    </w:p>
    <w:p>
      <w:pPr>
        <w:spacing w:lineRule="auto"/>
      </w:pPr>
      <w:r>
        <w:rPr/>
        <w:t xml:space="preserve">Cristallographie</w:t>
      </w:r>
    </w:p>
    <w:p>
      <w:pPr>
        <w:spacing w:after="220" w:lineRule="auto"/>
      </w:pPr>
      <w:r>
        <w:rPr/>
        <w:t xml:space="preserve">Structure cubique</w:t>
      </w:r>
    </w:p>
    <w:p>
      <w:pPr>
        <w:spacing w:line="271" w:before="330" w:lineRule="auto"/>
      </w:pPr>
      <w:r>
        <w:rPr>
          <w:rFonts w:eastAsia="Georgia" w:cs="Georgia" w:ascii="Georgia" w:hAnsi="Georgia"/>
          <w:b/>
          <w:sz w:val="42"/>
        </w:rPr>
        <w:t xml:space="preserve">ANNEXE à rendre avec la copie</w:t>
      </w:r>
    </w:p>
    <w:p>
      <w:pPr>
        <w:spacing w:after="220" w:lineRule="auto"/>
      </w:pPr>
      <m:oMath>
        <m:sSup>
          <m:sSupPr/>
          <m:e>
            <m:r>
              <m:rPr>
                <m:sty m:val="p"/>
              </m:rPr>
              <m:t>N</m:t>
            </m:r>
          </m:e>
          <m:sup>
            <m:r>
              <m:rPr>
                <m:sty m:val="p"/>
              </m:rPr>
              <m:t>∘</m:t>
            </m:r>
          </m:sup>
        </m:sSup>
      </m:oMath>
      <w:r>
        <w:rPr/>
        <w:t xml:space="preserve"> du candidat</w:t>
      </w:r>
      <w:r>
        <w:rPr/>
        <w:br w:type="textWrapping"/>
      </w:r>
      <m:oMath>
        <m:r>
          <m:rPr>
            <m:sty m:val="i"/>
          </m:rPr>
          <m:t>◻</m:t>
        </m:r>
      </m:oMath>
      <w:r>
        <w:rPr>
          <w:rFonts w:eastAsia="Georgia" w:cs="Georgia" w:ascii="Georgia" w:hAnsi="Georgia"/>
        </w:rPr>
        <w:t xml:space="preserve"> (le numèro est celui qui figure sur la convocation ou la liste d'appel)</w:t>
      </w:r>
    </w:p>
    <w:p>
      <w:pPr>
        <w:spacing w:lineRule="auto"/>
        <w:jc w:val="center"/>
      </w:pPr>
      <w:r>
        <w:rPr/>
        <w:drawing>
          <wp:inline distB="0" distL="0" distR="0" distT="0">
            <wp:extent cx="2838450" cy="3048000"/>
            <wp:effectExtent b="0" l="0" r="0" t="0"/>
            <wp:docPr id="8" name="image-1f6fe4801f8177cb8ca5b954d8f1b6e9a5715bd1.jpg"/>
            <a:graphic>
              <a:graphicData uri="http://schemas.openxmlformats.org/drawingml/2006/picture">
                <pic:pic>
                  <pic:nvPicPr>
                    <pic:cNvPr id="8" name="image-1f6fe4801f8177cb8ca5b954d8f1b6e9a5715bd1.jpg" descr=""/>
                    <pic:cNvPicPr/>
                  </pic:nvPicPr>
                  <pic:blipFill>
                    <a:blip r:embed="rId12" cstate="print"/>
                    <a:srcRect b="0" l="0" r="0" t="0"/>
                    <a:stretch>
                      <a:fillRect/>
                    </a:stretch>
                  </pic:blipFill>
                  <pic:spPr>
                    <a:xfrm>
                      <a:off x="0" y="0"/>
                      <a:ext cx="2838450" cy="3048000"/>
                    </a:xfrm>
                    <a:prstGeom prst="rect"/>
                  </pic:spPr>
                </pic:pic>
              </a:graphicData>
            </a:graphic>
          </wp:inline>
        </w:drawing>
      </w:r>
    </w:p>
    <w:p>
      <w:pPr>
        <w:spacing w:lineRule="auto"/>
      </w:pPr>
      <w:r>
        <w:rPr/>
        <w:t xml:space="preserve">Structure Rocksalt</w:t>
      </w:r>
    </w:p>
    <w:p>
      <w:pPr>
        <w:spacing w:after="220" w:lineRule="auto"/>
      </w:pPr>
      <w:r>
        <w:rPr>
          <w:rFonts w:eastAsia="Georgia" w:cs="Georgia" w:ascii="Georgia" w:hAnsi="Georgia"/>
        </w:rPr>
        <w:t xml:space="preserve">Diagramme d'Ellingham (rapporté à une mole de dioxygène) : </w:t>
      </w:r>
      <m:oMath>
        <m:sSub>
          <m:sSubPr/>
          <m:e>
            <m:r>
              <m:rPr>
                <m:sty m:val="p"/>
              </m:rPr>
              <m:t>Δ</m:t>
            </m:r>
          </m:e>
          <m:sub>
            <m:r>
              <m:rPr>
                <m:sty m:val="i"/>
              </m:rPr>
              <m:t>r</m:t>
            </m:r>
          </m:sub>
        </m:sSub>
        <m:sSup>
          <m:sSupPr/>
          <m:e>
            <m:r>
              <m:rPr>
                <m:sty m:val="i"/>
              </m:rPr>
              <m:t>G</m:t>
            </m:r>
          </m:e>
          <m:sup>
            <m:r>
              <m:rPr>
                <m:sty m:val="p"/>
              </m:rPr>
              <m:t>0</m:t>
            </m:r>
          </m:sup>
        </m:sSup>
        <m:r>
          <m:rPr>
            <m:sty m:val="p"/>
          </m:rPr>
          <m:t>=</m:t>
        </m:r>
        <m:r>
          <m:rPr>
            <m:sty m:val="i"/>
          </m:rPr>
          <m:t>f</m:t>
        </m:r>
        <m:r>
          <m:rPr>
            <m:sty m:val="p"/>
          </m:rPr>
          <m:t>(</m:t>
        </m:r>
        <m:r>
          <m:rPr>
            <m:sty m:val="i"/>
          </m:rPr>
          <m:t>T</m:t>
        </m:r>
        <m:r>
          <m:rPr>
            <m:sty m:val="p"/>
          </m:rPr>
          <m:t>)</m:t>
        </m:r>
      </m:oMath>
    </w:p>
    <w:p>
      <w:pPr>
        <w:spacing w:lineRule="auto"/>
      </w:pPr>
      <w:r>
        <w:rPr/>
        <w:t xml:space="preserve">Cristallographie</w:t>
      </w:r>
    </w:p>
    <w:p>
      <w:pPr>
        <w:spacing w:lineRule="auto"/>
        <w:jc w:val="center"/>
      </w:pPr>
      <w:r>
        <w:rPr/>
        <w:drawing>
          <wp:inline distB="0" distL="0" distR="0" distT="0">
            <wp:extent cx="5486400" cy="5736515"/>
            <wp:effectExtent b="0" l="0" r="0" t="0"/>
            <wp:docPr id="9" name="image-88fe86043704d9e1d63ddcc4bbbb6dda4f392d0c.jpg"/>
            <a:graphic>
              <a:graphicData uri="http://schemas.openxmlformats.org/drawingml/2006/picture">
                <pic:pic>
                  <pic:nvPicPr>
                    <pic:cNvPr id="9" name="image-88fe86043704d9e1d63ddcc4bbbb6dda4f392d0c.jpg" descr=""/>
                    <pic:cNvPicPr/>
                  </pic:nvPicPr>
                  <pic:blipFill>
                    <a:blip r:embed="rId13" cstate="print"/>
                    <a:srcRect b="0" l="0" r="0" t="0"/>
                    <a:stretch>
                      <a:fillRect/>
                    </a:stretch>
                  </pic:blipFill>
                  <pic:spPr>
                    <a:xfrm>
                      <a:off x="0" y="0"/>
                      <a:ext cx="5486400" cy="5736515"/>
                    </a:xfrm>
                    <a:prstGeom prst="rect"/>
                  </pic:spPr>
                </pic:pic>
              </a:graphicData>
            </a:graphic>
          </wp:inline>
        </w:drawing>
      </w:r>
    </w:p>
    <w:p>
      <w:pPr>
        <w:spacing w:after="220" w:lineRule="auto"/>
      </w:pPr>
      <w:r>
        <w:rPr>
          <w:rFonts w:eastAsia="Georgia" w:cs="Georgia" w:ascii="Georgia" w:hAnsi="Georgia"/>
        </w:rPr>
        <w:t xml:space="preserve">_1</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nor/>
                  </m:rPr>
                  <m:t> (-) </m:t>
                </m:r>
              </m:e>
            </m:mr>
          </m:m>
        </m:oMath>
      </m:oMathPara>
    </w:p>
    <w:p>
      <w:pPr>
        <w:spacing w:after="220" w:lineRule="auto"/>
      </w:pPr>
      <w:r>
        <w:rPr/>
        <w:t xml:space="preserve">II est interdit aux candidats de signer leur composition ou d'y mettre un signe quelconque pouvant indiquer sa provenance</w:t>
      </w:r>
    </w:p>
    <w:p>
      <w:pPr>
        <w:spacing w:line="288" w:after="220" w:lineRule="auto"/>
        <w:jc w:val="center"/>
      </w:pPr>
      <w:r>
        <w:rPr>
          <w:b/>
          <w:sz w:val="56"/>
        </w:rPr>
        <w:t xml:space="preserve">Epreuve de Physique C - Thermodynamique</w:t>
      </w:r>
    </w:p>
    <w:p>
      <w:pPr>
        <w:spacing w:line="271" w:before="330" w:lineRule="auto"/>
      </w:pPr>
      <w:r>
        <w:rPr>
          <w:rFonts w:eastAsia="Georgia" w:cs="Georgia" w:ascii="Georgia" w:hAnsi="Georgia"/>
          <w:b/>
          <w:sz w:val="42"/>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t xml:space="preserve">Le sujet comporte 7 pages.</w:t>
      </w:r>
    </w:p>
    <w:p>
      <w:pPr>
        <w:spacing w:line="271" w:before="330" w:lineRule="auto"/>
      </w:pPr>
      <w:r>
        <w:rPr>
          <w:rFonts w:eastAsia="Georgia" w:cs="Georgia" w:ascii="Georgia" w:hAnsi="Georgia"/>
          <w:b/>
          <w:sz w:val="42"/>
        </w:rPr>
        <w:t xml:space="preserve">Etude d'un congélateur</w:t>
      </w:r>
    </w:p>
    <w:p>
      <w:pPr>
        <w:spacing w:after="220" w:lineRule="auto"/>
      </w:pPr>
      <w:r>
        <w:rPr>
          <w:rFonts w:eastAsia="Georgia" w:cs="Georgia" w:ascii="Georgia" w:hAnsi="Georgia"/>
        </w:rPr>
        <w:t xml:space="preserve">La première partie du problème est consacrée à l'étude des échanges énergétiques nécessaires au bon fonctionnement du congélateur d'un réfrigérateur et la seconde partie à l'étude du cycle thermodynamique décrit par le fluide du réfrigérateur permettant d'atteindre un bon C.O.P (coefficient de performance ou encore efficacité).</w:t>
      </w:r>
    </w:p>
    <w:p>
      <w:pPr>
        <w:spacing w:after="220" w:lineRule="auto"/>
      </w:pPr>
      <w:r>
        <w:rPr>
          <w:rFonts w:eastAsia="Georgia" w:cs="Georgia" w:ascii="Georgia" w:hAnsi="Georgia"/>
        </w:rPr>
        <w:t xml:space="preserve">Dans le congélateur la température intérieure est maintenue à - </w:t>
      </w:r>
      <m:oMath>
        <m:sSup>
          <m:sSupPr/>
          <m:e>
            <m:r>
              <m:rPr>
                <m:sty m:val="p"/>
              </m:rPr>
              <m:t>10</m:t>
            </m:r>
          </m:e>
          <m:sup>
            <m:r>
              <m:rPr>
                <m:sty m:val="p"/>
              </m:rPr>
              <m:t>∘</m:t>
            </m:r>
          </m:sup>
        </m:sSup>
        <m:r>
          <m:rPr>
            <m:sty m:val="p"/>
          </m:rPr>
          <m:t>C</m:t>
        </m:r>
      </m:oMath>
      <w:r>
        <w:rPr>
          <w:rFonts w:eastAsia="Georgia" w:cs="Georgia" w:ascii="Georgia" w:hAnsi="Georgia"/>
        </w:rPr>
        <w:t xml:space="preserve">, été comme hiver. On considèrera que la température extérieure est </w:t>
      </w:r>
      <m:oMath>
        <m:sSup>
          <m:sSupPr/>
          <m:e>
            <m:r>
              <m:rPr>
                <m:sty m:val="p"/>
              </m:rPr>
              <m:t>20</m:t>
            </m:r>
          </m:e>
          <m:sup>
            <m:r>
              <m:rPr>
                <m:sty m:val="p"/>
              </m:rPr>
              <m:t>∘</m:t>
            </m:r>
          </m:sup>
        </m:sSup>
        <m:r>
          <m:rPr>
            <m:sty m:val="p"/>
          </m:rPr>
          <m:t>C</m:t>
        </m:r>
      </m:oMath>
      <w:r>
        <w:rPr/>
        <w:t xml:space="preserve"> en hiver et </w:t>
      </w:r>
      <m:oMath>
        <m:sSup>
          <m:sSupPr/>
          <m:e>
            <m:r>
              <m:rPr>
                <m:sty m:val="p"/>
              </m:rPr>
              <m:t>30</m:t>
            </m:r>
          </m:e>
          <m:sup>
            <m:r>
              <m:rPr>
                <m:sty m:val="p"/>
              </m:rPr>
              <m:t>∘</m:t>
            </m:r>
          </m:sup>
        </m:sSup>
        <m:r>
          <m:rPr>
            <m:sty m:val="p"/>
          </m:rPr>
          <m:t>C</m:t>
        </m:r>
      </m:oMath>
      <w:r>
        <w:rPr>
          <w:rFonts w:eastAsia="Georgia" w:cs="Georgia" w:ascii="Georgia" w:hAnsi="Georgia"/>
        </w:rPr>
        <w:t xml:space="preserve"> en été. Le fluide thermodynamique utilisé est le R134A dont les données figurent dans l'annexe 2 . On considère, sauf mention explicite de l'énoncé, que le réfrigérateur fonctionne en régime permanent. Toutes les données numériques utiles sont regroupées en fin de problème.</w:t>
      </w:r>
      <w:r>
        <w:rPr/>
        <w:br w:type="textWrapping"/>
      </w:r>
      <w:r>
        <w:rPr>
          <w:rFonts w:eastAsia="Georgia" w:cs="Georgia" w:ascii="Georgia" w:hAnsi="Georgia"/>
        </w:rPr>
        <w:t xml:space="preserve">Les candidats feront les arrondis qu'ils jugent nécessaires pour fournir des résultats numériques à un ou deux chiffres significatifs, ce dernier point étant laissé à l'initiative du candidat Les calculs numériques entreront pour une part importante du barème.</w:t>
      </w:r>
    </w:p>
    <w:p>
      <w:pPr>
        <w:spacing w:line="271" w:before="330" w:lineRule="auto"/>
      </w:pPr>
      <w:r>
        <w:rPr>
          <w:rFonts w:eastAsia="Georgia" w:cs="Georgia" w:ascii="Georgia" w:hAnsi="Georgia"/>
          <w:b/>
          <w:sz w:val="42"/>
        </w:rPr>
        <w:t xml:space="preserve">I ÉTUDE DES ÉCHANGES ÉNERGÉTIQUES</w:t>
      </w:r>
    </w:p>
    <w:p>
      <w:pPr>
        <w:spacing w:after="220" w:lineRule="auto"/>
      </w:pPr>
      <w:r>
        <w:rPr>
          <w:rFonts w:eastAsia="Georgia" w:cs="Georgia" w:ascii="Georgia" w:hAnsi="Georgia"/>
        </w:rPr>
        <w:t xml:space="preserve">Le fluide traverse un compresseur, un détendeur, un évaporateur et un condenseur, ces deux derniers éléments étant figurés par les échangeurs 1 ou 2 :</w:t>
      </w:r>
      <w:r>
        <w:rPr/>
        <w:br w:type="textWrapping"/>
      </w:r>
    </w:p>
    <w:p>
      <w:pPr>
        <w:spacing w:lineRule="auto"/>
        <w:jc w:val="center"/>
      </w:pPr>
      <w:r>
        <w:rPr/>
        <w:drawing>
          <wp:inline distB="0" distL="0" distR="0" distT="0">
            <wp:extent cx="5486400" cy="2278001"/>
            <wp:effectExtent b="0" l="0" r="0" t="0"/>
            <wp:docPr id="10" name="image-626028ef8c4a879343490bf57aa9ea0437d74072.jpg"/>
            <a:graphic>
              <a:graphicData uri="http://schemas.openxmlformats.org/drawingml/2006/picture">
                <pic:pic>
                  <pic:nvPicPr>
                    <pic:cNvPr id="10" name="image-626028ef8c4a879343490bf57aa9ea0437d74072.jpg" descr=""/>
                    <pic:cNvPicPr/>
                  </pic:nvPicPr>
                  <pic:blipFill>
                    <a:blip r:embed="rId14" cstate="print"/>
                    <a:srcRect b="0" l="0" r="0" t="0"/>
                    <a:stretch>
                      <a:fillRect/>
                    </a:stretch>
                  </pic:blipFill>
                  <pic:spPr>
                    <a:xfrm>
                      <a:off x="0" y="0"/>
                      <a:ext cx="5486400" cy="2278001"/>
                    </a:xfrm>
                    <a:prstGeom prst="rect"/>
                  </pic:spPr>
                </pic:pic>
              </a:graphicData>
            </a:graphic>
          </wp:inline>
        </w:drawing>
      </w:r>
    </w:p>
    <w:p>
      <w:pPr>
        <w:spacing w:line="271" w:before="330" w:lineRule="auto"/>
      </w:pPr>
      <w:r>
        <w:rPr>
          <w:rFonts w:eastAsia="Georgia" w:cs="Georgia" w:ascii="Georgia" w:hAnsi="Georgia"/>
          <w:b/>
          <w:sz w:val="42"/>
        </w:rPr>
        <w:t xml:space="preserve">Détendeur</w:t>
      </w:r>
    </w:p>
    <w:p>
      <w:pPr>
        <w:numPr>
          <w:ilvl w:val="0"/>
          <w:numId w:val="4"/>
        </w:numPr>
        <w:spacing w:lineRule="auto"/>
      </w:pPr>
      <w:r>
        <w:rPr>
          <w:rFonts w:eastAsia="Georgia" w:cs="Georgia" w:ascii="Georgia" w:hAnsi="Georgia"/>
        </w:rPr>
        <w:t xml:space="preserve">Pourquoi ce cycle constitue-t-il celui d'une machine ditherme réceptrice ?</w:t>
      </w:r>
    </w:p>
    <w:p>
      <w:pPr>
        <w:numPr>
          <w:ilvl w:val="0"/>
          <w:numId w:val="4"/>
        </w:numPr>
        <w:spacing w:lineRule="auto"/>
      </w:pPr>
      <w:r>
        <w:rPr>
          <w:rFonts w:eastAsia="Georgia" w:cs="Georgia" w:ascii="Georgia" w:hAnsi="Georgia"/>
        </w:rPr>
        <w:t xml:space="preserve">Dans le cas d'un réfrigérateur, au contact de quel échangeur (condenseur ou évaporateur) doit se trouver le contenu du réfrigérateur ? Justifier.</w:t>
      </w:r>
    </w:p>
    <w:p>
      <w:pPr>
        <w:numPr>
          <w:ilvl w:val="0"/>
          <w:numId w:val="4"/>
        </w:numPr>
        <w:spacing w:lineRule="auto"/>
      </w:pPr>
      <w:r>
        <w:rPr>
          <w:rFonts w:eastAsia="Georgia" w:cs="Georgia" w:ascii="Georgia" w:hAnsi="Georgia"/>
        </w:rPr>
        <w:t xml:space="preserve">L'évaporateur constitue-t-il l'échangeur 1 ou le 2 ? Justifier.</w:t>
      </w:r>
    </w:p>
    <w:p>
      <w:pPr>
        <w:numPr>
          <w:ilvl w:val="0"/>
          <w:numId w:val="4"/>
        </w:numPr>
        <w:spacing w:lineRule="auto"/>
      </w:pPr>
      <w:r>
        <w:rPr>
          <w:rFonts w:eastAsia="Georgia" w:cs="Georgia" w:ascii="Georgia" w:hAnsi="Georgia"/>
        </w:rPr>
        <w:t xml:space="preserve">Quel est le rôle du condenseur ?</w:t>
      </w:r>
    </w:p>
    <w:p>
      <w:pPr>
        <w:numPr>
          <w:ilvl w:val="0"/>
          <w:numId w:val="4"/>
        </w:numPr>
        <w:spacing w:lineRule="auto"/>
      </w:pPr>
      <w:r>
        <w:rPr>
          <w:rFonts w:eastAsia="Georgia" w:cs="Georgia" w:ascii="Georgia" w:hAnsi="Georgia"/>
        </w:rPr>
        <w:t xml:space="preserve">Faut-il abaisser ou augmenter la haute pression du cycle quand on passe de l'été à l'hiver ? Justifier.</w:t>
      </w:r>
    </w:p>
    <w:p>
      <w:pPr>
        <w:numPr>
          <w:ilvl w:val="0"/>
          <w:numId w:val="4"/>
        </w:numPr>
        <w:spacing w:lineRule="auto"/>
      </w:pPr>
      <w:r>
        <w:rPr>
          <w:rFonts w:eastAsia="Georgia" w:cs="Georgia" w:ascii="Georgia" w:hAnsi="Georgia"/>
        </w:rPr>
        <w:t xml:space="preserve">Quelle en est la conséquence sur le COP ?</w:t>
      </w:r>
    </w:p>
    <w:p>
      <w:pPr>
        <w:spacing w:after="220" w:lineRule="auto"/>
      </w:pPr>
      <w:r>
        <w:rPr>
          <w:rFonts w:eastAsia="Georgia" w:cs="Georgia" w:ascii="Georgia" w:hAnsi="Georgia"/>
        </w:rPr>
        <w:t xml:space="preserve">On s'intéresse à la puissance nécessaire au fonctionnement de ce réfrigérateur en régime permanent, en été, alors qu'il est à moitié rempli en volume par une masse </w:t>
      </w:r>
      <m:oMath>
        <m:r>
          <m:rPr>
            <m:sty m:val="i"/>
          </m:rPr>
          <m:t>m</m:t>
        </m:r>
        <m:r>
          <m:rPr>
            <m:sty m:val="p"/>
          </m:rPr>
          <m:t>=</m:t>
        </m:r>
        <m:r>
          <m:rPr>
            <m:sty m:val="p"/>
          </m:rPr>
          <m:t>20</m:t>
        </m:r>
        <m:r>
          <m:rPr>
            <m:nor/>
          </m:rPr>
          <m:t xml:space="preserve"> </m:t>
        </m:r>
        <m:r>
          <m:rPr>
            <m:sty m:val="p"/>
          </m:rPr>
          <m:t>kg</m:t>
        </m:r>
      </m:oMath>
      <w:r>
        <w:rPr/>
        <w:t xml:space="preserve"> d'aliments.</w:t>
      </w:r>
      <w:r>
        <w:rPr/>
        <w:br w:type="textWrapping"/>
      </w:r>
      <w:r>
        <w:rPr>
          <w:rFonts w:eastAsia="Georgia" w:cs="Georgia" w:ascii="Georgia" w:hAnsi="Georgia"/>
        </w:rPr>
        <w:t xml:space="preserve">On commence par évaluer la puissance perdue due au passage à l'état solide de la vapeur d'eau contenue dans l'air humide à l'intérieur du congélateur lorsqu'on l'ouvre et le referme (condensation de la vapeur d'eau). On considère que, lors d'une ouverture-fermeture, tout l'air contenu dans le congélateur est renouvelé. Il faut aussi tenir compte de l'étanchéité imparfaite des compartiments. Pour cela, on estime que tout se passe comme si l'on ouvrait 40 fois par demijournée (12h) le congélateur.</w:t>
      </w:r>
    </w:p>
    <w:p>
      <w:pPr>
        <w:spacing w:after="220" w:lineRule="auto"/>
      </w:pPr>
      <w:r>
        <w:rPr>
          <w:rFonts w:eastAsia="Georgia" w:cs="Georgia" w:ascii="Georgia" w:hAnsi="Georgia"/>
        </w:rPr>
        <w:t xml:space="preserve">La quantité de vapeur d'eau présente dans l'air peut se caractériser par son humidité relative, </w:t>
      </w:r>
      <m:oMath>
        <m:sSub>
          <m:sSubPr/>
          <m:e>
            <m:r>
              <m:rPr>
                <m:sty m:val="i"/>
              </m:rPr>
              <m:t>H</m:t>
            </m:r>
          </m:e>
          <m:sub>
            <m:r>
              <m:rPr>
                <m:sty m:val="i"/>
              </m:rPr>
              <m:t>R</m:t>
            </m:r>
          </m:sub>
        </m:sSub>
      </m:oMath>
      <w:r>
        <w:rPr>
          <w:rFonts w:eastAsia="Georgia" w:cs="Georgia" w:ascii="Georgia" w:hAnsi="Georgia"/>
        </w:rPr>
        <w:t xml:space="preserve">, rapport de la pression partielle de l'eau à sa pression de vapeur saturante à la même température, ou par son humidité absolue, </w:t>
      </w:r>
      <m:oMath>
        <m:sSub>
          <m:sSubPr/>
          <m:e>
            <m:r>
              <m:rPr>
                <m:sty m:val="i"/>
              </m:rPr>
              <m:t>H</m:t>
            </m:r>
          </m:e>
          <m:sub>
            <m:r>
              <m:rPr>
                <m:sty m:val="i"/>
              </m:rPr>
              <m:t>A</m:t>
            </m:r>
          </m:sub>
        </m:sSub>
      </m:oMath>
      <w:r>
        <w:rPr>
          <w:rFonts w:eastAsia="Georgia" w:cs="Georgia" w:ascii="Georgia" w:hAnsi="Georgia"/>
        </w:rPr>
        <w:t xml:space="preserve">, rapport de la masse de vapeur d'eau exprimée en gramme présente dans un volume donné à la masse d'air sec de ce volume exprimé en kilogramme. Le diagramme de l'air humide est fourni en annexe 1 : il porte en ordonnée </w:t>
      </w:r>
      <m:oMath>
        <m:sSub>
          <m:sSubPr/>
          <m:e>
            <m:r>
              <m:rPr>
                <m:sty m:val="i"/>
              </m:rPr>
              <m:t>H</m:t>
            </m:r>
          </m:e>
          <m:sub>
            <m:r>
              <m:rPr>
                <m:sty m:val="i"/>
              </m:rPr>
              <m:t>A</m:t>
            </m:r>
          </m:sub>
        </m:sSub>
      </m:oMath>
      <w:r>
        <w:rPr>
          <w:rFonts w:eastAsia="Georgia" w:cs="Georgia" w:ascii="Georgia" w:hAnsi="Georgia"/>
        </w:rPr>
        <w:t xml:space="preserve">, et en abscisse les températures. Les courbes obliques donnent la valeur de </w:t>
      </w:r>
      <m:oMath>
        <m:sSub>
          <m:sSubPr/>
          <m:e>
            <m:r>
              <m:rPr>
                <m:sty m:val="i"/>
              </m:rPr>
              <m:t>H</m:t>
            </m:r>
          </m:e>
          <m:sub>
            <m:r>
              <m:rPr>
                <m:sty m:val="i"/>
              </m:rPr>
              <m:t>R</m:t>
            </m:r>
          </m:sub>
        </m:sSub>
      </m:oMath>
      <w:r>
        <w:rPr>
          <w:rFonts w:eastAsia="Georgia" w:cs="Georgia" w:ascii="Georgia" w:hAnsi="Georgia"/>
        </w:rPr>
        <w:t xml:space="preserve">. La courbe limitant le graphique à gauche correspond à la quantité maximale de vapeur d'eau que l'air peut contenir sans qu'elle ne se condense. Lorsque l'air contient cette quantité de vapeur, on dit qu'il est saturé en humidité ou que son hygrométrie est de 100 %.</w:t>
      </w:r>
      <w:r>
        <w:rPr/>
        <w:br w:type="textWrapping"/>
      </w:r>
      <w:r>
        <w:rPr>
          <w:rFonts w:eastAsia="Georgia" w:cs="Georgia" w:ascii="Georgia" w:hAnsi="Georgia"/>
        </w:rPr>
        <w:t xml:space="preserve">7) Sachant que le taux d'humidité relative moyen est de </w:t>
      </w:r>
      <m:oMath>
        <m:r>
          <m:rPr>
            <m:sty m:val="p"/>
          </m:rPr>
          <m:t>60</m:t>
        </m:r>
        <m:r>
          <m:rPr>
            <m:sty m:val="p"/>
          </m:rPr>
          <m:t>%</m:t>
        </m:r>
      </m:oMath>
      <w:r>
        <w:rPr>
          <w:rFonts w:eastAsia="Georgia" w:cs="Georgia" w:ascii="Georgia" w:hAnsi="Georgia"/>
        </w:rPr>
        <w:t xml:space="preserve"> en été, calculer </w:t>
      </w:r>
      <m:oMath>
        <m:sSub>
          <m:sSubPr/>
          <m:e>
            <m:r>
              <m:rPr>
                <m:sty m:val="p"/>
              </m:rPr>
              <m:t>H</m:t>
            </m:r>
          </m:e>
          <m:sub>
            <m:r>
              <m:rPr>
                <m:sty m:val="p"/>
              </m:rPr>
              <m:t>A</m:t>
            </m:r>
          </m:sub>
        </m:sSub>
      </m:oMath>
      <w:r>
        <w:rPr>
          <w:rFonts w:eastAsia="Georgia" w:cs="Georgia" w:ascii="Georgia" w:hAnsi="Georgia"/>
        </w:rPr>
        <w:t xml:space="preserve"> à partir des données fournies en fin d'énoncé. Vérifier cette valeur sur le diagramme de l'air humide fourni en annexe 1.</w:t>
      </w:r>
      <w:r>
        <w:rPr/>
        <w:br w:type="textWrapping"/>
      </w:r>
      <w:r>
        <w:rPr>
          <w:rFonts w:eastAsia="Georgia" w:cs="Georgia" w:ascii="Georgia" w:hAnsi="Georgia"/>
        </w:rPr>
        <w:t xml:space="preserve">8) Sur ce même diagramme déterminer la température du point de rosée, température en dessous de laquelle la vapeur d'eau présente dans l'air humide se condense.</w:t>
      </w:r>
      <w:r>
        <w:rPr/>
        <w:br w:type="textWrapping"/>
      </w:r>
      <w:r>
        <w:rPr/>
        <w:t xml:space="preserve">9) Calculer la perte de puissance, </w:t>
      </w:r>
      <m:oMath>
        <m:sSub>
          <m:sSubPr/>
          <m:e>
            <m:r>
              <m:rPr>
                <m:sty m:val="i"/>
              </m:rPr>
              <m:t>P</m:t>
            </m:r>
          </m:e>
          <m:sub>
            <m:r>
              <m:rPr>
                <m:nor/>
              </m:rPr>
              <m:t>eau </m:t>
            </m:r>
          </m:sub>
        </m:sSub>
      </m:oMath>
      <w:r>
        <w:rPr>
          <w:rFonts w:eastAsia="Georgia" w:cs="Georgia" w:ascii="Georgia" w:hAnsi="Georgia"/>
        </w:rPr>
        <w:t xml:space="preserve">, que représente la condensation totale à l'état solide de la vapeur d'eau présente dans l'air ambiant l'été ? On fera le calcul en prenant la valeur de la chaleur latente de vaporisation de l'eau à </w:t>
      </w:r>
      <m:oMath>
        <m:sSup>
          <m:sSupPr/>
          <m:e>
            <m:r>
              <m:rPr>
                <m:sty m:val="p"/>
              </m:rPr>
              <m:t>0</m:t>
            </m:r>
          </m:e>
          <m:sup>
            <m:r>
              <m:rPr>
                <m:sty m:val="p"/>
              </m:rPr>
              <m:t>∘</m:t>
            </m:r>
          </m:sup>
        </m:sSup>
        <m:r>
          <m:rPr>
            <m:sty m:val="p"/>
          </m:rPr>
          <m:t>C</m:t>
        </m:r>
      </m:oMath>
      <w:r>
        <w:rPr>
          <w:rFonts w:eastAsia="Georgia" w:cs="Georgia" w:ascii="Georgia" w:hAnsi="Georgia"/>
        </w:rPr>
        <w:t xml:space="preserve">. (On rappelle que le compartiment du congélateur est à moitié rempli).</w:t>
      </w:r>
    </w:p>
    <w:p>
      <w:pPr>
        <w:spacing w:after="220" w:lineRule="auto"/>
      </w:pPr>
      <w:r>
        <w:rPr>
          <w:rFonts w:eastAsia="Georgia" w:cs="Georgia" w:ascii="Georgia" w:hAnsi="Georgia"/>
        </w:rPr>
        <w:t xml:space="preserve">Le problème n'est pas la puissance perdue mais la formation de givre qui découle de la condensation de la vapeur d'eau.</w:t>
      </w:r>
      <w:r>
        <w:rPr/>
        <w:br w:type="textWrapping"/>
      </w:r>
      <w:r>
        <w:rPr>
          <w:rFonts w:eastAsia="Georgia" w:cs="Georgia" w:ascii="Georgia" w:hAnsi="Georgia"/>
        </w:rPr>
        <w:t xml:space="preserve">10) Pourquoi faut-il dégivrer régulièrement le congélateur ?</w:t>
      </w:r>
    </w:p>
    <w:p>
      <w:pPr>
        <w:spacing w:after="220" w:lineRule="auto"/>
      </w:pPr>
      <w:r>
        <w:rPr>
          <w:rFonts w:eastAsia="Georgia" w:cs="Georgia" w:ascii="Georgia" w:hAnsi="Georgia"/>
        </w:rPr>
        <w:t xml:space="preserve">On cherche maintenant à évaluer les pertes dues à la conduction thermique. Le congélateur est capable de maintenir pendant 6 h au maximum au-dessous de </w:t>
      </w:r>
      <m:oMath>
        <m:sSup>
          <m:sSupPr/>
          <m:e>
            <m:r>
              <m:rPr>
                <m:sty m:val="p"/>
              </m:rPr>
              <m:t>0</m:t>
            </m:r>
          </m:e>
          <m:sup>
            <m:r>
              <m:rPr>
                <m:sty m:val="p"/>
              </m:rPr>
              <m:t>∘</m:t>
            </m:r>
          </m:sup>
        </m:sSup>
        <m:r>
          <m:rPr>
            <m:sty m:val="p"/>
          </m:rPr>
          <m:t>C</m:t>
        </m:r>
      </m:oMath>
      <w:r>
        <w:rPr>
          <w:rFonts w:eastAsia="Georgia" w:cs="Georgia" w:ascii="Georgia" w:hAnsi="Georgia"/>
        </w:rPr>
        <w:t xml:space="preserve">, sans décongélation, la température de 20 kg d'aliments en cas de panne de courant. On considère que la température de congélation des aliments est </w:t>
      </w:r>
      <m:oMath>
        <m:sSup>
          <m:sSupPr/>
          <m:e>
            <m:r>
              <m:rPr>
                <m:sty m:val="p"/>
              </m:rPr>
              <m:t>0</m:t>
            </m:r>
          </m:e>
          <m:sup>
            <m:r>
              <m:rPr>
                <m:sty m:val="p"/>
              </m:rPr>
              <m:t>∘</m:t>
            </m:r>
          </m:sup>
        </m:sSup>
        <m:r>
          <m:rPr>
            <m:sty m:val="p"/>
          </m:rPr>
          <m:t>C</m:t>
        </m:r>
      </m:oMath>
      <w:r>
        <w:rPr/>
        <w:t xml:space="preserve">.</w:t>
      </w:r>
      <w:r>
        <w:rPr/>
        <w:br w:type="textWrapping"/>
      </w:r>
      <w:r>
        <w:rPr/>
        <w:t xml:space="preserve">11) Calculer la puissance moyenne relative aux pertes par conduction thermique, </w:t>
      </w:r>
      <m:oMath>
        <m:sSub>
          <m:sSubPr/>
          <m:e>
            <m:r>
              <m:rPr>
                <m:sty m:val="p"/>
              </m:rPr>
              <m:t>P</m:t>
            </m:r>
          </m:e>
          <m:sub>
            <m:r>
              <m:rPr>
                <m:nor/>
              </m:rPr>
              <m:t>cond </m:t>
            </m:r>
          </m:sub>
        </m:sSub>
      </m:oMath>
      <w:r>
        <w:rPr/>
        <w:t xml:space="preserve">.</w:t>
      </w:r>
    </w:p>
    <w:p>
      <w:pPr>
        <w:spacing w:after="220" w:lineRule="auto"/>
      </w:pPr>
      <w:r>
        <w:rPr>
          <w:rFonts w:eastAsia="Georgia" w:cs="Georgia" w:ascii="Georgia" w:hAnsi="Georgia"/>
        </w:rPr>
        <w:t xml:space="preserve">On cherche enfin à trouver </w:t>
      </w:r>
      <m:oMath>
        <m:sSub>
          <m:sSubPr/>
          <m:e>
            <m:r>
              <m:rPr>
                <m:sty m:val="i"/>
              </m:rPr>
              <m:t>P</m:t>
            </m:r>
          </m:e>
          <m:sub>
            <m:r>
              <m:rPr>
                <m:nor/>
              </m:rPr>
              <m:t>cong </m:t>
            </m:r>
          </m:sub>
        </m:sSub>
      </m:oMath>
      <w:r>
        <w:rPr>
          <w:rFonts w:eastAsia="Georgia" w:cs="Georgia" w:ascii="Georgia" w:hAnsi="Georgia"/>
        </w:rPr>
        <w:t xml:space="preserve"> la puissance nécessaire à la congélation des aliments.</w:t>
      </w:r>
      <w:r>
        <w:rPr/>
        <w:br w:type="textWrapping"/>
      </w:r>
      <w:r>
        <w:rPr/>
        <w:t xml:space="preserve">12) Calculer </w:t>
      </w:r>
      <m:oMath>
        <m:sSub>
          <m:sSubPr/>
          <m:e>
            <m:r>
              <m:rPr>
                <m:sty m:val="i"/>
              </m:rPr>
              <m:t>P</m:t>
            </m:r>
          </m:e>
          <m:sub>
            <m:r>
              <m:rPr>
                <m:nor/>
              </m:rPr>
              <m:t>cong </m:t>
            </m:r>
          </m:sub>
        </m:sSub>
      </m:oMath>
      <w:r>
        <w:rPr>
          <w:rFonts w:eastAsia="Georgia" w:cs="Georgia" w:ascii="Georgia" w:hAnsi="Georgia"/>
        </w:rPr>
        <w:t xml:space="preserve"> pour un congélateur capable de congeler les 20 kg de nourriture, initialement à </w:t>
      </w:r>
      <m:oMath>
        <m:sSup>
          <m:sSupPr/>
          <m:e>
            <m:r>
              <m:rPr>
                <m:sty m:val="p"/>
              </m:rPr>
              <m:t>20</m:t>
            </m:r>
          </m:e>
          <m:sup>
            <m:r>
              <m:rPr>
                <m:sty m:val="p"/>
              </m:rPr>
              <m:t>∘</m:t>
            </m:r>
          </m:sup>
        </m:sSup>
        <m:r>
          <m:rPr>
            <m:sty m:val="p"/>
          </m:rPr>
          <m:t>C</m:t>
        </m:r>
      </m:oMath>
      <w:r>
        <w:rPr/>
        <w:t xml:space="preserve">, en 12 h .</w:t>
      </w:r>
      <w:r>
        <w:rPr/>
        <w:br w:type="textWrapping"/>
      </w:r>
      <w:r>
        <w:rPr>
          <w:rFonts w:eastAsia="Georgia" w:cs="Georgia" w:ascii="Georgia" w:hAnsi="Georgia"/>
        </w:rPr>
        <w:t xml:space="preserve">13) En déduire la puissance frigorifique globale nécessaire pour congeler les aliments et les maintenir à une température de </w:t>
      </w:r>
      <m:oMath>
        <m:r>
          <m:rPr>
            <m:sty m:val="p"/>
          </m:rPr>
          <m:t>−</m:t>
        </m:r>
        <m:sSup>
          <m:sSupPr/>
          <m:e>
            <m:r>
              <m:rPr>
                <m:sty m:val="p"/>
              </m:rPr>
              <m:t>10</m:t>
            </m:r>
          </m:e>
          <m:sup>
            <m:r>
              <m:rPr>
                <m:sty m:val="p"/>
              </m:rPr>
              <m:t>∘</m:t>
            </m:r>
          </m:sup>
        </m:sSup>
        <m:r>
          <m:rPr>
            <m:sty m:val="p"/>
          </m:rPr>
          <m:t>C</m:t>
        </m:r>
      </m:oMath>
      <w:r>
        <w:rPr/>
        <w:t xml:space="preserve">.</w:t>
      </w:r>
      <w:r>
        <w:rPr/>
        <w:br w:type="textWrapping"/>
      </w:r>
      <w:r>
        <w:rPr>
          <w:rFonts w:eastAsia="Georgia" w:cs="Georgia" w:ascii="Georgia" w:hAnsi="Georgia"/>
        </w:rPr>
        <w:t xml:space="preserve">Pour la suite du problème on prendra une valeur de 200 W .</w:t>
      </w:r>
      <w:r>
        <w:rPr/>
        <w:br w:type="textWrapping"/>
      </w:r>
      <w:r>
        <w:rPr/>
        <w:t xml:space="preserve">14) Pour une puissance du compresseur </w:t>
      </w:r>
      <m:oMath>
        <m:r>
          <m:rPr>
            <m:sty m:val="i"/>
          </m:rPr>
          <m:t>P</m:t>
        </m:r>
      </m:oMath>
      <w:r>
        <w:rPr>
          <w:rFonts w:eastAsia="Georgia" w:cs="Georgia" w:ascii="Georgia" w:hAnsi="Georgia"/>
        </w:rPr>
        <w:t xml:space="preserve"> supposée constante et une capacité thermique </w:t>
      </w:r>
      <m:oMath>
        <m:r>
          <m:rPr>
            <m:sty m:val="i"/>
          </m:rPr>
          <m:t>C</m:t>
        </m:r>
      </m:oMath>
      <w:r>
        <w:rPr>
          <w:rFonts w:eastAsia="Georgia" w:cs="Georgia" w:ascii="Georgia" w:hAnsi="Georgia"/>
        </w:rPr>
        <w:t xml:space="preserve"> du congélateur et de son contenu, montrer, en appliquant les principes de la thermodynamique à un ou plusieurs systèmes que l'on précisera clairement, que l'équation différentielle liant le temps </w:t>
      </w:r>
      <m:oMath>
        <m:r>
          <m:rPr>
            <m:sty m:val="i"/>
          </m:rPr>
          <m:t>t</m:t>
        </m:r>
      </m:oMath>
      <w:r>
        <w:rPr>
          <w:rFonts w:eastAsia="Georgia" w:cs="Georgia" w:ascii="Georgia" w:hAnsi="Georgia"/>
        </w:rPr>
        <w:t xml:space="preserve"> et température interne du congélateur, </w:t>
      </w:r>
      <m:oMath>
        <m:r>
          <m:rPr>
            <m:sty m:val="i"/>
          </m:rPr>
          <m:t>T</m:t>
        </m:r>
      </m:oMath>
      <w:r>
        <w:rPr>
          <w:rFonts w:eastAsia="Georgia" w:cs="Georgia" w:ascii="Georgia" w:hAnsi="Georgia"/>
        </w:rPr>
        <w:t xml:space="preserve">, s'écrit en régime transitoire :</w:t>
      </w:r>
    </w:p>
    <w:p>
      <w:pPr>
        <w:spacing w:after="220" w:lineRule="auto"/>
      </w:pPr>
      <m:oMathPara>
        <m:oMath>
          <m:r>
            <m:rPr>
              <m:sty m:val="i"/>
            </m:rPr>
            <m:t>P</m:t>
          </m:r>
          <m:r>
            <m:rPr>
              <m:sty m:val="i"/>
            </m:rPr>
            <m:t>d</m:t>
          </m:r>
          <m:r>
            <m:rPr>
              <m:sty m:val="i"/>
            </m:rPr>
            <m:t>t</m:t>
          </m:r>
          <m:r>
            <m:rPr>
              <m:sty m:val="p"/>
            </m:rPr>
            <m:t>=</m:t>
          </m:r>
          <m:r>
            <m:rPr>
              <m:sty m:val="p"/>
            </m:rPr>
            <m:t>−</m:t>
          </m:r>
          <m:r>
            <m:rPr>
              <m:sty m:val="i"/>
            </m:rPr>
            <m:t>C</m:t>
          </m:r>
          <m:d>
            <m:dPr>
              <m:begChr m:val="("/>
              <m:endChr m:val=")"/>
              <m:ctrlPr>
                <w:rPr>
                  <w:rFonts w:ascii="Cambria Math" w:hAnsi="Cambria Math"/>
                </w:rPr>
              </m:ctrlPr>
            </m:dPr>
            <m:e>
              <m:f>
                <m:fPr>
                  <m:ctrlPr>
                    <w:rPr>
                      <w:rFonts w:ascii="Cambria Math" w:hAnsi="Cambria Math"/>
                    </w:rPr>
                  </m:ctrlPr>
                </m:fPr>
                <m:num>
                  <m:sSub>
                    <m:sSubPr/>
                    <m:e>
                      <m:r>
                        <m:rPr>
                          <m:sty m:val="i"/>
                        </m:rPr>
                        <m:t>T</m:t>
                      </m:r>
                    </m:e>
                    <m:sub>
                      <m:r>
                        <m:rPr>
                          <m:sty m:val="i"/>
                        </m:rPr>
                        <m:t>e</m:t>
                      </m:r>
                      <m:r>
                        <m:rPr>
                          <m:sty m:val="i"/>
                        </m:rPr>
                        <m:t>x</m:t>
                      </m:r>
                      <m:r>
                        <m:rPr>
                          <m:sty m:val="i"/>
                        </m:rPr>
                        <m:t>t</m:t>
                      </m:r>
                    </m:sub>
                  </m:sSub>
                </m:num>
                <m:den>
                  <m:r>
                    <m:rPr>
                      <m:sty m:val="i"/>
                    </m:rPr>
                    <m:t>T</m:t>
                  </m:r>
                </m:den>
              </m:f>
              <m:r>
                <m:rPr>
                  <m:sty m:val="p"/>
                </m:rPr>
                <m:t>−</m:t>
              </m:r>
              <m:r>
                <m:rPr>
                  <m:sty m:val="p"/>
                </m:rPr>
                <m:t>1</m:t>
              </m:r>
            </m:e>
          </m:d>
          <m:r>
            <m:rPr>
              <m:sty m:val="i"/>
            </m:rPr>
            <m:t>d</m:t>
          </m:r>
          <m:r>
            <m:rPr>
              <m:sty m:val="i"/>
            </m:rPr>
            <m:t>T</m:t>
          </m:r>
        </m:oMath>
      </m:oMathPara>
    </w:p>
    <w:p>
      <w:pPr>
        <w:spacing w:after="220" w:lineRule="auto"/>
      </w:pPr>
      <w:r>
        <w:rPr>
          <w:rFonts w:eastAsia="Georgia" w:cs="Georgia" w:ascii="Georgia" w:hAnsi="Georgia"/>
        </w:rPr>
        <w:t xml:space="preserve">dans le cas d'un air extérieur à la température constante </w:t>
      </w:r>
      <m:oMath>
        <m:sSub>
          <m:sSubPr/>
          <m:e>
            <m:r>
              <m:rPr>
                <m:sty m:val="i"/>
              </m:rPr>
              <m:t>T</m:t>
            </m:r>
          </m:e>
          <m:sub>
            <m:r>
              <m:rPr>
                <m:nor/>
              </m:rPr>
              <m:t>ext </m:t>
            </m:r>
          </m:sub>
        </m:sSub>
      </m:oMath>
      <w:r>
        <w:rPr>
          <w:rFonts w:eastAsia="Georgia" w:cs="Georgia" w:ascii="Georgia" w:hAnsi="Georgia"/>
        </w:rPr>
        <w:t xml:space="preserve"> et pour un fonctionnement réversible du congélateur.</w:t>
      </w:r>
      <w:r>
        <w:rPr/>
        <w:br w:type="textWrapping"/>
      </w:r>
      <w:r>
        <w:rPr/>
        <w:t xml:space="preserve">15) Pour </w:t>
      </w:r>
      <m:oMath>
        <m:sSub>
          <m:sSubPr/>
          <m:e>
            <m:r>
              <m:rPr>
                <m:sty m:val="i"/>
              </m:rPr>
              <m:t>T</m:t>
            </m:r>
          </m:e>
          <m:sub>
            <m:r>
              <m:rPr>
                <m:nor/>
              </m:rPr>
              <m:t>ext </m:t>
            </m:r>
          </m:sub>
        </m:sSub>
        <m:r>
          <m:rPr>
            <m:sty m:val="p"/>
          </m:rPr>
          <m:t>=</m:t>
        </m:r>
        <m:sSup>
          <m:sSupPr/>
          <m:e>
            <m:r>
              <m:rPr>
                <m:sty m:val="p"/>
              </m:rPr>
              <m:t>30</m:t>
            </m:r>
          </m:e>
          <m:sup>
            <m:r>
              <m:rPr>
                <m:sty m:val="p"/>
              </m:rPr>
              <m:t>∘</m:t>
            </m:r>
          </m:sup>
        </m:sSup>
        <m:r>
          <m:rPr>
            <m:sty m:val="p"/>
          </m:rPr>
          <m:t>C</m:t>
        </m:r>
      </m:oMath>
      <w:r>
        <w:rPr>
          <w:rFonts w:eastAsia="Georgia" w:cs="Georgia" w:ascii="Georgia" w:hAnsi="Georgia"/>
        </w:rPr>
        <w:t xml:space="preserve">, en déduire la durée nécessaire pour atteindre le régime permanent, caractérisé par une température de </w:t>
      </w:r>
      <m:oMath>
        <m:r>
          <m:rPr>
            <m:sty m:val="p"/>
          </m:rPr>
          <m:t>−</m:t>
        </m:r>
        <m:sSup>
          <m:sSupPr/>
          <m:e>
            <m:r>
              <m:rPr>
                <m:sty m:val="p"/>
              </m:rPr>
              <m:t>10</m:t>
            </m:r>
          </m:e>
          <m:sup>
            <m:r>
              <m:rPr>
                <m:sty m:val="p"/>
              </m:rPr>
              <m:t>∘</m:t>
            </m:r>
          </m:sup>
        </m:sSup>
        <m:r>
          <m:rPr>
            <m:sty m:val="p"/>
          </m:rPr>
          <m:t>C</m:t>
        </m:r>
      </m:oMath>
      <w:r>
        <w:rPr>
          <w:rFonts w:eastAsia="Georgia" w:cs="Georgia" w:ascii="Georgia" w:hAnsi="Georgia"/>
        </w:rPr>
        <w:t xml:space="preserve">, après une panne de courant qui aurait ramené à </w:t>
      </w:r>
      <m:oMath>
        <m:sSup>
          <m:sSupPr/>
          <m:e>
            <m:r>
              <m:rPr>
                <m:sty m:val="p"/>
              </m:rPr>
              <m:t>0</m:t>
            </m:r>
          </m:e>
          <m:sup>
            <m:r>
              <m:rPr>
                <m:sty m:val="p"/>
              </m:rPr>
              <m:t>∘</m:t>
            </m:r>
          </m:sup>
        </m:sSup>
        <m:r>
          <m:rPr>
            <m:sty m:val="p"/>
          </m:rPr>
          <m:t>C</m:t>
        </m:r>
      </m:oMath>
      <w:r>
        <w:rPr>
          <w:rFonts w:eastAsia="Georgia" w:cs="Georgia" w:ascii="Georgia" w:hAnsi="Georgia"/>
        </w:rPr>
        <w:t xml:space="preserve">, sans décongélation des aliments, la température à l'intérieur du congélateur.</w:t>
      </w:r>
    </w:p>
    <w:p>
      <w:pPr>
        <w:spacing w:line="271" w:before="330" w:lineRule="auto"/>
      </w:pPr>
      <w:r>
        <w:rPr>
          <w:rFonts w:eastAsia="Georgia" w:cs="Georgia" w:ascii="Georgia" w:hAnsi="Georgia"/>
          <w:b/>
          <w:sz w:val="42"/>
        </w:rPr>
        <w:t xml:space="preserve">II ÉTUDE DU CYCLE THERMODYNAMIQUE</w:t>
      </w:r>
    </w:p>
    <w:p>
      <w:pPr>
        <w:spacing w:after="220" w:lineRule="auto"/>
      </w:pPr>
      <w:r>
        <w:rPr>
          <w:rFonts w:eastAsia="Georgia" w:cs="Georgia" w:ascii="Georgia" w:hAnsi="Georgia"/>
        </w:rPr>
        <w:t xml:space="preserve">Les caractéristiques du cycle sont celles qui prévalent en été : la haute pression est alors réglée à 10,16 bar et la basse pression à 1,06 bar.</w:t>
      </w:r>
      <w:r>
        <w:rPr/>
        <w:br w:type="textWrapping"/>
      </w:r>
      <w:r>
        <w:rPr>
          <w:rFonts w:eastAsia="Georgia" w:cs="Georgia" w:ascii="Georgia" w:hAnsi="Georgia"/>
        </w:rPr>
        <w:t xml:space="preserve">Dans le compresseur le fluide frigorigène arrive à l'état gazeux, sous basse pression et on considère la compression isentropique.</w:t>
      </w:r>
      <w:r>
        <w:rPr/>
        <w:br w:type="textWrapping"/>
      </w:r>
      <w:r>
        <w:rPr>
          <w:rFonts w:eastAsia="Georgia" w:cs="Georgia" w:ascii="Georgia" w:hAnsi="Georgia"/>
        </w:rPr>
        <w:t xml:space="preserve">Dans le condenseur, les vapeurs de fluide frigorigène se refroidissent ("désurchauffe"), puis le fluide se condense. Le fluide liquide se refroidit encore de </w:t>
      </w:r>
      <m:oMath>
        <m:sSup>
          <m:sSupPr/>
          <m:e>
            <m:r>
              <m:rPr>
                <m:sty m:val="p"/>
              </m:rPr>
              <m:t>10</m:t>
            </m:r>
          </m:e>
          <m:sup>
            <m:r>
              <m:rPr>
                <m:sty m:val="p"/>
              </m:rPr>
              <m:t>∘</m:t>
            </m:r>
          </m:sup>
        </m:sSup>
        <m:r>
          <m:rPr>
            <m:sty m:val="p"/>
          </m:rPr>
          <m:t>C</m:t>
        </m:r>
      </m:oMath>
      <w:r>
        <w:rPr>
          <w:rFonts w:eastAsia="Georgia" w:cs="Georgia" w:ascii="Georgia" w:hAnsi="Georgia"/>
        </w:rPr>
        <w:t xml:space="preserve"> (sous-refroidissement) avant de quitter le condenseur. Les transformations y sont toutes supposées isobares.</w:t>
      </w:r>
      <w:r>
        <w:rPr/>
        <w:br w:type="textWrapping"/>
      </w:r>
      <w:r>
        <w:rPr>
          <w:rFonts w:eastAsia="Georgia" w:cs="Georgia" w:ascii="Georgia" w:hAnsi="Georgia"/>
        </w:rPr>
        <w:t xml:space="preserve">Le détendeur est constitué d'un tuyau très fin, indéformable, qui ne reçoit pas de chaleur. Le fluide frigorigène s'y vaporise partiellement. La détente est adiabatique.</w:t>
      </w:r>
      <w:r>
        <w:rPr/>
        <w:br w:type="textWrapping"/>
      </w:r>
      <w:r>
        <w:rPr>
          <w:rFonts w:eastAsia="Georgia" w:cs="Georgia" w:ascii="Georgia" w:hAnsi="Georgia"/>
        </w:rPr>
        <w:t xml:space="preserve">Dans l'évaporateur, le fluide frigorigène s'évapore totalement; le gaz formé est encore légèrement réchauffé, de </w:t>
      </w:r>
      <m:oMath>
        <m:sSup>
          <m:sSupPr/>
          <m:e>
            <m:r>
              <m:rPr>
                <m:sty m:val="p"/>
              </m:rPr>
              <m:t>5</m:t>
            </m:r>
          </m:e>
          <m:sup>
            <m:r>
              <m:rPr>
                <m:sty m:val="p"/>
              </m:rPr>
              <m:t>∘</m:t>
            </m:r>
          </m:sup>
        </m:sSup>
        <m:r>
          <m:rPr>
            <m:sty m:val="p"/>
          </m:rPr>
          <m:t>C</m:t>
        </m:r>
      </m:oMath>
      <w:r>
        <w:rPr>
          <w:rFonts w:eastAsia="Georgia" w:cs="Georgia" w:ascii="Georgia" w:hAnsi="Georgia"/>
        </w:rPr>
        <w:t xml:space="preserve"> (surchauffe). Les transformations y sont toutes supposées isobares.</w:t>
      </w:r>
      <w:r>
        <w:rPr/>
        <w:br w:type="textWrapping"/>
      </w:r>
      <w:r>
        <w:rPr>
          <w:rFonts w:eastAsia="Georgia" w:cs="Georgia" w:ascii="Georgia" w:hAnsi="Georgia"/>
        </w:rPr>
        <w:t xml:space="preserve">L'écoulement du fluide à travers les différents organes est lent et stationnaire.</w:t>
      </w:r>
      <w:r>
        <w:rPr/>
        <w:br w:type="textWrapping"/>
      </w:r>
      <w:r>
        <w:rPr>
          <w:rFonts w:eastAsia="Georgia" w:cs="Georgia" w:ascii="Georgia" w:hAnsi="Georgia"/>
        </w:rPr>
        <w:t xml:space="preserve">Le gaz est assimilé à un gaz parfait.</w:t>
      </w:r>
      <w:r>
        <w:rPr/>
        <w:br w:type="textWrapping"/>
      </w:r>
      <w:r>
        <w:rPr>
          <w:rFonts w:eastAsia="Georgia" w:cs="Georgia" w:ascii="Georgia" w:hAnsi="Georgia"/>
        </w:rPr>
        <w:t xml:space="preserve">16) Montrer que la transformation dans le détendeur est isenthalpique</w:t>
      </w:r>
      <w:r>
        <w:rPr/>
        <w:br w:type="textWrapping"/>
      </w:r>
      <w:r>
        <w:rPr/>
        <w:t xml:space="preserve">17) Dans le diagramme entropique ( </w:t>
      </w:r>
      <m:oMath>
        <m:r>
          <m:rPr>
            <m:sty m:val="p"/>
          </m:rPr>
          <m:t>T</m:t>
        </m:r>
        <m:r>
          <m:rPr>
            <m:sty m:val="p"/>
          </m:rPr>
          <m:t>,</m:t>
        </m:r>
        <m:r>
          <m:rPr>
            <m:sty m:val="p"/>
          </m:rPr>
          <m:t>s</m:t>
        </m:r>
      </m:oMath>
      <w:r>
        <w:rPr>
          <w:rFonts w:eastAsia="Georgia" w:cs="Georgia" w:ascii="Georgia" w:hAnsi="Georgia"/>
        </w:rPr>
        <w:t xml:space="preserve"> ), donner l'allure, en la justifiant, d'une isobare pour le liquide, le système diphasé, la vapeur.</w:t>
      </w:r>
      <w:r>
        <w:rPr/>
        <w:br w:type="textWrapping"/>
      </w:r>
      <w:r>
        <w:rPr>
          <w:rFonts w:eastAsia="Georgia" w:cs="Georgia" w:ascii="Georgia" w:hAnsi="Georgia"/>
        </w:rPr>
        <w:t xml:space="preserve">18) Sur ce diagramme théorique:</w:t>
      </w:r>
      <w:r>
        <w:rPr/>
        <w:br w:type="textWrapping"/>
      </w:r>
      <w:r>
        <w:rPr/>
        <w:t xml:space="preserve">-Tracer la courbe de saturation du fluide.</w:t>
      </w:r>
      <w:r>
        <w:rPr/>
        <w:br w:type="textWrapping"/>
      </w:r>
      <w:r>
        <w:rPr>
          <w:rFonts w:eastAsia="Georgia" w:cs="Georgia" w:ascii="Georgia" w:hAnsi="Georgia"/>
        </w:rPr>
        <w:t xml:space="preserve">-Tracer en pointillé le cycle sans surchauffe ni sous-refroidissement et en trait plein le cycle avec surchauffe et sous-refroidissement.</w:t>
      </w:r>
    </w:p>
    <w:p>
      <w:pPr>
        <w:spacing w:after="220" w:lineRule="auto"/>
      </w:pPr>
      <w:r>
        <w:rPr>
          <w:rFonts w:eastAsia="Georgia" w:cs="Georgia" w:ascii="Georgia" w:hAnsi="Georgia"/>
        </w:rPr>
        <w:t xml:space="preserve">On raisonne sur le cycle « réel » avec surchauffe et sous-refroidissement.</w:t>
      </w:r>
      <w:r>
        <w:rPr/>
        <w:br w:type="textWrapping"/>
      </w:r>
      <w:r>
        <w:rPr>
          <w:rFonts w:eastAsia="Georgia" w:cs="Georgia" w:ascii="Georgia" w:hAnsi="Georgia"/>
        </w:rPr>
        <w:t xml:space="preserve">On note 1 l'état du fluide à l'entrée du compresseur, 2 l'état du fluide à la sortie du compresseur etc.</w:t>
      </w:r>
      <w:r>
        <w:rPr/>
        <w:br w:type="textWrapping"/>
      </w:r>
      <w:r>
        <w:rPr>
          <w:rFonts w:eastAsia="Georgia" w:cs="Georgia" w:ascii="Georgia" w:hAnsi="Georgia"/>
        </w:rPr>
        <w:t xml:space="preserve">19) Préciser l'état physique du fluide pour chaque état.</w:t>
      </w:r>
      <w:r>
        <w:rPr/>
        <w:br w:type="textWrapping"/>
      </w:r>
      <w:r>
        <w:rPr>
          <w:rFonts w:eastAsia="Georgia" w:cs="Georgia" w:ascii="Georgia" w:hAnsi="Georgia"/>
        </w:rPr>
        <w:t xml:space="preserve">20) En quoi la surchauffe et le sous-refroidissement constituent-ils des améliorations pour le fonctionnement du congélateur ?</w:t>
      </w:r>
      <w:r>
        <w:rPr/>
        <w:br w:type="textWrapping"/>
      </w:r>
      <w:r>
        <w:rPr>
          <w:rFonts w:eastAsia="Georgia" w:cs="Georgia" w:ascii="Georgia" w:hAnsi="Georgia"/>
        </w:rPr>
        <w:t xml:space="preserve">21) En vous aidant des données de l'annexe 2 calculer le titre massique en vapeur à la sortie du détendeur (on assimilera le liquide sous-refroidi à du liquide saturant à la même température). On ne retiendra que le </w:t>
      </w:r>
      <m:oMath>
        <m:r>
          <m:rPr>
            <m:sty m:val="p"/>
          </m:rPr>
          <m:t>1</m:t>
        </m:r>
        <m:sSup>
          <m:sSupPr/>
          <m:e>
            <m:r>
              <m:t xml:space="preserve"> </m:t>
            </m:r>
          </m:e>
          <m:sup>
            <m:r>
              <m:rPr>
                <m:nor/>
              </m:rPr>
              <m:t>er </m:t>
            </m:r>
          </m:sup>
        </m:sSup>
      </m:oMath>
      <w:r>
        <w:rPr>
          <w:rFonts w:eastAsia="Georgia" w:cs="Georgia" w:ascii="Georgia" w:hAnsi="Georgia"/>
        </w:rPr>
        <w:t xml:space="preserve"> chiffre après la virgule.</w:t>
      </w:r>
      <w:r>
        <w:rPr/>
        <w:br w:type="textWrapping"/>
      </w:r>
      <w:r>
        <w:rPr>
          <w:rFonts w:eastAsia="Georgia" w:cs="Georgia" w:ascii="Georgia" w:hAnsi="Georgia"/>
        </w:rPr>
        <w:t xml:space="preserve">22) Calculer la quantité de chaleur échangée par unité de masse du fluide dans l'évaporateur. Exprimez la variation d'entropie associée.</w:t>
      </w:r>
      <w:r>
        <w:rPr/>
        <w:br w:type="textWrapping"/>
      </w:r>
      <w:r>
        <w:rPr>
          <w:rFonts w:eastAsia="Georgia" w:cs="Georgia" w:ascii="Georgia" w:hAnsi="Georgia"/>
        </w:rPr>
        <w:t xml:space="preserve">23) Proposer une méthode pour calculer la température </w:t>
      </w:r>
      <m:oMath>
        <m:sSub>
          <m:sSubPr/>
          <m:e>
            <m:r>
              <m:rPr>
                <m:sty m:val="i"/>
              </m:rPr>
              <m:t>T</m:t>
            </m:r>
          </m:e>
          <m:sub>
            <m:r>
              <m:rPr>
                <m:sty m:val="p"/>
              </m:rPr>
              <m:t>2</m:t>
            </m:r>
          </m:sub>
        </m:sSub>
      </m:oMath>
      <w:r>
        <w:rPr/>
        <w:t xml:space="preserve"> atteinte en fin de compression isentropique. On trouve </w:t>
      </w:r>
      <m:oMath>
        <m:sSub>
          <m:sSubPr/>
          <m:e>
            <m:r>
              <m:rPr>
                <m:sty m:val="p"/>
              </m:rPr>
              <m:t>T</m:t>
            </m:r>
          </m:e>
          <m:sub>
            <m:r>
              <m:rPr>
                <m:sty m:val="p"/>
              </m:rPr>
              <m:t>2</m:t>
            </m:r>
          </m:sub>
        </m:sSub>
        <m:r>
          <m:rPr>
            <m:sty m:val="p"/>
          </m:rPr>
          <m:t>≈</m:t>
        </m:r>
        <m:sSup>
          <m:sSupPr/>
          <m:e>
            <m:r>
              <m:rPr>
                <m:sty m:val="p"/>
              </m:rPr>
              <m:t>60</m:t>
            </m:r>
          </m:e>
          <m:sup>
            <m:r>
              <m:rPr>
                <m:sty m:val="p"/>
              </m:rPr>
              <m:t>∘</m:t>
            </m:r>
          </m:sup>
        </m:sSup>
        <m:r>
          <m:rPr>
            <m:sty m:val="p"/>
          </m:rPr>
          <m:t>C</m:t>
        </m:r>
      </m:oMath>
      <w:r>
        <w:rPr/>
        <w:t xml:space="preserve">.</w:t>
      </w:r>
      <w:r>
        <w:rPr/>
        <w:br w:type="textWrapping"/>
      </w:r>
      <w:r>
        <w:rPr>
          <w:rFonts w:eastAsia="Georgia" w:cs="Georgia" w:ascii="Georgia" w:hAnsi="Georgia"/>
        </w:rPr>
        <w:t xml:space="preserve">24) Calculer le travail massique indiqué reçu par le fluide dans le compresseur</w:t>
      </w:r>
      <w:r>
        <w:rPr/>
        <w:br w:type="textWrapping"/>
      </w:r>
      <w:r>
        <w:rPr>
          <w:rFonts w:eastAsia="Georgia" w:cs="Georgia" w:ascii="Georgia" w:hAnsi="Georgia"/>
        </w:rPr>
        <w:t xml:space="preserve">25) Calculer la quantité de chaleur échangée par unité de masse du fluide dans le condenseur. (on assimilera le liquide sous-refroidi à du liquide saturant à la même température). Exprimer la variation d'entropie associée.</w:t>
      </w:r>
      <w:r>
        <w:rPr/>
        <w:br w:type="textWrapping"/>
      </w:r>
      <w:r>
        <w:rPr>
          <w:rFonts w:eastAsia="Georgia" w:cs="Georgia" w:ascii="Georgia" w:hAnsi="Georgia"/>
        </w:rPr>
        <w:t xml:space="preserve">26) Exprimer la variation d'entropie massique associée à la détente. Peut-on prévoir son signe?</w:t>
      </w:r>
      <w:r>
        <w:rPr/>
        <w:br w:type="textWrapping"/>
      </w:r>
      <w:r>
        <w:rPr>
          <w:rFonts w:eastAsia="Georgia" w:cs="Georgia" w:ascii="Georgia" w:hAnsi="Georgia"/>
        </w:rPr>
        <w:t xml:space="preserve">27) Exprimer, puis calculer le COP de ce réfrigérateur. Le comparer à celui du cycle de Carnot qui fonctionnerait entre une source chaude à </w:t>
      </w:r>
      <m:oMath>
        <m:sSup>
          <m:sSupPr/>
          <m:e>
            <m:r>
              <m:rPr>
                <m:sty m:val="p"/>
              </m:rPr>
              <m:t>30</m:t>
            </m:r>
          </m:e>
          <m:sup>
            <m:r>
              <m:rPr>
                <m:sty m:val="p"/>
              </m:rPr>
              <m:t>∘</m:t>
            </m:r>
          </m:sup>
        </m:sSup>
        <m:r>
          <m:rPr>
            <m:sty m:val="p"/>
          </m:rPr>
          <m:t>C</m:t>
        </m:r>
      </m:oMath>
      <w:r>
        <w:rPr>
          <w:rFonts w:eastAsia="Georgia" w:cs="Georgia" w:ascii="Georgia" w:hAnsi="Georgia"/>
        </w:rPr>
        <w:t xml:space="preserve"> et une source froide à </w:t>
      </w:r>
      <m:oMath>
        <m:r>
          <m:rPr>
            <m:sty m:val="p"/>
          </m:rPr>
          <m:t>−</m:t>
        </m:r>
        <m:sSup>
          <m:sSupPr/>
          <m:e>
            <m:r>
              <m:rPr>
                <m:sty m:val="p"/>
              </m:rPr>
              <m:t>10</m:t>
            </m:r>
          </m:e>
          <m:sup>
            <m:r>
              <m:rPr>
                <m:sty m:val="p"/>
              </m:rPr>
              <m:t>∘</m:t>
            </m:r>
          </m:sup>
        </m:sSup>
        <m:r>
          <m:rPr>
            <m:sty m:val="p"/>
          </m:rPr>
          <m:t>C</m:t>
        </m:r>
      </m:oMath>
      <w:r>
        <w:rPr/>
        <w:t xml:space="preserve">. Conclure.</w:t>
      </w:r>
      <w:r>
        <w:rPr/>
        <w:br w:type="textWrapping"/>
      </w:r>
      <w:r>
        <w:rPr>
          <w:rFonts w:eastAsia="Georgia" w:cs="Georgia" w:ascii="Georgia" w:hAnsi="Georgia"/>
        </w:rPr>
        <w:t xml:space="preserve">28) Montrer qu'abaisser la température de condensation permet de réaliser une économie. Pourquoi ne peut-on néanmoins abaisser trop cette température ?</w:t>
      </w:r>
      <w:r>
        <w:rPr/>
        <w:br w:type="textWrapping"/>
      </w:r>
      <w:r>
        <w:rPr>
          <w:rFonts w:eastAsia="Georgia" w:cs="Georgia" w:ascii="Georgia" w:hAnsi="Georgia"/>
        </w:rPr>
        <w:t xml:space="preserve">29) Rappeler les principales étapes de la démonstration du premier principe de la thermodynamique des systèmes ouverts. (On ne demande pas la démonstration mais l'énonciation brève et rigoureuse des différentes hypothèses et étapes du raisonnement).</w:t>
      </w:r>
      <w:r>
        <w:rPr/>
        <w:br w:type="textWrapping"/>
      </w:r>
      <w:r>
        <w:rPr>
          <w:rFonts w:eastAsia="Georgia" w:cs="Georgia" w:ascii="Georgia" w:hAnsi="Georgia"/>
        </w:rPr>
        <w:t xml:space="preserve">30) Donner la valeur théorique du débit massique de R134A pour maintenir un régime permanent à </w:t>
      </w:r>
      <m:oMath>
        <m:r>
          <m:rPr>
            <m:sty m:val="p"/>
          </m:rPr>
          <m:t>−</m:t>
        </m:r>
        <m:sSup>
          <m:sSupPr/>
          <m:e>
            <m:r>
              <m:rPr>
                <m:sty m:val="p"/>
              </m:rPr>
              <m:t>10</m:t>
            </m:r>
          </m:e>
          <m:sup>
            <m:r>
              <m:rPr>
                <m:sty m:val="p"/>
              </m:rPr>
              <m:t>∘</m:t>
            </m:r>
          </m:sup>
        </m:sSup>
        <m:r>
          <m:rPr>
            <m:sty m:val="p"/>
          </m:rPr>
          <m:t>C</m:t>
        </m:r>
      </m:oMath>
      <w:r>
        <w:rPr>
          <w:rFonts w:eastAsia="Georgia" w:cs="Georgia" w:ascii="Georgia" w:hAnsi="Georgia"/>
        </w:rPr>
        <w:t xml:space="preserve"> en tenant compte des pertes calculées au </w:t>
      </w:r>
      <m:oMath>
        <m:r>
          <m:rPr>
            <m:sty m:val="i"/>
          </m:rPr>
          <m:t>I</m:t>
        </m:r>
      </m:oMath>
      <w:r>
        <w:rPr/>
        <w:t xml:space="preserve">.</w:t>
      </w:r>
    </w:p>
    <w:p>
      <w:pPr>
        <w:spacing w:line="271" w:before="330" w:lineRule="auto"/>
      </w:pPr>
      <w:r>
        <w:rPr>
          <w:rFonts w:eastAsia="Georgia" w:cs="Georgia" w:ascii="Georgia" w:hAnsi="Georgia"/>
          <w:b/>
          <w:sz w:val="42"/>
        </w:rPr>
        <w:t xml:space="preserve">Données numériques</w:t>
      </w:r>
    </w:p>
    <w:p>
      <w:pPr>
        <w:spacing w:after="220" w:lineRule="auto"/>
      </w:pPr>
      <w:r>
        <w:rPr>
          <w:rFonts w:eastAsia="Georgia" w:cs="Georgia" w:ascii="Georgia" w:hAnsi="Georgia"/>
        </w:rPr>
        <w:t xml:space="preserve">-dimensions du congélateur : </w:t>
      </w:r>
      <m:oMath>
        <m:r>
          <m:rPr>
            <m:sty m:val="p"/>
          </m:rPr>
          <m:t>20</m:t>
        </m:r>
        <m:r>
          <m:rPr>
            <m:nor/>
          </m:rPr>
          <m:t xml:space="preserve"> </m:t>
        </m:r>
        <m:r>
          <m:rPr>
            <m:sty m:val="p"/>
          </m:rPr>
          <m:t>cm</m:t>
        </m:r>
        <m:r>
          <m:rPr>
            <m:sty m:val="p"/>
          </m:rPr>
          <m:t>×</m:t>
        </m:r>
        <m:r>
          <m:rPr>
            <m:sty m:val="p"/>
          </m:rPr>
          <m:t>50</m:t>
        </m:r>
        <m:r>
          <m:rPr>
            <m:nor/>
          </m:rPr>
          <m:t xml:space="preserve"> </m:t>
        </m:r>
        <m:r>
          <m:rPr>
            <m:sty m:val="p"/>
          </m:rPr>
          <m:t>cm</m:t>
        </m:r>
        <m:r>
          <m:rPr>
            <m:sty m:val="p"/>
          </m:rPr>
          <m:t>×</m:t>
        </m:r>
        <m:r>
          <m:rPr>
            <m:sty m:val="p"/>
          </m:rPr>
          <m:t>50</m:t>
        </m:r>
        <m:r>
          <m:rPr>
            <m:nor/>
          </m:rPr>
          <m:t xml:space="preserve"> </m:t>
        </m:r>
        <m:r>
          <m:rPr>
            <m:sty m:val="p"/>
          </m:rPr>
          <m:t>cm</m:t>
        </m:r>
      </m:oMath>
      <w:r>
        <w:rPr/>
        <w:br w:type="textWrapping"/>
      </w:r>
      <w:r>
        <w:rPr>
          <w:rFonts w:eastAsia="Georgia" w:cs="Georgia" w:ascii="Georgia" w:hAnsi="Georgia"/>
        </w:rPr>
        <w:t xml:space="preserve">-pression atmosphérique </w:t>
      </w:r>
      <m:oMath>
        <m:sSub>
          <m:sSubPr/>
          <m:e>
            <m:r>
              <m:rPr>
                <m:sty m:val="p"/>
              </m:rPr>
              <m:t>P</m:t>
            </m:r>
          </m:e>
          <m:sub>
            <m:r>
              <m:rPr>
                <m:nor/>
              </m:rPr>
              <m:t>atm </m:t>
            </m:r>
          </m:sub>
        </m:sSub>
        <m:r>
          <m:rPr>
            <m:sty m:val="p"/>
          </m:rPr>
          <m:t>=</m:t>
        </m:r>
        <m:r>
          <m:rPr>
            <m:sty m:val="p"/>
          </m:rPr>
          <m:t>1013</m:t>
        </m:r>
        <m:r>
          <m:rPr>
            <m:sty m:val="p"/>
          </m:rPr>
          <m:t>mbar</m:t>
        </m:r>
      </m:oMath>
      <w:r>
        <w:rPr/>
        <w:br w:type="textWrapping"/>
      </w:r>
      <w:r>
        <w:rPr>
          <w:rFonts w:eastAsia="Georgia" w:cs="Georgia" w:ascii="Georgia" w:hAnsi="Georgia"/>
        </w:rPr>
        <w:t xml:space="preserve">-pression saturante de l'eau à </w:t>
      </w:r>
      <m:oMath>
        <m:sSup>
          <m:sSupPr/>
          <m:e>
            <m:r>
              <m:rPr>
                <m:sty m:val="p"/>
              </m:rPr>
              <m:t>30</m:t>
            </m:r>
          </m:e>
          <m:sup>
            <m:r>
              <m:rPr>
                <m:sty m:val="p"/>
              </m:rPr>
              <m:t>∘</m:t>
            </m:r>
          </m:sup>
        </m:sSup>
        <m:r>
          <m:rPr>
            <m:sty m:val="p"/>
          </m:rPr>
          <m:t>C</m:t>
        </m:r>
        <m:r>
          <m:rPr>
            <m:sty m:val="p"/>
          </m:rPr>
          <m:t>:</m:t>
        </m:r>
        <m:sSub>
          <m:sSubPr/>
          <m:e>
            <m:r>
              <m:rPr>
                <m:sty m:val="i"/>
              </m:rPr>
              <m:t>P</m:t>
            </m:r>
          </m:e>
          <m:sub>
            <m:r>
              <m:rPr>
                <m:nor/>
              </m:rPr>
              <m:t>sat </m:t>
            </m:r>
          </m:sub>
        </m:sSub>
        <m:r>
          <m:rPr>
            <m:sty m:val="p"/>
          </m:rPr>
          <m:t>=</m:t>
        </m:r>
        <m:r>
          <m:rPr>
            <m:sty m:val="p"/>
          </m:rPr>
          <m:t>4000</m:t>
        </m:r>
        <m:r>
          <m:rPr>
            <m:nor/>
          </m:rPr>
          <m:t xml:space="preserve"> </m:t>
        </m:r>
        <m:r>
          <m:rPr>
            <m:sty m:val="p"/>
          </m:rPr>
          <m:t>Pa</m:t>
        </m:r>
      </m:oMath>
      <w:r>
        <w:rPr/>
        <w:br w:type="textWrapping"/>
      </w:r>
      <w:r>
        <w:rPr>
          <w:rFonts w:eastAsia="Georgia" w:cs="Georgia" w:ascii="Georgia" w:hAnsi="Georgia"/>
        </w:rPr>
        <w:t xml:space="preserve">-chaleur latente massique de vaporisation de l'eau à </w:t>
      </w:r>
      <m:oMath>
        <m:sSup>
          <m:sSupPr/>
          <m:e>
            <m:r>
              <m:rPr>
                <m:sty m:val="p"/>
              </m:rPr>
              <m:t>0</m:t>
            </m:r>
          </m:e>
          <m:sup>
            <m:r>
              <m:rPr>
                <m:sty m:val="p"/>
              </m:rPr>
              <m:t>∘</m:t>
            </m:r>
          </m:sup>
        </m:sSup>
        <m:r>
          <m:rPr>
            <m:sty m:val="p"/>
          </m:rPr>
          <m:t>C</m:t>
        </m:r>
        <m:r>
          <m:rPr>
            <m:sty m:val="p"/>
          </m:rPr>
          <m:t>:</m:t>
        </m:r>
        <m:sSub>
          <m:sSubPr/>
          <m:e>
            <m:r>
              <m:rPr>
                <m:sty m:val="p"/>
              </m:rPr>
              <m:t>l</m:t>
            </m:r>
          </m:e>
          <m:sub>
            <m:r>
              <m:rPr>
                <m:sty m:val="p"/>
              </m:rPr>
              <m:t>v</m:t>
            </m:r>
          </m:sub>
        </m:sSub>
        <m:r>
          <m:rPr>
            <m:sty m:val="p"/>
          </m:rPr>
          <m:t>=</m:t>
        </m:r>
        <m:r>
          <m:rPr>
            <m:sty m:val="p"/>
          </m:rPr>
          <m:t>2500</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w:p>
    <w:p>
      <w:pPr>
        <w:numPr>
          <w:ilvl w:val="0"/>
          <w:numId w:val="5"/>
        </w:numPr>
        <w:spacing w:lineRule="auto"/>
      </w:pPr>
      <w:r>
        <w:rPr>
          <w:rFonts w:eastAsia="Georgia" w:cs="Georgia" w:ascii="Georgia" w:hAnsi="Georgia"/>
        </w:rPr>
        <w:t xml:space="preserve">chaleur latente massique de fusion de la glace à </w:t>
      </w:r>
      <m:oMath>
        <m:sSup>
          <m:sSupPr/>
          <m:e>
            <m:r>
              <m:rPr>
                <m:sty m:val="p"/>
              </m:rPr>
              <m:t>0</m:t>
            </m:r>
          </m:e>
          <m:sup>
            <m:r>
              <m:rPr>
                <m:sty m:val="p"/>
              </m:rPr>
              <m:t>∘</m:t>
            </m:r>
          </m:sup>
        </m:sSup>
        <m:r>
          <m:rPr>
            <m:sty m:val="p"/>
          </m:rPr>
          <m:t>C</m:t>
        </m:r>
        <m:r>
          <m:rPr>
            <m:sty m:val="p"/>
          </m:rPr>
          <m:t>:</m:t>
        </m:r>
        <m:sSub>
          <m:sSubPr/>
          <m:e>
            <m:r>
              <m:rPr>
                <m:sty m:val="p"/>
              </m:rPr>
              <m:t>l</m:t>
            </m:r>
          </m:e>
          <m:sub>
            <m:r>
              <m:rPr>
                <m:sty m:val="p"/>
              </m:rPr>
              <m:t>f</m:t>
            </m:r>
          </m:sub>
        </m:sSub>
        <m:r>
          <m:rPr>
            <m:sty m:val="p"/>
          </m:rPr>
          <m:t>=</m:t>
        </m:r>
        <m:r>
          <m:rPr>
            <m:sty m:val="p"/>
          </m:rPr>
          <m:t>300</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w:p>
    <w:p>
      <w:pPr>
        <w:numPr>
          <w:ilvl w:val="0"/>
          <w:numId w:val="5"/>
        </w:numPr>
        <w:spacing w:lineRule="auto"/>
      </w:pPr>
      <w:r>
        <w:rPr>
          <w:rFonts w:eastAsia="Georgia" w:cs="Georgia" w:ascii="Georgia" w:hAnsi="Georgia"/>
        </w:rPr>
        <w:t xml:space="preserve">chaleur latente massique de décongélation des aliments : </w:t>
      </w:r>
      <m:oMath>
        <m:sSub>
          <m:sSubPr/>
          <m:e>
            <m:r>
              <m:rPr>
                <m:sty m:val="p"/>
              </m:rPr>
              <m:t>I</m:t>
            </m:r>
          </m:e>
          <m:sub>
            <m:r>
              <m:rPr>
                <m:sty m:val="p"/>
              </m:rPr>
              <m:t>c</m:t>
            </m:r>
          </m:sub>
        </m:sSub>
        <m:r>
          <m:rPr>
            <m:sty m:val="p"/>
          </m:rPr>
          <m:t>=</m:t>
        </m:r>
        <m:r>
          <m:rPr>
            <m:sty m:val="p"/>
          </m:rPr>
          <m:t>250</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w:p>
    <w:p>
      <w:pPr>
        <w:numPr>
          <w:ilvl w:val="0"/>
          <w:numId w:val="5"/>
        </w:numPr>
        <w:spacing w:lineRule="auto"/>
      </w:pPr>
      <w:r>
        <w:rPr>
          <w:rFonts w:eastAsia="Georgia" w:cs="Georgia" w:ascii="Georgia" w:hAnsi="Georgia"/>
        </w:rPr>
        <w:t xml:space="preserve">capacité thermique massique de l'eau vapeur : </w:t>
      </w:r>
      <m:oMath>
        <m:sSub>
          <m:sSubPr/>
          <m:e>
            <m:r>
              <m:rPr>
                <m:sty m:val="p"/>
              </m:rPr>
              <m:t>c</m:t>
            </m:r>
          </m:e>
          <m:sub>
            <m:r>
              <m:rPr>
                <m:nor/>
              </m:rPr>
              <m:t>vap </m:t>
            </m:r>
          </m:sub>
        </m:sSub>
        <m:r>
          <m:rPr>
            <m:sty m:val="p"/>
          </m:rPr>
          <m:t>=</m:t>
        </m:r>
        <m:r>
          <m:rPr>
            <m:sty m:val="p"/>
          </m:rPr>
          <m:t>1410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numPr>
          <w:ilvl w:val="0"/>
          <w:numId w:val="5"/>
        </w:numPr>
        <w:spacing w:lineRule="auto"/>
      </w:pPr>
      <w:r>
        <w:rPr>
          <w:rFonts w:eastAsia="Georgia" w:cs="Georgia" w:ascii="Georgia" w:hAnsi="Georgia"/>
        </w:rPr>
        <w:t xml:space="preserve">capacité thermique massique de l'eau liquide : </w:t>
      </w:r>
      <m:oMath>
        <m:sSub>
          <m:sSubPr/>
          <m:e>
            <m:r>
              <m:rPr>
                <m:sty m:val="p"/>
              </m:rPr>
              <m:t>c</m:t>
            </m:r>
          </m:e>
          <m:sub>
            <m:r>
              <m:rPr>
                <m:sty m:val="p"/>
              </m:rPr>
              <m:t>1</m:t>
            </m:r>
          </m:sub>
        </m:sSub>
        <m:r>
          <m:rPr>
            <m:sty m:val="p"/>
          </m:rPr>
          <m:t>=</m:t>
        </m:r>
        <m:r>
          <m:rPr>
            <m:sty m:val="p"/>
          </m:rPr>
          <m:t>4200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numPr>
          <w:ilvl w:val="0"/>
          <w:numId w:val="5"/>
        </w:numPr>
        <w:spacing w:lineRule="auto"/>
      </w:pPr>
      <w:r>
        <w:rPr>
          <w:rFonts w:eastAsia="Georgia" w:cs="Georgia" w:ascii="Georgia" w:hAnsi="Georgia"/>
        </w:rPr>
        <w:t xml:space="preserve">capacité thermique massique de la glace : </w:t>
      </w:r>
      <m:oMath>
        <m:sSub>
          <m:sSubPr/>
          <m:e>
            <m:r>
              <m:rPr>
                <m:sty m:val="i"/>
              </m:rPr>
              <m:t>c</m:t>
            </m:r>
          </m:e>
          <m:sub>
            <m:r>
              <m:rPr>
                <m:sty m:val="i"/>
              </m:rPr>
              <m:t>s</m:t>
            </m:r>
          </m:sub>
        </m:sSub>
        <m:r>
          <m:rPr>
            <m:sty m:val="p"/>
          </m:rPr>
          <m:t>=</m:t>
        </m:r>
        <m:r>
          <m:rPr>
            <m:sty m:val="p"/>
          </m:rPr>
          <m:t>2100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numPr>
          <w:ilvl w:val="0"/>
          <w:numId w:val="5"/>
        </w:numPr>
        <w:spacing w:lineRule="auto"/>
      </w:pPr>
      <w:r>
        <w:rPr>
          <w:rFonts w:eastAsia="Georgia" w:cs="Georgia" w:ascii="Georgia" w:hAnsi="Georgia"/>
        </w:rPr>
        <w:t xml:space="preserve">capacité thermique massique de l'air sec : </w:t>
      </w:r>
      <m:oMath>
        <m:sSub>
          <m:sSubPr/>
          <m:e>
            <m:r>
              <m:rPr>
                <m:sty m:val="i"/>
              </m:rPr>
              <m:t>c</m:t>
            </m:r>
          </m:e>
          <m:sub>
            <m:r>
              <m:rPr>
                <m:sty m:val="i"/>
              </m:rPr>
              <m:t>a</m:t>
            </m:r>
          </m:sub>
        </m:sSub>
        <m:r>
          <m:rPr>
            <m:sty m:val="p"/>
          </m:rPr>
          <m:t>=</m:t>
        </m:r>
        <m:r>
          <m:rPr>
            <m:sty m:val="p"/>
          </m:rPr>
          <m:t>1000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numPr>
          <w:ilvl w:val="0"/>
          <w:numId w:val="5"/>
        </w:numPr>
        <w:spacing w:lineRule="auto"/>
      </w:pPr>
      <w:r>
        <w:rPr>
          <w:rFonts w:eastAsia="Georgia" w:cs="Georgia" w:ascii="Georgia" w:hAnsi="Georgia"/>
        </w:rPr>
        <w:t xml:space="preserve">capacité thermique massique des aliments décongelés: </w:t>
      </w:r>
      <m:oMath>
        <m:sSub>
          <m:sSubPr/>
          <m:e>
            <m:r>
              <m:rPr>
                <m:sty m:val="i"/>
              </m:rPr>
              <m:t>c</m:t>
            </m:r>
          </m:e>
          <m:sub>
            <m:r>
              <m:rPr>
                <m:nor/>
              </m:rPr>
              <m:t>dec </m:t>
            </m:r>
          </m:sub>
        </m:sSub>
        <m:r>
          <m:rPr>
            <m:sty m:val="p"/>
          </m:rPr>
          <m:t>=</m:t>
        </m:r>
        <m:r>
          <m:rPr>
            <m:sty m:val="p"/>
          </m:rPr>
          <m:t>3600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numPr>
          <w:ilvl w:val="0"/>
          <w:numId w:val="5"/>
        </w:numPr>
        <w:spacing w:lineRule="auto"/>
      </w:pPr>
      <w:r>
        <w:rPr>
          <w:rFonts w:eastAsia="Georgia" w:cs="Georgia" w:ascii="Georgia" w:hAnsi="Georgia"/>
        </w:rPr>
        <w:t xml:space="preserve">capacité thermique massique des aliments congelés : </w:t>
      </w:r>
      <m:oMath>
        <m:sSub>
          <m:sSubPr/>
          <m:e>
            <m:r>
              <m:rPr>
                <m:sty m:val="i"/>
              </m:rPr>
              <m:t>c</m:t>
            </m:r>
          </m:e>
          <m:sub>
            <m:r>
              <m:rPr>
                <m:nor/>
              </m:rPr>
              <m:t>cong </m:t>
            </m:r>
          </m:sub>
        </m:sSub>
        <m:r>
          <m:rPr>
            <m:sty m:val="p"/>
          </m:rPr>
          <m:t>=</m:t>
        </m:r>
        <m:r>
          <m:rPr>
            <m:sty m:val="p"/>
          </m:rPr>
          <m:t>1500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numPr>
          <w:ilvl w:val="0"/>
          <w:numId w:val="5"/>
        </w:numPr>
        <w:spacing w:lineRule="auto"/>
      </w:pPr>
      <w:r>
        <w:rPr>
          <w:rFonts w:eastAsia="Georgia" w:cs="Georgia" w:ascii="Georgia" w:hAnsi="Georgia"/>
        </w:rPr>
        <w:t xml:space="preserve">capacité thermique du congélateur </w:t>
      </w:r>
      <m:oMath>
        <m:r>
          <m:rPr>
            <m:sty m:val="p"/>
          </m:rPr>
          <m:t>C</m:t>
        </m:r>
        <m:r>
          <m:rPr>
            <m:sty m:val="p"/>
          </m:rPr>
          <m:t>=</m:t>
        </m:r>
        <m:sSup>
          <m:sSupPr/>
          <m:e>
            <m:r>
              <m:rPr>
                <m:sty m:val="p"/>
              </m:rPr>
              <m:t>510</m:t>
            </m:r>
          </m:e>
          <m:sup>
            <m:r>
              <m:rPr>
                <m:sty m:val="p"/>
              </m:rPr>
              <m:t>5</m:t>
            </m:r>
          </m:sup>
        </m:sSup>
        <m:r>
          <m:rPr>
            <m:nor/>
          </m:rPr>
          <m:t xml:space="preserve"> </m:t>
        </m:r>
        <m:r>
          <m:rPr>
            <m:sty m:val="p"/>
          </m:rPr>
          <m:t>J</m:t>
        </m:r>
        <m:r>
          <m:rPr>
            <m:sty m:val="p"/>
          </m:rPr>
          <m:t>.</m:t>
        </m:r>
        <m:sSup>
          <m:sSupPr/>
          <m:e>
            <m:r>
              <m:rPr>
                <m:sty m:val="p"/>
              </m:rPr>
              <m:t>K</m:t>
            </m:r>
          </m:e>
          <m:sup>
            <m:r>
              <m:rPr>
                <m:sty m:val="p"/>
              </m:rPr>
              <m:t>−</m:t>
            </m:r>
            <m:r>
              <m:rPr>
                <m:sty m:val="p"/>
              </m:rPr>
              <m:t>1</m:t>
            </m:r>
          </m:sup>
        </m:sSup>
      </m:oMath>
      <w:r>
        <w:rPr/>
        <w:br w:type="textWrapping"/>
      </w:r>
      <w:r>
        <w:rPr/>
        <w:t xml:space="preserve">-masse molaire de l'eau </w:t>
      </w:r>
      <m:oMath>
        <m:sSub>
          <m:sSubPr/>
          <m:e>
            <m:r>
              <m:rPr>
                <m:sty m:val="p"/>
              </m:rPr>
              <m:t>M</m:t>
            </m:r>
          </m:e>
          <m:sub>
            <m:r>
              <m:rPr>
                <m:nor/>
              </m:rPr>
              <m:t>eau </m:t>
            </m:r>
          </m:sub>
        </m:sSub>
        <m:r>
          <m:rPr>
            <m:sty m:val="p"/>
          </m:rPr>
          <m:t>=</m:t>
        </m:r>
        <m:r>
          <m:rPr>
            <m:sty m:val="p"/>
          </m:rPr>
          <m:t>18</m:t>
        </m:r>
        <m:r>
          <m:rPr>
            <m:nor/>
          </m:rPr>
          <m:t xml:space="preserve"> </m:t>
        </m:r>
        <m:r>
          <m:rPr>
            <m:sty m:val="p"/>
          </m:rPr>
          <m:t>g</m:t>
        </m:r>
        <m:r>
          <m:rPr>
            <m:sty m:val="p"/>
          </m:rPr>
          <m:t>.</m:t>
        </m:r>
        <m:sSup>
          <m:sSupPr/>
          <m:e>
            <m:r>
              <m:rPr>
                <m:sty m:val="p"/>
              </m:rPr>
              <m:t>mol</m:t>
            </m:r>
          </m:e>
          <m:sup>
            <m:r>
              <m:rPr>
                <m:sty m:val="p"/>
              </m:rPr>
              <m:t>−</m:t>
            </m:r>
            <m:r>
              <m:rPr>
                <m:sty m:val="p"/>
              </m:rPr>
              <m:t>1</m:t>
            </m:r>
          </m:sup>
        </m:sSup>
      </m:oMath>
      <w:r>
        <w:rPr/>
        <w:br w:type="textWrapping"/>
      </w:r>
      <w:r>
        <w:rPr/>
        <w:t xml:space="preserve">-masse molaire de l'air </w:t>
      </w:r>
      <m:oMath>
        <m:sSub>
          <m:sSubPr/>
          <m:e>
            <m:r>
              <m:rPr>
                <m:sty m:val="p"/>
              </m:rPr>
              <m:t>M</m:t>
            </m:r>
          </m:e>
          <m:sub>
            <m:r>
              <m:rPr>
                <m:nor/>
              </m:rPr>
              <m:t>air </m:t>
            </m:r>
          </m:sub>
        </m:sSub>
        <m:r>
          <m:rPr>
            <m:sty m:val="p"/>
          </m:rPr>
          <m:t>=</m:t>
        </m:r>
        <m:r>
          <m:rPr>
            <m:sty m:val="p"/>
          </m:rPr>
          <m:t>29</m:t>
        </m:r>
        <m:r>
          <m:rPr>
            <m:nor/>
          </m:rPr>
          <m:t xml:space="preserve"> </m:t>
        </m:r>
        <m:r>
          <m:rPr>
            <m:sty m:val="p"/>
          </m:rPr>
          <m:t>g</m:t>
        </m:r>
        <m:r>
          <m:rPr>
            <m:sty m:val="p"/>
          </m:rPr>
          <m:t>.</m:t>
        </m:r>
        <m:sSup>
          <m:sSupPr/>
          <m:e>
            <m:r>
              <m:rPr>
                <m:sty m:val="p"/>
              </m:rPr>
              <m:t>mol</m:t>
            </m:r>
          </m:e>
          <m:sup>
            <m:r>
              <m:rPr>
                <m:sty m:val="p"/>
              </m:rPr>
              <m:t>−</m:t>
            </m:r>
            <m:r>
              <m:rPr>
                <m:sty m:val="p"/>
              </m:rPr>
              <m:t>1</m:t>
            </m:r>
          </m:sup>
        </m:sSup>
      </m:oMath>
      <w:r>
        <w:rPr/>
        <w:br w:type="textWrapping"/>
      </w:r>
      <w:r>
        <w:rPr>
          <w:rFonts w:eastAsia="Georgia" w:cs="Georgia" w:ascii="Georgia" w:hAnsi="Georgia"/>
        </w:rPr>
        <w:t xml:space="preserve">-masse volumique de l'air supposée constante entre </w:t>
      </w:r>
      <m:oMath>
        <m:sSup>
          <m:sSupPr/>
          <m:e>
            <m:r>
              <m:rPr>
                <m:sty m:val="p"/>
              </m:rPr>
              <m:t>0</m:t>
            </m:r>
          </m:e>
          <m:sup>
            <m:r>
              <m:rPr>
                <m:sty m:val="p"/>
              </m:rPr>
              <m:t>∘</m:t>
            </m:r>
          </m:sup>
        </m:sSup>
      </m:oMath>
      <w:r>
        <w:rPr/>
        <w:t xml:space="preserve"> et </w:t>
      </w:r>
      <m:oMath>
        <m:sSup>
          <m:sSupPr/>
          <m:e>
            <m:r>
              <m:rPr>
                <m:sty m:val="p"/>
              </m:rPr>
              <m:t>30</m:t>
            </m:r>
          </m:e>
          <m:sup>
            <m:r>
              <m:rPr>
                <m:sty m:val="p"/>
              </m:rPr>
              <m:t>∘</m:t>
            </m:r>
          </m:sup>
        </m:sSup>
        <m:sSub>
          <m:sSubPr/>
          <m:e>
            <m:r>
              <m:rPr>
                <m:sty m:val="i"/>
              </m:rPr>
              <m:t>μ</m:t>
            </m:r>
          </m:e>
          <m:sub>
            <m:r>
              <m:rPr>
                <m:nor/>
              </m:rPr>
              <m:t>air </m:t>
            </m:r>
          </m:sub>
        </m:sSub>
        <m:r>
          <m:rPr>
            <m:sty m:val="p"/>
          </m:rPr>
          <m:t>=</m:t>
        </m:r>
        <m:r>
          <m:rPr>
            <m:sty m:val="p"/>
          </m:rPr>
          <m:t>1</m:t>
        </m:r>
        <m:r>
          <m:rPr>
            <m:sty m:val="p"/>
          </m:rPr>
          <m:t>,</m:t>
        </m:r>
        <m:r>
          <m:rPr>
            <m:sty m:val="p"/>
          </m:rPr>
          <m:t>3</m:t>
        </m:r>
        <m:r>
          <m:rPr>
            <m:nor/>
          </m:rPr>
          <m:t xml:space="preserve"> </m:t>
        </m:r>
        <m:r>
          <m:rPr>
            <m:sty m:val="p"/>
          </m:rPr>
          <m:t>kg</m:t>
        </m:r>
        <m:r>
          <m:rPr>
            <m:sty m:val="p"/>
          </m:rPr>
          <m:t>.</m:t>
        </m:r>
        <m:sSup>
          <m:sSupPr/>
          <m:e>
            <m:r>
              <m:rPr>
                <m:sty m:val="p"/>
              </m:rPr>
              <m:t>m</m:t>
            </m:r>
          </m:e>
          <m:sup>
            <m:r>
              <m:rPr>
                <m:sty m:val="p"/>
              </m:rPr>
              <m:t>−</m:t>
            </m:r>
            <m:r>
              <m:rPr>
                <m:sty m:val="p"/>
              </m:rPr>
              <m:t>3</m:t>
            </m:r>
          </m:sup>
        </m:sSup>
      </m:oMath>
      <w:r>
        <w:rPr/>
        <w:br w:type="textWrapping"/>
      </w:r>
      <w:r>
        <w:rPr>
          <w:rFonts w:eastAsia="Georgia" w:cs="Georgia" w:ascii="Georgia" w:hAnsi="Georgia"/>
        </w:rPr>
        <w:t xml:space="preserve">-capacité thermique massique à pression constante du R134A </w:t>
      </w:r>
      <m:oMath>
        <m:sSub>
          <m:sSubPr/>
          <m:e>
            <m:r>
              <m:rPr>
                <m:sty m:val="i"/>
              </m:rPr>
              <m:t>c</m:t>
            </m:r>
          </m:e>
          <m:sub>
            <m:r>
              <m:rPr>
                <m:sty m:val="i"/>
              </m:rPr>
              <m:t>p</m:t>
            </m:r>
          </m:sub>
        </m:sSub>
        <m:r>
          <m:rPr>
            <m:sty m:val="p"/>
          </m:rPr>
          <m:t>=</m:t>
        </m:r>
        <m:r>
          <m:rPr>
            <m:sty m:val="p"/>
          </m:rPr>
          <m:t>800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br w:type="textWrapping"/>
      </w:r>
      <m:oMathPara>
        <m:oMathParaPr>
          <m:jc m:val="left"/>
        </m:oMathParaPr>
        <m:oMath>
          <m:r>
            <m:rPr>
              <m:sty m:val="p"/>
            </m:rPr>
            <m:t>Ln</m:t>
          </m:r>
          <m:r>
            <m:rPr>
              <m:sty m:val="p"/>
            </m:rPr>
            <m:t>(</m:t>
          </m:r>
          <m:r>
            <m:rPr>
              <m:sty m:val="p"/>
            </m:rPr>
            <m:t>273</m:t>
          </m:r>
          <m:r>
            <m:rPr>
              <m:sty m:val="p"/>
            </m:rPr>
            <m:t>/</m:t>
          </m:r>
          <m:r>
            <m:rPr>
              <m:sty m:val="p"/>
            </m:rPr>
            <m:t>263</m:t>
          </m:r>
          <m:r>
            <m:rPr>
              <m:sty m:val="p"/>
            </m:rPr>
            <m:t>)</m:t>
          </m:r>
          <m:r>
            <m:rPr>
              <m:sty m:val="p"/>
            </m:rPr>
            <m:t>=</m:t>
          </m:r>
          <m:r>
            <m:rPr>
              <m:sty m:val="p"/>
            </m:rPr>
            <m:t>0</m:t>
          </m:r>
          <m:r>
            <m:rPr>
              <m:sty m:val="p"/>
            </m:rPr>
            <m:t>,</m:t>
          </m:r>
          <m:r>
            <m:rPr>
              <m:sty m:val="p"/>
            </m:rPr>
            <m:t>04</m:t>
          </m:r>
        </m:oMath>
      </m:oMathPara>
    </w:p>
    <w:p>
      <w:pPr>
        <w:spacing w:lineRule="auto"/>
        <w:jc w:val="center"/>
      </w:pPr>
      <w:r>
        <w:rPr/>
        <w:drawing>
          <wp:inline distB="0" distL="0" distR="0" distT="0">
            <wp:extent cx="5486400" cy="3786293"/>
            <wp:effectExtent b="0" l="0" r="0" t="0"/>
            <wp:docPr id="11" name="image-ec4c6116b668a82879f5317b43a594d1d7f48875.jpg"/>
            <a:graphic>
              <a:graphicData uri="http://schemas.openxmlformats.org/drawingml/2006/picture">
                <pic:pic>
                  <pic:nvPicPr>
                    <pic:cNvPr id="11" name="image-ec4c6116b668a82879f5317b43a594d1d7f48875.jpg" descr=""/>
                    <pic:cNvPicPr/>
                  </pic:nvPicPr>
                  <pic:blipFill>
                    <a:blip r:embed="rId15" cstate="print"/>
                    <a:srcRect b="0" l="0" r="0" t="0"/>
                    <a:stretch>
                      <a:fillRect/>
                    </a:stretch>
                  </pic:blipFill>
                  <pic:spPr>
                    <a:xfrm>
                      <a:off x="0" y="0"/>
                      <a:ext cx="5486400" cy="3786293"/>
                    </a:xfrm>
                    <a:prstGeom prst="rect"/>
                  </pic:spPr>
                </pic:pic>
              </a:graphicData>
            </a:graphic>
          </wp:inline>
        </w:drawing>
      </w:r>
    </w:p>
    <w:p>
      <w:pPr>
        <w:spacing w:lineRule="auto"/>
      </w:pPr>
      <w:r>
        <w:rPr/>
        <w:t xml:space="preserve">ANNEXE 1</w:t>
      </w:r>
    </w:p>
    <w:p>
      <w:pPr>
        <w:spacing w:lineRule="auto"/>
      </w:pPr>
      <w:r>
        <w:rPr/>
        <w:t xml:space="preserve">Tableau . Table de saturation du R134a.</w:t>
      </w:r>
    </w:p>
    <w:tbl>
      <w:tblPr>
        <w:tblStyle w:val="TableGrid"/>
        <w:jc w:val="center"/>
        <w:tblCellSpacing w:w="0" w:type="dxa"/>
        <w:tblBorders/>
        <w:tblCellMar>
          <w:top w:type="dxa" w:w="80"/>
          <w:left w:type="dxa" w:w="160"/>
          <w:bottom w:type="dxa" w:w="80"/>
          <w:right w:type="dxa" w:w="160"/>
        </w:tblCellMar>
      </w:tblPr>
      <w:tblGrid>
        <w:gridCol w:w="785"/>
        <w:gridCol w:w="785"/>
        <w:gridCol w:w="785"/>
        <w:gridCol w:w="785"/>
        <w:gridCol w:w="785"/>
        <w:gridCol w:w="785"/>
        <w:gridCol w:w="785"/>
        <w:gridCol w:w="785"/>
        <w:gridCol w:w="785"/>
        <w:gridCol w:w="785"/>
        <w:gridCol w:w="785"/>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Temp.</w:t>
            </w:r>
          </w:p>
        </w:tc>
        <w:tc>
          <w:tcPr>
            <w:tcBorders>
              <w:top w:val="single" w:sz="8" w:space="0" w:color="000000"/>
              <w:bottom w:val="single" w:sz="8" w:space="0" w:color="000000"/>
              <w:right w:val="single" w:sz="8" w:space="0" w:color="000000"/>
            </w:tcBorders>
            <w:vAlign w:val="center"/>
          </w:tcPr>
          <w:p>
            <w:pPr>
              <w:spacing w:lineRule="auto"/>
              <w:jc w:val="left"/>
            </w:pPr>
            <w:r>
              <w:rPr/>
              <w:t xml:space="preserve">Pression absolve</w:t>
            </w:r>
          </w:p>
        </w:tc>
        <w:tc>
          <w:tcPr>
            <w:tcBorders>
              <w:top w:val="single" w:sz="8" w:space="0" w:color="000000"/>
              <w:bottom w:val="single" w:sz="8" w:space="0" w:color="000000"/>
              <w:right w:val="single" w:sz="8" w:space="0" w:color="000000"/>
            </w:tcBorders>
            <w:vAlign w:val="center"/>
          </w:tcPr>
          <w:p>
            <w:pPr>
              <w:spacing w:lineRule="auto"/>
              <w:jc w:val="left"/>
            </w:pPr>
            <w:r>
              <w:rPr/>
              <w:t xml:space="preserve">Volume massique</w:t>
            </w:r>
          </w:p>
        </w:tc>
        <w:tc>
          <w:tcPr>
            <w:tcBorders>
              <w:top w:val="single" w:sz="8" w:space="0" w:color="000000"/>
              <w:bottom w:val="single" w:sz="8" w:space="0" w:color="000000"/>
              <w:right w:val="single" w:sz="8" w:space="0" w:color="000000"/>
            </w:tcBorders>
            <w:vAlign w:val="center"/>
          </w:tcPr>
          <w:p>
            <w:pPr>
              <w:spacing w:lineRule="auto"/>
              <w:jc w:val="left"/>
            </w:pPr>
            <w:r>
              <w:rPr/>
              <w:t xml:space="preserve">Volume massique</w:t>
            </w:r>
          </w:p>
        </w:tc>
        <w:tc>
          <w:tcPr>
            <w:tcBorders>
              <w:top w:val="single" w:sz="8" w:space="0" w:color="000000"/>
              <w:bottom w:val="single" w:sz="8" w:space="0" w:color="000000"/>
              <w:right w:val="single" w:sz="8" w:space="0" w:color="000000"/>
            </w:tcBorders>
            <w:vAlign w:val="center"/>
          </w:tcPr>
          <w:p>
            <w:pPr>
              <w:spacing w:lineRule="auto"/>
              <w:jc w:val="left"/>
            </w:pPr>
            <w:r>
              <w:rPr/>
              <w:t xml:space="preserve">Masse volumique</w:t>
            </w:r>
          </w:p>
        </w:tc>
        <w:tc>
          <w:tcPr>
            <w:tcBorders>
              <w:top w:val="single" w:sz="8" w:space="0" w:color="000000"/>
              <w:bottom w:val="single" w:sz="8" w:space="0" w:color="000000"/>
              <w:right w:val="single" w:sz="8" w:space="0" w:color="000000"/>
            </w:tcBorders>
            <w:vAlign w:val="center"/>
          </w:tcPr>
          <w:p>
            <w:pPr>
              <w:spacing w:lineRule="auto"/>
              <w:jc w:val="left"/>
            </w:pPr>
            <w:r>
              <w:rPr/>
              <w:t xml:space="preserve">Masse volumique</w:t>
            </w:r>
          </w:p>
        </w:tc>
        <w:tc>
          <w:tcPr>
            <w:tcBorders>
              <w:top w:val="single" w:sz="8" w:space="0" w:color="000000"/>
              <w:bottom w:val="single" w:sz="8" w:space="0" w:color="000000"/>
              <w:right w:val="single" w:sz="8" w:space="0" w:color="000000"/>
            </w:tcBorders>
            <w:vAlign w:val="center"/>
          </w:tcPr>
          <w:p>
            <w:pPr>
              <w:spacing w:lineRule="auto"/>
              <w:jc w:val="left"/>
            </w:pPr>
            <w:r>
              <w:rPr/>
              <w:t xml:space="preserve">Enthalpic</w:t>
            </w:r>
          </w:p>
        </w:tc>
        <w:tc>
          <w:tcPr>
            <w:tcBorders>
              <w:top w:val="single" w:sz="8" w:space="0" w:color="000000"/>
              <w:bottom w:val="single" w:sz="8" w:space="0" w:color="000000"/>
              <w:right w:val="single" w:sz="8" w:space="0" w:color="000000"/>
            </w:tcBorders>
            <w:vAlign w:val="center"/>
          </w:tcPr>
          <w:p>
            <w:pPr>
              <w:spacing w:lineRule="auto"/>
              <w:jc w:val="left"/>
            </w:pPr>
            <w:r>
              <w:rPr/>
              <w:t xml:space="preserve">Enthalpie</w:t>
            </w:r>
          </w:p>
        </w:tc>
        <w:tc>
          <w:tcPr>
            <w:tcBorders>
              <w:top w:val="single" w:sz="8" w:space="0" w:color="000000"/>
              <w:bottom w:val="single" w:sz="8" w:space="0" w:color="000000"/>
              <w:right w:val="single" w:sz="8" w:space="0" w:color="000000"/>
            </w:tcBorders>
            <w:vAlign w:val="center"/>
          </w:tcPr>
          <w:p>
            <w:pPr>
              <w:spacing w:lineRule="auto"/>
              <w:jc w:val="left"/>
            </w:pPr>
            <w:r>
              <w:rPr/>
              <w:t xml:space="preserve">Chaleur de Vaporis.</w:t>
            </w:r>
          </w:p>
        </w:tc>
        <w:tc>
          <w:tcPr>
            <w:tcBorders>
              <w:top w:val="single" w:sz="8" w:space="0" w:color="000000"/>
              <w:bottom w:val="single" w:sz="8" w:space="0" w:color="000000"/>
              <w:right w:val="single" w:sz="8" w:space="0" w:color="000000"/>
            </w:tcBorders>
            <w:vAlign w:val="center"/>
          </w:tcPr>
          <w:p>
            <w:pPr>
              <w:spacing w:lineRule="auto"/>
              <w:jc w:val="left"/>
            </w:pPr>
            <w:r>
              <w:rPr/>
              <w:t xml:space="preserve">Entropie</w:t>
            </w:r>
          </w:p>
        </w:tc>
        <w:tc>
          <w:tcPr>
            <w:tcBorders>
              <w:top w:val="single" w:sz="8" w:space="0" w:color="000000"/>
              <w:bottom w:val="single" w:sz="8" w:space="0" w:color="000000"/>
              <w:right w:val="single" w:sz="8" w:space="0" w:color="000000"/>
            </w:tcBorders>
            <w:vAlign w:val="center"/>
          </w:tcPr>
          <w:p>
            <w:pPr>
              <w:spacing w:lineRule="auto"/>
              <w:jc w:val="left"/>
            </w:pPr>
            <w:r>
              <w:rPr/>
              <w:t xml:space="preserve">Entropie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θ</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bottom w:val="single" w:sz="8" w:space="0" w:color="000000"/>
              <w:right w:val="single" w:sz="8" w:space="0" w:color="000000"/>
            </w:tcBorders>
            <w:vAlign w:val="center"/>
          </w:tcPr>
          <w:p>
            <w:pPr>
              <w:spacing w:lineRule="auto"/>
              <w:jc w:val="left"/>
            </w:pPr>
            <w:r>
              <w:rPr/>
              <w:t xml:space="preserve">p [Bar]</w:t>
            </w:r>
          </w:p>
        </w:tc>
        <w:tc>
          <w:tcPr>
            <w:tcBorders>
              <w:bottom w:val="single" w:sz="8" w:space="0" w:color="000000"/>
              <w:right w:val="single" w:sz="8" w:space="0" w:color="000000"/>
            </w:tcBorders>
            <w:vAlign w:val="center"/>
          </w:tcPr>
          <w:p>
            <w:pPr>
              <w:spacing w:lineRule="auto"/>
              <w:jc w:val="left"/>
            </w:pPr>
            <w:r>
              <w:rPr/>
              <w:t xml:space="preserve">Liquide [ </w:t>
            </w:r>
            <m:oMath>
              <m:sSup>
                <m:sSupPr/>
                <m:e>
                  <m:r>
                    <m:rPr>
                      <m:sty m:val="p"/>
                    </m:rPr>
                    <m:t>dm</m:t>
                  </m:r>
                </m:e>
                <m:sup>
                  <m:r>
                    <m:rPr>
                      <m:sty m:val="p"/>
                    </m:rPr>
                    <m:t>3</m:t>
                  </m:r>
                </m:sup>
              </m:sSup>
              <m:r>
                <m:rPr>
                  <m:sty m:val="p"/>
                </m:rPr>
                <m:t>/</m:t>
              </m:r>
              <m:r>
                <m:rPr>
                  <m:sty m:val="p"/>
                </m:rPr>
                <m:t>kg</m:t>
              </m:r>
            </m:oMath>
            <w:r>
              <w:rPr/>
              <w:t xml:space="preserve"> ]</w:t>
            </w:r>
          </w:p>
        </w:tc>
        <w:tc>
          <w:tcPr>
            <w:tcBorders>
              <w:bottom w:val="single" w:sz="8" w:space="0" w:color="000000"/>
              <w:right w:val="single" w:sz="8" w:space="0" w:color="000000"/>
            </w:tcBorders>
            <w:vAlign w:val="center"/>
          </w:tcPr>
          <w:p>
            <w:pPr>
              <w:spacing w:lineRule="auto"/>
              <w:jc w:val="left"/>
            </w:pPr>
            <w:r>
              <w:rPr/>
              <w:t xml:space="preserve">Vapeur [ </w:t>
            </w:r>
            <m:oMath>
              <m:sSup>
                <m:sSupPr/>
                <m:e>
                  <m:r>
                    <m:rPr>
                      <m:sty m:val="p"/>
                    </m:rPr>
                    <m:t>dm</m:t>
                  </m:r>
                </m:e>
                <m:sup>
                  <m:r>
                    <m:rPr>
                      <m:sty m:val="p"/>
                    </m:rPr>
                    <m:t>3</m:t>
                  </m:r>
                </m:sup>
              </m:sSup>
              <m:r>
                <m:rPr>
                  <m:sty m:val="p"/>
                </m:rPr>
                <m:t>/</m:t>
              </m:r>
              <m:r>
                <m:rPr>
                  <m:sty m:val="p"/>
                </m:rPr>
                <m:t>kg</m:t>
              </m:r>
            </m:oMath>
            <w:r>
              <w:rPr/>
              <w:t xml:space="preserve"> ]</w:t>
            </w:r>
          </w:p>
        </w:tc>
        <w:tc>
          <w:tcPr>
            <w:tcBorders>
              <w:bottom w:val="single" w:sz="8" w:space="0" w:color="000000"/>
              <w:right w:val="single" w:sz="8" w:space="0" w:color="000000"/>
            </w:tcBorders>
            <w:vAlign w:val="center"/>
          </w:tcPr>
          <w:p>
            <w:pPr>
              <w:spacing w:lineRule="auto"/>
              <w:jc w:val="left"/>
            </w:pPr>
            <w:r>
              <w:rPr/>
              <w:t xml:space="preserve">Liquide [ </w:t>
            </w:r>
            <m:oMath>
              <m:r>
                <m:rPr>
                  <m:sty m:val="p"/>
                </m:rPr>
                <m:t>kg</m:t>
              </m:r>
              <m:r>
                <m:rPr>
                  <m:sty m:val="p"/>
                </m:rPr>
                <m:t>/</m:t>
              </m:r>
              <m:sSup>
                <m:sSupPr/>
                <m:e>
                  <m:r>
                    <m:rPr>
                      <m:sty m:val="p"/>
                    </m:rPr>
                    <m:t>dm</m:t>
                  </m:r>
                </m:e>
                <m:sup>
                  <m:r>
                    <m:rPr>
                      <m:sty m:val="p"/>
                    </m:rPr>
                    <m:t>3</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Vapeur </w:t>
            </w:r>
            <m:oMath>
              <m:d>
                <m:dPr>
                  <m:begChr m:val="["/>
                  <m:endChr m:val="]"/>
                  <m:ctrlPr>
                    <w:rPr>
                      <w:rFonts w:ascii="Cambria Math" w:hAnsi="Cambria Math"/>
                    </w:rPr>
                  </m:ctrlPr>
                </m:dPr>
                <m:e>
                  <m:r>
                    <m:rPr>
                      <m:sty m:val="p"/>
                    </m:rPr>
                    <m:t>kg</m:t>
                  </m:r>
                  <m:r>
                    <m:rPr>
                      <m:sty m:val="p"/>
                    </m:rPr>
                    <m:t>/</m:t>
                  </m:r>
                  <m:sSup>
                    <m:sSupPr/>
                    <m:e>
                      <m:r>
                        <m:rPr>
                          <m:sty m:val="p"/>
                        </m:rPr>
                        <m:t>m</m:t>
                      </m:r>
                    </m:e>
                    <m:sup>
                      <m:r>
                        <m:rPr>
                          <m:sty m:val="p"/>
                        </m:rPr>
                        <m:t>3</m:t>
                      </m:r>
                    </m:sup>
                  </m:sSup>
                </m:e>
              </m:d>
            </m:oMath>
          </w:p>
        </w:tc>
        <w:tc>
          <w:tcPr>
            <w:tcBorders>
              <w:bottom w:val="single" w:sz="8" w:space="0" w:color="000000"/>
              <w:right w:val="single" w:sz="8" w:space="0" w:color="000000"/>
            </w:tcBorders>
            <w:vAlign w:val="center"/>
          </w:tcPr>
          <w:p>
            <w:pPr>
              <w:spacing w:lineRule="auto"/>
              <w:jc w:val="left"/>
            </w:pPr>
            <w:r>
              <w:rPr/>
              <w:t xml:space="preserve">Liquide [kJ/kg]</w:t>
            </w:r>
          </w:p>
        </w:tc>
        <w:tc>
          <w:tcPr>
            <w:tcBorders>
              <w:bottom w:val="single" w:sz="8" w:space="0" w:color="000000"/>
              <w:right w:val="single" w:sz="8" w:space="0" w:color="000000"/>
            </w:tcBorders>
            <w:vAlign w:val="center"/>
          </w:tcPr>
          <w:p>
            <w:pPr>
              <w:spacing w:lineRule="auto"/>
              <w:jc w:val="left"/>
            </w:pPr>
            <w:r>
              <w:rPr/>
              <w:t xml:space="preserve">Vapeur [ </w:t>
            </w:r>
            <m:oMath>
              <m:r>
                <m:rPr>
                  <m:sty m:val="p"/>
                </m:rPr>
                <m:t>k</m:t>
              </m:r>
              <m:r>
                <m:rPr>
                  <m:sty m:val="p"/>
                </m:rPr>
                <m:t>/</m:t>
              </m:r>
              <m:r>
                <m:rPr>
                  <m:sty m:val="p"/>
                </m:rPr>
                <m:t>kg</m:t>
              </m:r>
            </m:oMath>
            <w:r>
              <w:rPr/>
              <w:t xml:space="preserve"> ]</w:t>
            </w:r>
          </w:p>
        </w:tc>
        <w:tc>
          <w:tcPr>
            <w:tcBorders>
              <w:bottom w:val="single" w:sz="8" w:space="0" w:color="000000"/>
              <w:right w:val="single" w:sz="8" w:space="0" w:color="000000"/>
            </w:tcBorders>
            <w:vAlign w:val="center"/>
          </w:tcPr>
          <w:p>
            <w:pPr>
              <w:spacing w:lineRule="auto"/>
              <w:jc w:val="left"/>
            </w:pPr>
            <w:r>
              <w:rPr/>
              <w:t xml:space="preserve">[ </w:t>
            </w:r>
            <m:oMath>
              <m:r>
                <m:rPr>
                  <m:sty m:val="p"/>
                </m:rPr>
                <m:t>LJ</m:t>
              </m:r>
              <m:r>
                <m:rPr>
                  <m:sty m:val="p"/>
                </m:rPr>
                <m:t>/</m:t>
              </m:r>
              <m:r>
                <m:rPr>
                  <m:sty m:val="p"/>
                </m:rPr>
                <m:t>kg</m:t>
              </m:r>
            </m:oMath>
            <w:r>
              <w:rPr/>
              <w:t xml:space="preserve"> ]</w:t>
            </w:r>
          </w:p>
        </w:tc>
        <w:tc>
          <w:tcPr>
            <w:tcBorders>
              <w:bottom w:val="single" w:sz="8" w:space="0" w:color="000000"/>
              <w:right w:val="single" w:sz="8" w:space="0" w:color="000000"/>
            </w:tcBorders>
            <w:vAlign w:val="center"/>
          </w:tcPr>
          <w:p>
            <w:pPr>
              <w:spacing w:lineRule="auto"/>
              <w:jc w:val="left"/>
            </w:pPr>
            <w:r>
              <w:rPr/>
              <w:t xml:space="preserve">Liquide [ </w:t>
            </w:r>
            <m:oMath>
              <m:r>
                <m:rPr>
                  <m:sty m:val="p"/>
                </m:rPr>
                <m:t>kJ</m:t>
              </m:r>
              <m:r>
                <m:rPr>
                  <m:sty m:val="p"/>
                </m:rPr>
                <m:t>/</m:t>
              </m:r>
              <m:r>
                <m:rPr>
                  <m:sty m:val="p"/>
                </m:rPr>
                <m:t>(</m:t>
              </m:r>
              <m:r>
                <m:rPr>
                  <m:sty m:val="p"/>
                </m:rPr>
                <m:t>kg</m:t>
              </m:r>
              <m:r>
                <m:rPr>
                  <m:sty m:val="p"/>
                </m:rPr>
                <m:t>.</m:t>
              </m:r>
              <m:r>
                <m:rPr>
                  <m:sty m:val="p"/>
                </m:rPr>
                <m:t>K</m:t>
              </m:r>
              <m:r>
                <m:rPr>
                  <m:sty m:val="p"/>
                </m:rPr>
                <m:t>)</m:t>
              </m:r>
            </m:oMath>
            <w:r>
              <w:rPr/>
              <w:t xml:space="preserve"> ]</w:t>
            </w:r>
          </w:p>
        </w:tc>
        <w:tc>
          <w:tcPr>
            <w:tcBorders>
              <w:bottom w:val="single" w:sz="8" w:space="0" w:color="000000"/>
              <w:right w:val="single" w:sz="8" w:space="0" w:color="000000"/>
            </w:tcBorders>
            <w:vAlign w:val="center"/>
          </w:tcPr>
          <w:p>
            <w:pPr>
              <w:spacing w:lineRule="auto"/>
              <w:jc w:val="left"/>
            </w:pPr>
            <w:r>
              <w:rPr/>
              <w:t xml:space="preserve">Vapeur [ </w:t>
            </w:r>
            <m:oMath>
              <m:r>
                <m:rPr>
                  <m:sty m:val="p"/>
                </m:rPr>
                <m:t>kJ</m:t>
              </m:r>
              <m:r>
                <m:rPr>
                  <m:sty m:val="p"/>
                </m:rPr>
                <m:t>/</m:t>
              </m:r>
              <m:r>
                <m:rPr>
                  <m:sty m:val="p"/>
                </m:rPr>
                <m:t>(</m:t>
              </m:r>
              <m:r>
                <m:rPr>
                  <m:sty m:val="p"/>
                </m:rPr>
                <m:t>kg</m:t>
              </m:r>
              <m:r>
                <m:rPr>
                  <m:sty m:val="p"/>
                </m:rPr>
                <m:t>.</m:t>
              </m:r>
              <m:r>
                <m:rPr>
                  <m:sty m:val="p"/>
                </m:rPr>
                <m:t>K</m:t>
              </m:r>
              <m:r>
                <m:rPr>
                  <m:sty m:val="p"/>
                </m:rPr>
                <m:t>)</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-50,0</w:t>
            </w:r>
          </w:p>
        </w:tc>
        <w:tc>
          <w:tcPr>
            <w:tcBorders>
              <w:bottom w:val="single" w:sz="8" w:space="0" w:color="000000"/>
              <w:right w:val="single" w:sz="8" w:space="0" w:color="000000"/>
            </w:tcBorders>
            <w:vAlign w:val="center"/>
          </w:tcPr>
          <w:p>
            <w:pPr>
              <w:spacing w:lineRule="auto"/>
              <w:jc w:val="left"/>
            </w:pPr>
            <w:r>
              <w:rPr/>
              <w:t xml:space="preserve">0,2948</w:t>
            </w:r>
          </w:p>
        </w:tc>
        <w:tc>
          <w:tcPr>
            <w:tcBorders>
              <w:bottom w:val="single" w:sz="8" w:space="0" w:color="000000"/>
              <w:right w:val="single" w:sz="8" w:space="0" w:color="000000"/>
            </w:tcBorders>
            <w:vAlign w:val="center"/>
          </w:tcPr>
          <w:p>
            <w:pPr>
              <w:spacing w:lineRule="auto"/>
              <w:jc w:val="left"/>
            </w:pPr>
            <w:r>
              <w:rPr/>
              <w:t xml:space="preserve">0,693</w:t>
            </w:r>
          </w:p>
        </w:tc>
        <w:tc>
          <w:tcPr>
            <w:tcBorders>
              <w:bottom w:val="single" w:sz="8" w:space="0" w:color="000000"/>
              <w:right w:val="single" w:sz="8" w:space="0" w:color="000000"/>
            </w:tcBorders>
            <w:vAlign w:val="center"/>
          </w:tcPr>
          <w:p>
            <w:pPr>
              <w:spacing w:lineRule="auto"/>
              <w:jc w:val="left"/>
            </w:pPr>
            <w:r>
              <w:rPr/>
              <w:t xml:space="preserve">604,615</w:t>
            </w:r>
          </w:p>
        </w:tc>
        <w:tc>
          <w:tcPr>
            <w:tcBorders>
              <w:bottom w:val="single" w:sz="8" w:space="0" w:color="000000"/>
              <w:right w:val="single" w:sz="8" w:space="0" w:color="000000"/>
            </w:tcBorders>
            <w:vAlign w:val="center"/>
          </w:tcPr>
          <w:p>
            <w:pPr>
              <w:spacing w:lineRule="auto"/>
              <w:jc w:val="left"/>
            </w:pPr>
            <w:r>
              <w:rPr/>
              <w:t xml:space="preserve">1,4425</w:t>
            </w:r>
          </w:p>
        </w:tc>
        <w:tc>
          <w:tcPr>
            <w:tcBorders>
              <w:bottom w:val="single" w:sz="8" w:space="0" w:color="000000"/>
              <w:right w:val="single" w:sz="8" w:space="0" w:color="000000"/>
            </w:tcBorders>
            <w:vAlign w:val="center"/>
          </w:tcPr>
          <w:p>
            <w:pPr>
              <w:spacing w:lineRule="auto"/>
              <w:jc w:val="left"/>
            </w:pPr>
            <w:r>
              <w:rPr/>
              <w:t xml:space="preserve">1,654</w:t>
            </w:r>
          </w:p>
        </w:tc>
        <w:tc>
          <w:tcPr>
            <w:tcBorders>
              <w:bottom w:val="single" w:sz="8" w:space="0" w:color="000000"/>
              <w:right w:val="single" w:sz="8" w:space="0" w:color="000000"/>
            </w:tcBorders>
            <w:vAlign w:val="center"/>
          </w:tcPr>
          <w:p>
            <w:pPr>
              <w:spacing w:lineRule="auto"/>
              <w:jc w:val="left"/>
            </w:pPr>
            <w:r>
              <w:rPr/>
              <w:t xml:space="preserve">136,0</w:t>
            </w:r>
          </w:p>
        </w:tc>
        <w:tc>
          <w:tcPr>
            <w:tcBorders>
              <w:bottom w:val="single" w:sz="8" w:space="0" w:color="000000"/>
              <w:right w:val="single" w:sz="8" w:space="0" w:color="000000"/>
            </w:tcBorders>
            <w:vAlign w:val="center"/>
          </w:tcPr>
          <w:p>
            <w:pPr>
              <w:spacing w:lineRule="auto"/>
              <w:jc w:val="left"/>
            </w:pPr>
            <w:r>
              <w:rPr/>
              <w:t xml:space="preserve">367,3</w:t>
            </w:r>
          </w:p>
        </w:tc>
        <w:tc>
          <w:tcPr>
            <w:tcBorders>
              <w:bottom w:val="single" w:sz="8" w:space="0" w:color="000000"/>
              <w:right w:val="single" w:sz="8" w:space="0" w:color="000000"/>
            </w:tcBorders>
            <w:vAlign w:val="center"/>
          </w:tcPr>
          <w:p>
            <w:pPr>
              <w:spacing w:lineRule="auto"/>
              <w:jc w:val="left"/>
            </w:pPr>
            <w:r>
              <w:rPr/>
              <w:t xml:space="preserve">231,3</w:t>
            </w:r>
          </w:p>
        </w:tc>
        <w:tc>
          <w:tcPr>
            <w:tcBorders>
              <w:bottom w:val="single" w:sz="8" w:space="0" w:color="000000"/>
              <w:right w:val="single" w:sz="8" w:space="0" w:color="000000"/>
            </w:tcBorders>
            <w:vAlign w:val="center"/>
          </w:tcPr>
          <w:p>
            <w:pPr>
              <w:spacing w:lineRule="auto"/>
              <w:jc w:val="left"/>
            </w:pPr>
            <w:r>
              <w:rPr/>
              <w:t xml:space="preserve">0,742</w:t>
            </w:r>
          </w:p>
        </w:tc>
        <w:tc>
          <w:tcPr>
            <w:tcBorders>
              <w:bottom w:val="single" w:sz="8" w:space="0" w:color="000000"/>
              <w:right w:val="single" w:sz="8" w:space="0" w:color="000000"/>
            </w:tcBorders>
            <w:vAlign w:val="center"/>
          </w:tcPr>
          <w:p>
            <w:pPr>
              <w:spacing w:lineRule="auto"/>
              <w:jc w:val="left"/>
            </w:pPr>
            <w:r>
              <w:rPr/>
              <w:t xml:space="preserve">1,779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-45,0</w:t>
            </w:r>
          </w:p>
        </w:tc>
        <w:tc>
          <w:tcPr>
            <w:tcBorders>
              <w:bottom w:val="single" w:sz="8" w:space="0" w:color="000000"/>
              <w:right w:val="single" w:sz="8" w:space="0" w:color="000000"/>
            </w:tcBorders>
            <w:vAlign w:val="center"/>
          </w:tcPr>
          <w:p>
            <w:pPr>
              <w:spacing w:lineRule="auto"/>
              <w:jc w:val="left"/>
            </w:pPr>
            <w:r>
              <w:rPr/>
              <w:t xml:space="preserve">0,3914</w:t>
            </w:r>
          </w:p>
        </w:tc>
        <w:tc>
          <w:tcPr>
            <w:tcBorders>
              <w:bottom w:val="single" w:sz="8" w:space="0" w:color="000000"/>
              <w:right w:val="single" w:sz="8" w:space="0" w:color="000000"/>
            </w:tcBorders>
            <w:vAlign w:val="center"/>
          </w:tcPr>
          <w:p>
            <w:pPr>
              <w:spacing w:lineRule="auto"/>
              <w:jc w:val="left"/>
            </w:pPr>
            <w:r>
              <w:rPr/>
              <w:t xml:space="preserve">0,7</w:t>
            </w:r>
          </w:p>
        </w:tc>
        <w:tc>
          <w:tcPr>
            <w:tcBorders>
              <w:bottom w:val="single" w:sz="8" w:space="0" w:color="000000"/>
              <w:right w:val="single" w:sz="8" w:space="0" w:color="000000"/>
            </w:tcBorders>
            <w:vAlign w:val="center"/>
          </w:tcPr>
          <w:p>
            <w:pPr>
              <w:spacing w:lineRule="auto"/>
              <w:jc w:val="left"/>
            </w:pPr>
            <w:r>
              <w:rPr/>
              <w:t xml:space="preserve">463,457</w:t>
            </w:r>
          </w:p>
        </w:tc>
        <w:tc>
          <w:tcPr>
            <w:tcBorders>
              <w:bottom w:val="single" w:sz="8" w:space="0" w:color="000000"/>
              <w:right w:val="single" w:sz="8" w:space="0" w:color="000000"/>
            </w:tcBorders>
            <w:vAlign w:val="center"/>
          </w:tcPr>
          <w:p>
            <w:pPr>
              <w:spacing w:lineRule="auto"/>
              <w:jc w:val="left"/>
            </w:pPr>
            <w:r>
              <w:rPr/>
              <w:t xml:space="preserve">1,4284</w:t>
            </w:r>
          </w:p>
        </w:tc>
        <w:tc>
          <w:tcPr>
            <w:tcBorders>
              <w:bottom w:val="single" w:sz="8" w:space="0" w:color="000000"/>
              <w:right w:val="single" w:sz="8" w:space="0" w:color="000000"/>
            </w:tcBorders>
            <w:vAlign w:val="center"/>
          </w:tcPr>
          <w:p>
            <w:pPr>
              <w:spacing w:lineRule="auto"/>
              <w:jc w:val="left"/>
            </w:pPr>
            <w:r>
              <w:rPr/>
              <w:t xml:space="preserve">2,158</w:t>
            </w:r>
          </w:p>
        </w:tc>
        <w:tc>
          <w:tcPr>
            <w:tcBorders>
              <w:bottom w:val="single" w:sz="8" w:space="0" w:color="000000"/>
              <w:right w:val="single" w:sz="8" w:space="0" w:color="000000"/>
            </w:tcBorders>
            <w:vAlign w:val="center"/>
          </w:tcPr>
          <w:p>
            <w:pPr>
              <w:spacing w:lineRule="auto"/>
              <w:jc w:val="left"/>
            </w:pPr>
            <w:r>
              <w:rPr/>
              <w:t xml:space="preserve">142,3</w:t>
            </w:r>
          </w:p>
        </w:tc>
        <w:tc>
          <w:tcPr>
            <w:tcBorders>
              <w:bottom w:val="single" w:sz="8" w:space="0" w:color="000000"/>
              <w:right w:val="single" w:sz="8" w:space="0" w:color="000000"/>
            </w:tcBorders>
            <w:vAlign w:val="center"/>
          </w:tcPr>
          <w:p>
            <w:pPr>
              <w:spacing w:lineRule="auto"/>
              <w:jc w:val="left"/>
            </w:pPr>
            <w:r>
              <w:rPr/>
              <w:t xml:space="preserve">370,5</w:t>
            </w:r>
          </w:p>
        </w:tc>
        <w:tc>
          <w:tcPr>
            <w:tcBorders>
              <w:bottom w:val="single" w:sz="8" w:space="0" w:color="000000"/>
              <w:right w:val="single" w:sz="8" w:space="0" w:color="000000"/>
            </w:tcBorders>
            <w:vAlign w:val="center"/>
          </w:tcPr>
          <w:p>
            <w:pPr>
              <w:spacing w:lineRule="auto"/>
              <w:jc w:val="left"/>
            </w:pPr>
            <w:r>
              <w:rPr/>
              <w:t xml:space="preserve">228,2</w:t>
            </w:r>
          </w:p>
        </w:tc>
        <w:tc>
          <w:tcPr>
            <w:tcBorders>
              <w:bottom w:val="single" w:sz="8" w:space="0" w:color="000000"/>
              <w:right w:val="single" w:sz="8" w:space="0" w:color="000000"/>
            </w:tcBorders>
            <w:vAlign w:val="center"/>
          </w:tcPr>
          <w:p>
            <w:pPr>
              <w:spacing w:lineRule="auto"/>
              <w:jc w:val="left"/>
            </w:pPr>
            <w:r>
              <w:rPr/>
              <w:t xml:space="preserve">0,770</w:t>
            </w:r>
          </w:p>
        </w:tc>
        <w:tc>
          <w:tcPr>
            <w:tcBorders>
              <w:bottom w:val="single" w:sz="8" w:space="0" w:color="000000"/>
              <w:right w:val="single" w:sz="8" w:space="0" w:color="000000"/>
            </w:tcBorders>
            <w:vAlign w:val="center"/>
          </w:tcPr>
          <w:p>
            <w:pPr>
              <w:spacing w:lineRule="auto"/>
              <w:jc w:val="left"/>
            </w:pPr>
            <w:r>
              <w:rPr/>
              <w:t xml:space="preserve">1,770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-40,0</w:t>
            </w:r>
          </w:p>
        </w:tc>
        <w:tc>
          <w:tcPr>
            <w:tcBorders>
              <w:bottom w:val="single" w:sz="8" w:space="0" w:color="000000"/>
              <w:right w:val="single" w:sz="8" w:space="0" w:color="000000"/>
            </w:tcBorders>
            <w:vAlign w:val="center"/>
          </w:tcPr>
          <w:p>
            <w:pPr>
              <w:spacing w:lineRule="auto"/>
              <w:jc w:val="left"/>
            </w:pPr>
            <w:r>
              <w:rPr/>
              <w:t xml:space="preserve">0,5122</w:t>
            </w:r>
          </w:p>
        </w:tc>
        <w:tc>
          <w:tcPr>
            <w:tcBorders>
              <w:bottom w:val="single" w:sz="8" w:space="0" w:color="000000"/>
              <w:right w:val="single" w:sz="8" w:space="0" w:color="000000"/>
            </w:tcBorders>
            <w:vAlign w:val="center"/>
          </w:tcPr>
          <w:p>
            <w:pPr>
              <w:spacing w:lineRule="auto"/>
              <w:jc w:val="left"/>
            </w:pPr>
            <w:r>
              <w:rPr/>
              <w:t xml:space="preserve">0,707</w:t>
            </w:r>
          </w:p>
        </w:tc>
        <w:tc>
          <w:tcPr>
            <w:tcBorders>
              <w:bottom w:val="single" w:sz="8" w:space="0" w:color="000000"/>
              <w:right w:val="single" w:sz="8" w:space="0" w:color="000000"/>
            </w:tcBorders>
            <w:vAlign w:val="center"/>
          </w:tcPr>
          <w:p>
            <w:pPr>
              <w:spacing w:lineRule="auto"/>
              <w:jc w:val="left"/>
            </w:pPr>
            <w:r>
              <w:rPr/>
              <w:t xml:space="preserve">360,036</w:t>
            </w:r>
          </w:p>
        </w:tc>
        <w:tc>
          <w:tcPr>
            <w:tcBorders>
              <w:bottom w:val="single" w:sz="8" w:space="0" w:color="000000"/>
              <w:right w:val="single" w:sz="8" w:space="0" w:color="000000"/>
            </w:tcBorders>
            <w:vAlign w:val="center"/>
          </w:tcPr>
          <w:p>
            <w:pPr>
              <w:spacing w:lineRule="auto"/>
              <w:jc w:val="left"/>
            </w:pPr>
            <w:r>
              <w:rPr/>
              <w:t xml:space="preserve">1,4142</w:t>
            </w:r>
          </w:p>
        </w:tc>
        <w:tc>
          <w:tcPr>
            <w:tcBorders>
              <w:bottom w:val="single" w:sz="8" w:space="0" w:color="000000"/>
              <w:right w:val="single" w:sz="8" w:space="0" w:color="000000"/>
            </w:tcBorders>
            <w:vAlign w:val="center"/>
          </w:tcPr>
          <w:p>
            <w:pPr>
              <w:spacing w:lineRule="auto"/>
              <w:jc w:val="left"/>
            </w:pPr>
            <w:r>
              <w:rPr/>
              <w:t xml:space="preserve">2,777</w:t>
            </w:r>
          </w:p>
        </w:tc>
        <w:tc>
          <w:tcPr>
            <w:tcBorders>
              <w:bottom w:val="single" w:sz="8" w:space="0" w:color="000000"/>
              <w:right w:val="single" w:sz="8" w:space="0" w:color="000000"/>
            </w:tcBorders>
            <w:vAlign w:val="center"/>
          </w:tcPr>
          <w:p>
            <w:pPr>
              <w:spacing w:lineRule="auto"/>
              <w:jc w:val="left"/>
            </w:pPr>
            <w:r>
              <w:rPr/>
              <w:t xml:space="preserve">148,5</w:t>
            </w:r>
          </w:p>
        </w:tc>
        <w:tc>
          <w:tcPr>
            <w:tcBorders>
              <w:bottom w:val="single" w:sz="8" w:space="0" w:color="000000"/>
              <w:right w:val="single" w:sz="8" w:space="0" w:color="000000"/>
            </w:tcBorders>
            <w:vAlign w:val="center"/>
          </w:tcPr>
          <w:p>
            <w:pPr>
              <w:spacing w:lineRule="auto"/>
              <w:jc w:val="left"/>
            </w:pPr>
            <w:r>
              <w:rPr/>
              <w:t xml:space="preserve">373,6</w:t>
            </w:r>
          </w:p>
        </w:tc>
        <w:tc>
          <w:tcPr>
            <w:tcBorders>
              <w:bottom w:val="single" w:sz="8" w:space="0" w:color="000000"/>
              <w:right w:val="single" w:sz="8" w:space="0" w:color="000000"/>
            </w:tcBorders>
            <w:vAlign w:val="center"/>
          </w:tcPr>
          <w:p>
            <w:pPr>
              <w:spacing w:lineRule="auto"/>
              <w:jc w:val="left"/>
            </w:pPr>
            <w:r>
              <w:rPr/>
              <w:t xml:space="preserve">225,0</w:t>
            </w:r>
          </w:p>
        </w:tc>
        <w:tc>
          <w:tcPr>
            <w:tcBorders>
              <w:bottom w:val="single" w:sz="8" w:space="0" w:color="000000"/>
              <w:right w:val="single" w:sz="8" w:space="0" w:color="000000"/>
            </w:tcBorders>
            <w:vAlign w:val="center"/>
          </w:tcPr>
          <w:p>
            <w:pPr>
              <w:spacing w:lineRule="auto"/>
              <w:jc w:val="left"/>
            </w:pPr>
            <w:r>
              <w:rPr/>
              <w:t xml:space="preserve">0,797</w:t>
            </w:r>
          </w:p>
        </w:tc>
        <w:tc>
          <w:tcPr>
            <w:tcBorders>
              <w:bottom w:val="single" w:sz="8" w:space="0" w:color="000000"/>
              <w:right w:val="single" w:sz="8" w:space="0" w:color="000000"/>
            </w:tcBorders>
            <w:vAlign w:val="center"/>
          </w:tcPr>
          <w:p>
            <w:pPr>
              <w:spacing w:lineRule="auto"/>
              <w:jc w:val="left"/>
            </w:pPr>
            <w:r>
              <w:rPr/>
              <w:t xml:space="preserve">1,762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-35,0</w:t>
            </w:r>
          </w:p>
        </w:tc>
        <w:tc>
          <w:tcPr>
            <w:tcBorders>
              <w:bottom w:val="single" w:sz="8" w:space="0" w:color="000000"/>
              <w:right w:val="single" w:sz="8" w:space="0" w:color="000000"/>
            </w:tcBorders>
            <w:vAlign w:val="center"/>
          </w:tcPr>
          <w:p>
            <w:pPr>
              <w:spacing w:lineRule="auto"/>
              <w:jc w:val="left"/>
            </w:pPr>
            <w:r>
              <w:rPr/>
              <w:t xml:space="preserve">0,6615</w:t>
            </w:r>
          </w:p>
        </w:tc>
        <w:tc>
          <w:tcPr>
            <w:tcBorders>
              <w:bottom w:val="single" w:sz="8" w:space="0" w:color="000000"/>
              <w:right w:val="single" w:sz="8" w:space="0" w:color="000000"/>
            </w:tcBorders>
            <w:vAlign w:val="center"/>
          </w:tcPr>
          <w:p>
            <w:pPr>
              <w:spacing w:lineRule="auto"/>
              <w:jc w:val="left"/>
            </w:pPr>
            <w:r>
              <w:rPr/>
              <w:t xml:space="preserve">0,714</w:t>
            </w:r>
          </w:p>
        </w:tc>
        <w:tc>
          <w:tcPr>
            <w:tcBorders>
              <w:bottom w:val="single" w:sz="8" w:space="0" w:color="000000"/>
              <w:right w:val="single" w:sz="8" w:space="0" w:color="000000"/>
            </w:tcBorders>
            <w:vAlign w:val="center"/>
          </w:tcPr>
          <w:p>
            <w:pPr>
              <w:spacing w:lineRule="auto"/>
              <w:jc w:val="left"/>
            </w:pPr>
            <w:r>
              <w:rPr/>
              <w:t xml:space="preserve">283,15</w:t>
            </w:r>
          </w:p>
        </w:tc>
        <w:tc>
          <w:tcPr>
            <w:tcBorders>
              <w:bottom w:val="single" w:sz="8" w:space="0" w:color="000000"/>
              <w:right w:val="single" w:sz="8" w:space="0" w:color="000000"/>
            </w:tcBorders>
            <w:vAlign w:val="center"/>
          </w:tcPr>
          <w:p>
            <w:pPr>
              <w:spacing w:lineRule="auto"/>
              <w:jc w:val="left"/>
            </w:pPr>
            <w:r>
              <w:rPr/>
              <w:t xml:space="preserve">1,3998</w:t>
            </w:r>
          </w:p>
        </w:tc>
        <w:tc>
          <w:tcPr>
            <w:tcBorders>
              <w:bottom w:val="single" w:sz="8" w:space="0" w:color="000000"/>
              <w:right w:val="single" w:sz="8" w:space="0" w:color="000000"/>
            </w:tcBorders>
            <w:vAlign w:val="center"/>
          </w:tcPr>
          <w:p>
            <w:pPr>
              <w:spacing w:lineRule="auto"/>
              <w:jc w:val="left"/>
            </w:pPr>
            <w:r>
              <w:rPr/>
              <w:t xml:space="preserve">3,532</w:t>
            </w:r>
          </w:p>
        </w:tc>
        <w:tc>
          <w:tcPr>
            <w:tcBorders>
              <w:bottom w:val="single" w:sz="8" w:space="0" w:color="000000"/>
              <w:right w:val="single" w:sz="8" w:space="0" w:color="000000"/>
            </w:tcBorders>
            <w:vAlign w:val="center"/>
          </w:tcPr>
          <w:p>
            <w:pPr>
              <w:spacing w:lineRule="auto"/>
              <w:jc w:val="left"/>
            </w:pPr>
            <w:r>
              <w:rPr/>
              <w:t xml:space="preserve">154,9</w:t>
            </w:r>
          </w:p>
        </w:tc>
        <w:tc>
          <w:tcPr>
            <w:tcBorders>
              <w:bottom w:val="single" w:sz="8" w:space="0" w:color="000000"/>
              <w:right w:val="single" w:sz="8" w:space="0" w:color="000000"/>
            </w:tcBorders>
            <w:vAlign w:val="center"/>
          </w:tcPr>
          <w:p>
            <w:pPr>
              <w:spacing w:lineRule="auto"/>
              <w:jc w:val="left"/>
            </w:pPr>
            <w:r>
              <w:rPr/>
              <w:t xml:space="preserve">376,7</w:t>
            </w:r>
          </w:p>
        </w:tc>
        <w:tc>
          <w:tcPr>
            <w:tcBorders>
              <w:bottom w:val="single" w:sz="8" w:space="0" w:color="000000"/>
              <w:right w:val="single" w:sz="8" w:space="0" w:color="000000"/>
            </w:tcBorders>
            <w:vAlign w:val="center"/>
          </w:tcPr>
          <w:p>
            <w:pPr>
              <w:spacing w:lineRule="auto"/>
              <w:jc w:val="left"/>
            </w:pPr>
            <w:r>
              <w:rPr/>
              <w:t xml:space="preserve">221,8</w:t>
            </w:r>
          </w:p>
        </w:tc>
        <w:tc>
          <w:tcPr>
            <w:tcBorders>
              <w:bottom w:val="single" w:sz="8" w:space="0" w:color="000000"/>
              <w:right w:val="single" w:sz="8" w:space="0" w:color="000000"/>
            </w:tcBorders>
            <w:vAlign w:val="center"/>
          </w:tcPr>
          <w:p>
            <w:pPr>
              <w:spacing w:lineRule="auto"/>
              <w:jc w:val="left"/>
            </w:pPr>
            <w:r>
              <w:rPr/>
              <w:t xml:space="preserve">0,824</w:t>
            </w:r>
          </w:p>
        </w:tc>
        <w:tc>
          <w:tcPr>
            <w:tcBorders>
              <w:bottom w:val="single" w:sz="8" w:space="0" w:color="000000"/>
              <w:right w:val="single" w:sz="8" w:space="0" w:color="000000"/>
            </w:tcBorders>
            <w:vAlign w:val="center"/>
          </w:tcPr>
          <w:p>
            <w:pPr>
              <w:spacing w:lineRule="auto"/>
              <w:jc w:val="left"/>
            </w:pPr>
            <w:r>
              <w:rPr/>
              <w:t xml:space="preserve">1,755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-30,0</w:t>
            </w:r>
          </w:p>
        </w:tc>
        <w:tc>
          <w:tcPr>
            <w:tcBorders>
              <w:bottom w:val="single" w:sz="8" w:space="0" w:color="000000"/>
              <w:right w:val="single" w:sz="8" w:space="0" w:color="000000"/>
            </w:tcBorders>
            <w:vAlign w:val="center"/>
          </w:tcPr>
          <w:p>
            <w:pPr>
              <w:spacing w:lineRule="auto"/>
              <w:jc w:val="left"/>
            </w:pPr>
            <w:r>
              <w:rPr/>
              <w:t xml:space="preserve">0,8436</w:t>
            </w:r>
          </w:p>
        </w:tc>
        <w:tc>
          <w:tcPr>
            <w:tcBorders>
              <w:bottom w:val="single" w:sz="8" w:space="0" w:color="000000"/>
              <w:right w:val="single" w:sz="8" w:space="0" w:color="000000"/>
            </w:tcBorders>
            <w:vAlign w:val="center"/>
          </w:tcPr>
          <w:p>
            <w:pPr>
              <w:spacing w:lineRule="auto"/>
              <w:jc w:val="left"/>
            </w:pPr>
            <w:r>
              <w:rPr/>
              <w:t xml:space="preserve">0,722</w:t>
            </w:r>
          </w:p>
        </w:tc>
        <w:tc>
          <w:tcPr>
            <w:tcBorders>
              <w:bottom w:val="single" w:sz="8" w:space="0" w:color="000000"/>
              <w:right w:val="single" w:sz="8" w:space="0" w:color="000000"/>
            </w:tcBorders>
            <w:vAlign w:val="center"/>
          </w:tcPr>
          <w:p>
            <w:pPr>
              <w:spacing w:lineRule="auto"/>
              <w:jc w:val="left"/>
            </w:pPr>
            <w:r>
              <w:rPr/>
              <w:t xml:space="preserve">225,21</w:t>
            </w:r>
          </w:p>
        </w:tc>
        <w:tc>
          <w:tcPr>
            <w:tcBorders>
              <w:bottom w:val="single" w:sz="8" w:space="0" w:color="000000"/>
              <w:right w:val="single" w:sz="8" w:space="0" w:color="000000"/>
            </w:tcBorders>
            <w:vAlign w:val="center"/>
          </w:tcPr>
          <w:p>
            <w:pPr>
              <w:spacing w:lineRule="auto"/>
              <w:jc w:val="left"/>
            </w:pPr>
            <w:r>
              <w:rPr/>
              <w:t xml:space="preserve">1,3853</w:t>
            </w:r>
          </w:p>
        </w:tc>
        <w:tc>
          <w:tcPr>
            <w:tcBorders>
              <w:bottom w:val="single" w:sz="8" w:space="0" w:color="000000"/>
              <w:right w:val="single" w:sz="8" w:space="0" w:color="000000"/>
            </w:tcBorders>
            <w:vAlign w:val="center"/>
          </w:tcPr>
          <w:p>
            <w:pPr>
              <w:spacing w:lineRule="auto"/>
              <w:jc w:val="left"/>
            </w:pPr>
            <w:r>
              <w:rPr/>
              <w:t xml:space="preserve">4,44</w:t>
            </w:r>
          </w:p>
        </w:tc>
        <w:tc>
          <w:tcPr>
            <w:tcBorders>
              <w:bottom w:val="single" w:sz="8" w:space="0" w:color="000000"/>
              <w:right w:val="single" w:sz="8" w:space="0" w:color="000000"/>
            </w:tcBorders>
            <w:vAlign w:val="center"/>
          </w:tcPr>
          <w:p>
            <w:pPr>
              <w:spacing w:lineRule="auto"/>
              <w:jc w:val="left"/>
            </w:pPr>
            <w:r>
              <w:rPr/>
              <w:t xml:space="preserve">161,2</w:t>
            </w:r>
          </w:p>
        </w:tc>
        <w:tc>
          <w:tcPr>
            <w:tcBorders>
              <w:bottom w:val="single" w:sz="8" w:space="0" w:color="000000"/>
              <w:right w:val="single" w:sz="8" w:space="0" w:color="000000"/>
            </w:tcBorders>
            <w:vAlign w:val="center"/>
          </w:tcPr>
          <w:p>
            <w:pPr>
              <w:spacing w:lineRule="auto"/>
              <w:jc w:val="left"/>
            </w:pPr>
            <w:r>
              <w:rPr/>
              <w:t xml:space="preserve">379,7</w:t>
            </w:r>
          </w:p>
        </w:tc>
        <w:tc>
          <w:tcPr>
            <w:tcBorders>
              <w:bottom w:val="single" w:sz="8" w:space="0" w:color="000000"/>
              <w:right w:val="single" w:sz="8" w:space="0" w:color="000000"/>
            </w:tcBorders>
            <w:vAlign w:val="center"/>
          </w:tcPr>
          <w:p>
            <w:pPr>
              <w:spacing w:lineRule="auto"/>
              <w:jc w:val="left"/>
            </w:pPr>
            <w:r>
              <w:rPr/>
              <w:t xml:space="preserve">218,5</w:t>
            </w:r>
          </w:p>
        </w:tc>
        <w:tc>
          <w:tcPr>
            <w:tcBorders>
              <w:bottom w:val="single" w:sz="8" w:space="0" w:color="000000"/>
              <w:right w:val="single" w:sz="8" w:space="0" w:color="000000"/>
            </w:tcBorders>
            <w:vAlign w:val="center"/>
          </w:tcPr>
          <w:p>
            <w:pPr>
              <w:spacing w:lineRule="auto"/>
              <w:jc w:val="left"/>
            </w:pPr>
            <w:r>
              <w:rPr/>
              <w:t xml:space="preserve">0,850</w:t>
            </w:r>
          </w:p>
        </w:tc>
        <w:tc>
          <w:tcPr>
            <w:tcBorders>
              <w:bottom w:val="single" w:sz="8" w:space="0" w:color="000000"/>
              <w:right w:val="single" w:sz="8" w:space="0" w:color="000000"/>
            </w:tcBorders>
            <w:vAlign w:val="center"/>
          </w:tcPr>
          <w:p>
            <w:pPr>
              <w:spacing w:lineRule="auto"/>
              <w:jc w:val="left"/>
            </w:pPr>
            <w:r>
              <w:rPr/>
              <w:t xml:space="preserve">1,749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-25,0</w:t>
            </w:r>
          </w:p>
        </w:tc>
        <w:tc>
          <w:tcPr>
            <w:tcBorders>
              <w:bottom w:val="single" w:sz="8" w:space="0" w:color="000000"/>
              <w:right w:val="single" w:sz="8" w:space="0" w:color="000000"/>
            </w:tcBorders>
            <w:vAlign w:val="center"/>
          </w:tcPr>
          <w:p>
            <w:pPr>
              <w:spacing w:lineRule="auto"/>
              <w:jc w:val="left"/>
            </w:pPr>
            <w:r>
              <w:rPr/>
              <w:t xml:space="preserve">1,0635</w:t>
            </w:r>
          </w:p>
        </w:tc>
        <w:tc>
          <w:tcPr>
            <w:tcBorders>
              <w:bottom w:val="single" w:sz="8" w:space="0" w:color="000000"/>
              <w:right w:val="single" w:sz="8" w:space="0" w:color="000000"/>
            </w:tcBorders>
            <w:vAlign w:val="center"/>
          </w:tcPr>
          <w:p>
            <w:pPr>
              <w:spacing w:lineRule="auto"/>
              <w:jc w:val="left"/>
            </w:pPr>
            <w:r>
              <w:rPr/>
              <w:t xml:space="preserve">0,73</w:t>
            </w:r>
          </w:p>
        </w:tc>
        <w:tc>
          <w:tcPr>
            <w:tcBorders>
              <w:bottom w:val="single" w:sz="8" w:space="0" w:color="000000"/>
              <w:right w:val="single" w:sz="8" w:space="0" w:color="000000"/>
            </w:tcBorders>
            <w:vAlign w:val="center"/>
          </w:tcPr>
          <w:p>
            <w:pPr>
              <w:spacing w:lineRule="auto"/>
              <w:jc w:val="left"/>
            </w:pPr>
            <w:r>
              <w:rPr/>
              <w:t xml:space="preserve">180,995</w:t>
            </w:r>
          </w:p>
        </w:tc>
        <w:tc>
          <w:tcPr>
            <w:tcBorders>
              <w:bottom w:val="single" w:sz="8" w:space="0" w:color="000000"/>
              <w:right w:val="single" w:sz="8" w:space="0" w:color="000000"/>
            </w:tcBorders>
            <w:vAlign w:val="center"/>
          </w:tcPr>
          <w:p>
            <w:pPr>
              <w:spacing w:lineRule="auto"/>
              <w:jc w:val="left"/>
            </w:pPr>
            <w:r>
              <w:rPr/>
              <w:t xml:space="preserve">1,3706</w:t>
            </w:r>
          </w:p>
        </w:tc>
        <w:tc>
          <w:tcPr>
            <w:tcBorders>
              <w:bottom w:val="single" w:sz="8" w:space="0" w:color="000000"/>
              <w:right w:val="single" w:sz="8" w:space="0" w:color="000000"/>
            </w:tcBorders>
            <w:vAlign w:val="center"/>
          </w:tcPr>
          <w:p>
            <w:pPr>
              <w:spacing w:lineRule="auto"/>
              <w:jc w:val="left"/>
            </w:pPr>
            <w:r>
              <w:rPr/>
              <w:t xml:space="preserve">5,525</w:t>
            </w:r>
          </w:p>
        </w:tc>
        <w:tc>
          <w:tcPr>
            <w:tcBorders>
              <w:bottom w:val="single" w:sz="8" w:space="0" w:color="000000"/>
              <w:right w:val="single" w:sz="8" w:space="0" w:color="000000"/>
            </w:tcBorders>
            <w:vAlign w:val="center"/>
          </w:tcPr>
          <w:p>
            <w:pPr>
              <w:spacing w:lineRule="auto"/>
              <w:jc w:val="left"/>
            </w:pPr>
            <w:r>
              <w:rPr/>
              <w:t xml:space="preserve">167,6</w:t>
            </w:r>
          </w:p>
        </w:tc>
        <w:tc>
          <w:tcPr>
            <w:tcBorders>
              <w:bottom w:val="single" w:sz="8" w:space="0" w:color="000000"/>
              <w:right w:val="single" w:sz="8" w:space="0" w:color="000000"/>
            </w:tcBorders>
            <w:vAlign w:val="center"/>
          </w:tcPr>
          <w:p>
            <w:pPr>
              <w:spacing w:lineRule="auto"/>
              <w:jc w:val="left"/>
            </w:pPr>
            <w:r>
              <w:rPr/>
              <w:t xml:space="preserve">382,8</w:t>
            </w:r>
          </w:p>
        </w:tc>
        <w:tc>
          <w:tcPr>
            <w:tcBorders>
              <w:bottom w:val="single" w:sz="8" w:space="0" w:color="000000"/>
              <w:right w:val="single" w:sz="8" w:space="0" w:color="000000"/>
            </w:tcBorders>
            <w:vAlign w:val="center"/>
          </w:tcPr>
          <w:p>
            <w:pPr>
              <w:spacing w:lineRule="auto"/>
              <w:jc w:val="left"/>
            </w:pPr>
            <w:r>
              <w:rPr/>
              <w:t xml:space="preserve">215,2</w:t>
            </w:r>
          </w:p>
        </w:tc>
        <w:tc>
          <w:tcPr>
            <w:tcBorders>
              <w:bottom w:val="single" w:sz="8" w:space="0" w:color="000000"/>
              <w:right w:val="single" w:sz="8" w:space="0" w:color="000000"/>
            </w:tcBorders>
            <w:vAlign w:val="center"/>
          </w:tcPr>
          <w:p>
            <w:pPr>
              <w:spacing w:lineRule="auto"/>
              <w:jc w:val="left"/>
            </w:pPr>
            <w:r>
              <w:rPr/>
              <w:t xml:space="preserve">0,876</w:t>
            </w:r>
          </w:p>
        </w:tc>
        <w:tc>
          <w:tcPr>
            <w:tcBorders>
              <w:bottom w:val="single" w:sz="8" w:space="0" w:color="000000"/>
              <w:right w:val="single" w:sz="8" w:space="0" w:color="000000"/>
            </w:tcBorders>
            <w:vAlign w:val="center"/>
          </w:tcPr>
          <w:p>
            <w:pPr>
              <w:spacing w:lineRule="auto"/>
              <w:jc w:val="left"/>
            </w:pPr>
            <w:r>
              <w:rPr/>
              <w:t xml:space="preserve">1,743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-20,0</w:t>
            </w:r>
          </w:p>
        </w:tc>
        <w:tc>
          <w:tcPr>
            <w:tcBorders>
              <w:bottom w:val="single" w:sz="8" w:space="0" w:color="000000"/>
              <w:right w:val="single" w:sz="8" w:space="0" w:color="000000"/>
            </w:tcBorders>
            <w:vAlign w:val="center"/>
          </w:tcPr>
          <w:p>
            <w:pPr>
              <w:spacing w:lineRule="auto"/>
              <w:jc w:val="left"/>
            </w:pPr>
            <w:r>
              <w:rPr/>
              <w:t xml:space="preserve">1,3265</w:t>
            </w:r>
          </w:p>
        </w:tc>
        <w:tc>
          <w:tcPr>
            <w:tcBorders>
              <w:bottom w:val="single" w:sz="8" w:space="0" w:color="000000"/>
              <w:right w:val="single" w:sz="8" w:space="0" w:color="000000"/>
            </w:tcBorders>
            <w:vAlign w:val="center"/>
          </w:tcPr>
          <w:p>
            <w:pPr>
              <w:spacing w:lineRule="auto"/>
              <w:jc w:val="left"/>
            </w:pPr>
            <w:r>
              <w:rPr/>
              <w:t xml:space="preserve">0,738</w:t>
            </w:r>
          </w:p>
        </w:tc>
        <w:tc>
          <w:tcPr>
            <w:tcBorders>
              <w:bottom w:val="single" w:sz="8" w:space="0" w:color="000000"/>
              <w:right w:val="single" w:sz="8" w:space="0" w:color="000000"/>
            </w:tcBorders>
            <w:vAlign w:val="center"/>
          </w:tcPr>
          <w:p>
            <w:pPr>
              <w:spacing w:lineRule="auto"/>
              <w:jc w:val="left"/>
            </w:pPr>
            <w:r>
              <w:rPr/>
              <w:t xml:space="preserve">146,855</w:t>
            </w:r>
          </w:p>
        </w:tc>
        <w:tc>
          <w:tcPr>
            <w:tcBorders>
              <w:bottom w:val="single" w:sz="8" w:space="0" w:color="000000"/>
              <w:right w:val="single" w:sz="8" w:space="0" w:color="000000"/>
            </w:tcBorders>
            <w:vAlign w:val="center"/>
          </w:tcPr>
          <w:p>
            <w:pPr>
              <w:spacing w:lineRule="auto"/>
              <w:jc w:val="left"/>
            </w:pPr>
            <w:r>
              <w:rPr/>
              <w:t xml:space="preserve">1,3557</w:t>
            </w:r>
          </w:p>
        </w:tc>
        <w:tc>
          <w:tcPr>
            <w:tcBorders>
              <w:bottom w:val="single" w:sz="8" w:space="0" w:color="000000"/>
              <w:right w:val="single" w:sz="8" w:space="0" w:color="000000"/>
            </w:tcBorders>
            <w:vAlign w:val="center"/>
          </w:tcPr>
          <w:p>
            <w:pPr>
              <w:spacing w:lineRule="auto"/>
              <w:jc w:val="left"/>
            </w:pPr>
            <w:r>
              <w:rPr/>
              <w:t xml:space="preserve">6,809</w:t>
            </w:r>
          </w:p>
        </w:tc>
        <w:tc>
          <w:tcPr>
            <w:tcBorders>
              <w:bottom w:val="single" w:sz="8" w:space="0" w:color="000000"/>
              <w:right w:val="single" w:sz="8" w:space="0" w:color="000000"/>
            </w:tcBorders>
            <w:vAlign w:val="center"/>
          </w:tcPr>
          <w:p>
            <w:pPr>
              <w:spacing w:lineRule="auto"/>
              <w:jc w:val="left"/>
            </w:pPr>
            <w:r>
              <w:rPr/>
              <w:t xml:space="preserve">174,0</w:t>
            </w:r>
          </w:p>
        </w:tc>
        <w:tc>
          <w:tcPr>
            <w:tcBorders>
              <w:bottom w:val="single" w:sz="8" w:space="0" w:color="000000"/>
              <w:right w:val="single" w:sz="8" w:space="0" w:color="000000"/>
            </w:tcBorders>
            <w:vAlign w:val="center"/>
          </w:tcPr>
          <w:p>
            <w:pPr>
              <w:spacing w:lineRule="auto"/>
              <w:jc w:val="left"/>
            </w:pPr>
            <w:r>
              <w:rPr/>
              <w:t xml:space="preserve">385,8</w:t>
            </w:r>
          </w:p>
        </w:tc>
        <w:tc>
          <w:tcPr>
            <w:tcBorders>
              <w:bottom w:val="single" w:sz="8" w:space="0" w:color="000000"/>
              <w:right w:val="single" w:sz="8" w:space="0" w:color="000000"/>
            </w:tcBorders>
            <w:vAlign w:val="center"/>
          </w:tcPr>
          <w:p>
            <w:pPr>
              <w:spacing w:lineRule="auto"/>
              <w:jc w:val="left"/>
            </w:pPr>
            <w:r>
              <w:rPr/>
              <w:t xml:space="preserve">211,8</w:t>
            </w:r>
          </w:p>
        </w:tc>
        <w:tc>
          <w:tcPr>
            <w:tcBorders>
              <w:bottom w:val="single" w:sz="8" w:space="0" w:color="000000"/>
              <w:right w:val="single" w:sz="8" w:space="0" w:color="000000"/>
            </w:tcBorders>
            <w:vAlign w:val="center"/>
          </w:tcPr>
          <w:p>
            <w:pPr>
              <w:spacing w:lineRule="auto"/>
              <w:jc w:val="left"/>
            </w:pPr>
            <w:r>
              <w:rPr/>
              <w:t xml:space="preserve">0,901</w:t>
            </w:r>
          </w:p>
        </w:tc>
        <w:tc>
          <w:tcPr>
            <w:tcBorders>
              <w:bottom w:val="single" w:sz="8" w:space="0" w:color="000000"/>
              <w:right w:val="single" w:sz="8" w:space="0" w:color="000000"/>
            </w:tcBorders>
            <w:vAlign w:val="center"/>
          </w:tcPr>
          <w:p>
            <w:pPr>
              <w:spacing w:lineRule="auto"/>
              <w:jc w:val="left"/>
            </w:pPr>
            <w:r>
              <w:rPr/>
              <w:t xml:space="preserve">1,738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-15,0</w:t>
            </w:r>
          </w:p>
        </w:tc>
        <w:tc>
          <w:tcPr>
            <w:tcBorders>
              <w:bottom w:val="single" w:sz="8" w:space="0" w:color="000000"/>
              <w:right w:val="single" w:sz="8" w:space="0" w:color="000000"/>
            </w:tcBorders>
            <w:vAlign w:val="center"/>
          </w:tcPr>
          <w:p>
            <w:pPr>
              <w:spacing w:lineRule="auto"/>
              <w:jc w:val="left"/>
            </w:pPr>
            <w:r>
              <w:rPr/>
              <w:t xml:space="preserve">1,6381</w:t>
            </w:r>
          </w:p>
        </w:tc>
        <w:tc>
          <w:tcPr>
            <w:tcBorders>
              <w:bottom w:val="single" w:sz="8" w:space="0" w:color="000000"/>
              <w:right w:val="single" w:sz="8" w:space="0" w:color="000000"/>
            </w:tcBorders>
            <w:vAlign w:val="center"/>
          </w:tcPr>
          <w:p>
            <w:pPr>
              <w:spacing w:lineRule="auto"/>
              <w:jc w:val="left"/>
            </w:pPr>
            <w:r>
              <w:rPr/>
              <w:t xml:space="preserve">0,746</w:t>
            </w:r>
          </w:p>
        </w:tc>
        <w:tc>
          <w:tcPr>
            <w:tcBorders>
              <w:bottom w:val="single" w:sz="8" w:space="0" w:color="000000"/>
              <w:right w:val="single" w:sz="8" w:space="0" w:color="000000"/>
            </w:tcBorders>
            <w:vAlign w:val="center"/>
          </w:tcPr>
          <w:p>
            <w:pPr>
              <w:spacing w:lineRule="auto"/>
              <w:jc w:val="left"/>
            </w:pPr>
            <w:r>
              <w:rPr/>
              <w:t xml:space="preserve">120,204</w:t>
            </w:r>
          </w:p>
        </w:tc>
        <w:tc>
          <w:tcPr>
            <w:tcBorders>
              <w:bottom w:val="single" w:sz="8" w:space="0" w:color="000000"/>
              <w:right w:val="single" w:sz="8" w:space="0" w:color="000000"/>
            </w:tcBorders>
            <w:vAlign w:val="center"/>
          </w:tcPr>
          <w:p>
            <w:pPr>
              <w:spacing w:lineRule="auto"/>
              <w:jc w:val="left"/>
            </w:pPr>
            <w:r>
              <w:rPr/>
              <w:t xml:space="preserve">1,3406</w:t>
            </w:r>
          </w:p>
        </w:tc>
        <w:tc>
          <w:tcPr>
            <w:tcBorders>
              <w:bottom w:val="single" w:sz="8" w:space="0" w:color="000000"/>
              <w:right w:val="single" w:sz="8" w:space="0" w:color="000000"/>
            </w:tcBorders>
            <w:vAlign w:val="center"/>
          </w:tcPr>
          <w:p>
            <w:pPr>
              <w:spacing w:lineRule="auto"/>
              <w:jc w:val="left"/>
            </w:pPr>
            <w:r>
              <w:rPr/>
              <w:t xml:space="preserve">8,319</w:t>
            </w:r>
          </w:p>
        </w:tc>
        <w:tc>
          <w:tcPr>
            <w:tcBorders>
              <w:bottom w:val="single" w:sz="8" w:space="0" w:color="000000"/>
              <w:right w:val="single" w:sz="8" w:space="0" w:color="000000"/>
            </w:tcBorders>
            <w:vAlign w:val="center"/>
          </w:tcPr>
          <w:p>
            <w:pPr>
              <w:spacing w:lineRule="auto"/>
              <w:jc w:val="left"/>
            </w:pPr>
            <w:r>
              <w:rPr/>
              <w:t xml:space="preserve">180,4</w:t>
            </w:r>
          </w:p>
        </w:tc>
        <w:tc>
          <w:tcPr>
            <w:tcBorders>
              <w:bottom w:val="single" w:sz="8" w:space="0" w:color="000000"/>
              <w:right w:val="single" w:sz="8" w:space="0" w:color="000000"/>
            </w:tcBorders>
            <w:vAlign w:val="center"/>
          </w:tcPr>
          <w:p>
            <w:pPr>
              <w:spacing w:lineRule="auto"/>
              <w:jc w:val="left"/>
            </w:pPr>
            <w:r>
              <w:rPr/>
              <w:t xml:space="preserve">388,8</w:t>
            </w:r>
          </w:p>
        </w:tc>
        <w:tc>
          <w:tcPr>
            <w:tcBorders>
              <w:bottom w:val="single" w:sz="8" w:space="0" w:color="000000"/>
              <w:right w:val="single" w:sz="8" w:space="0" w:color="000000"/>
            </w:tcBorders>
            <w:vAlign w:val="center"/>
          </w:tcPr>
          <w:p>
            <w:pPr>
              <w:spacing w:lineRule="auto"/>
              <w:jc w:val="left"/>
            </w:pPr>
            <w:r>
              <w:rPr/>
              <w:t xml:space="preserve">208,4</w:t>
            </w:r>
          </w:p>
        </w:tc>
        <w:tc>
          <w:tcPr>
            <w:tcBorders>
              <w:bottom w:val="single" w:sz="8" w:space="0" w:color="000000"/>
              <w:right w:val="single" w:sz="8" w:space="0" w:color="000000"/>
            </w:tcBorders>
            <w:vAlign w:val="center"/>
          </w:tcPr>
          <w:p>
            <w:pPr>
              <w:spacing w:lineRule="auto"/>
              <w:jc w:val="left"/>
            </w:pPr>
            <w:r>
              <w:rPr/>
              <w:t xml:space="preserve">0,927</w:t>
            </w:r>
          </w:p>
        </w:tc>
        <w:tc>
          <w:tcPr>
            <w:tcBorders>
              <w:bottom w:val="single" w:sz="8" w:space="0" w:color="000000"/>
              <w:right w:val="single" w:sz="8" w:space="0" w:color="000000"/>
            </w:tcBorders>
            <w:vAlign w:val="center"/>
          </w:tcPr>
          <w:p>
            <w:pPr>
              <w:spacing w:lineRule="auto"/>
              <w:jc w:val="left"/>
            </w:pPr>
            <w:r>
              <w:rPr/>
              <w:t xml:space="preserve">1,734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-10,0</w:t>
            </w:r>
          </w:p>
        </w:tc>
        <w:tc>
          <w:tcPr>
            <w:tcBorders>
              <w:bottom w:val="single" w:sz="8" w:space="0" w:color="000000"/>
              <w:right w:val="single" w:sz="8" w:space="0" w:color="000000"/>
            </w:tcBorders>
            <w:vAlign w:val="center"/>
          </w:tcPr>
          <w:p>
            <w:pPr>
              <w:spacing w:lineRule="auto"/>
              <w:jc w:val="left"/>
            </w:pPr>
            <w:r>
              <w:rPr/>
              <w:t xml:space="preserve">2,0041</w:t>
            </w:r>
          </w:p>
        </w:tc>
        <w:tc>
          <w:tcPr>
            <w:tcBorders>
              <w:bottom w:val="single" w:sz="8" w:space="0" w:color="000000"/>
              <w:right w:val="single" w:sz="8" w:space="0" w:color="000000"/>
            </w:tcBorders>
            <w:vAlign w:val="center"/>
          </w:tcPr>
          <w:p>
            <w:pPr>
              <w:spacing w:lineRule="auto"/>
              <w:jc w:val="left"/>
            </w:pPr>
            <w:r>
              <w:rPr/>
              <w:t xml:space="preserve">0,755</w:t>
            </w:r>
          </w:p>
        </w:tc>
        <w:tc>
          <w:tcPr>
            <w:tcBorders>
              <w:bottom w:val="single" w:sz="8" w:space="0" w:color="000000"/>
              <w:right w:val="single" w:sz="8" w:space="0" w:color="000000"/>
            </w:tcBorders>
            <w:vAlign w:val="center"/>
          </w:tcPr>
          <w:p>
            <w:pPr>
              <w:spacing w:lineRule="auto"/>
              <w:jc w:val="left"/>
            </w:pPr>
            <w:r>
              <w:rPr/>
              <w:t xml:space="preserve">99,186</w:t>
            </w:r>
          </w:p>
        </w:tc>
        <w:tc>
          <w:tcPr>
            <w:tcBorders>
              <w:bottom w:val="single" w:sz="8" w:space="0" w:color="000000"/>
              <w:right w:val="single" w:sz="8" w:space="0" w:color="000000"/>
            </w:tcBorders>
            <w:vAlign w:val="center"/>
          </w:tcPr>
          <w:p>
            <w:pPr>
              <w:spacing w:lineRule="auto"/>
              <w:jc w:val="left"/>
            </w:pPr>
            <w:r>
              <w:rPr/>
              <w:t xml:space="preserve">1,3252</w:t>
            </w:r>
          </w:p>
        </w:tc>
        <w:tc>
          <w:tcPr>
            <w:tcBorders>
              <w:bottom w:val="single" w:sz="8" w:space="0" w:color="000000"/>
              <w:right w:val="single" w:sz="8" w:space="0" w:color="000000"/>
            </w:tcBorders>
            <w:vAlign w:val="center"/>
          </w:tcPr>
          <w:p>
            <w:pPr>
              <w:spacing w:lineRule="auto"/>
              <w:jc w:val="left"/>
            </w:pPr>
            <w:r>
              <w:rPr/>
              <w:t xml:space="preserve">10,082</w:t>
            </w:r>
          </w:p>
        </w:tc>
        <w:tc>
          <w:tcPr>
            <w:tcBorders>
              <w:bottom w:val="single" w:sz="8" w:space="0" w:color="000000"/>
              <w:right w:val="single" w:sz="8" w:space="0" w:color="000000"/>
            </w:tcBorders>
            <w:vAlign w:val="center"/>
          </w:tcPr>
          <w:p>
            <w:pPr>
              <w:spacing w:lineRule="auto"/>
              <w:jc w:val="left"/>
            </w:pPr>
            <w:r>
              <w:rPr/>
              <w:t xml:space="preserve">186,9</w:t>
            </w:r>
          </w:p>
        </w:tc>
        <w:tc>
          <w:tcPr>
            <w:tcBorders>
              <w:bottom w:val="single" w:sz="8" w:space="0" w:color="000000"/>
              <w:right w:val="single" w:sz="8" w:space="0" w:color="000000"/>
            </w:tcBorders>
            <w:vAlign w:val="center"/>
          </w:tcPr>
          <w:p>
            <w:pPr>
              <w:spacing w:lineRule="auto"/>
              <w:jc w:val="left"/>
            </w:pPr>
            <w:r>
              <w:rPr/>
              <w:t xml:space="preserve">391,7</w:t>
            </w:r>
          </w:p>
        </w:tc>
        <w:tc>
          <w:tcPr>
            <w:tcBorders>
              <w:bottom w:val="single" w:sz="8" w:space="0" w:color="000000"/>
              <w:right w:val="single" w:sz="8" w:space="0" w:color="000000"/>
            </w:tcBorders>
            <w:vAlign w:val="center"/>
          </w:tcPr>
          <w:p>
            <w:pPr>
              <w:spacing w:lineRule="auto"/>
              <w:jc w:val="left"/>
            </w:pPr>
            <w:r>
              <w:rPr/>
              <w:t xml:space="preserve">204,8</w:t>
            </w:r>
          </w:p>
        </w:tc>
        <w:tc>
          <w:tcPr>
            <w:tcBorders>
              <w:bottom w:val="single" w:sz="8" w:space="0" w:color="000000"/>
              <w:right w:val="single" w:sz="8" w:space="0" w:color="000000"/>
            </w:tcBorders>
            <w:vAlign w:val="center"/>
          </w:tcPr>
          <w:p>
            <w:pPr>
              <w:spacing w:lineRule="auto"/>
              <w:jc w:val="left"/>
            </w:pPr>
            <w:r>
              <w:rPr/>
              <w:t xml:space="preserve">0,951</w:t>
            </w:r>
          </w:p>
        </w:tc>
        <w:tc>
          <w:tcPr>
            <w:tcBorders>
              <w:bottom w:val="single" w:sz="8" w:space="0" w:color="000000"/>
              <w:right w:val="single" w:sz="8" w:space="0" w:color="000000"/>
            </w:tcBorders>
            <w:vAlign w:val="center"/>
          </w:tcPr>
          <w:p>
            <w:pPr>
              <w:spacing w:lineRule="auto"/>
              <w:jc w:val="left"/>
            </w:pPr>
            <w:r>
              <w:rPr/>
              <w:t xml:space="preserve">1,730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pPr>
              <w:spacing w:lineRule="auto"/>
              <w:jc w:val="left"/>
            </w:pPr>
            <w:r>
              <w:rPr/>
              <w:t xml:space="preserve">2,4309</w:t>
            </w:r>
          </w:p>
        </w:tc>
        <w:tc>
          <w:tcPr>
            <w:tcBorders>
              <w:bottom w:val="single" w:sz="8" w:space="0" w:color="000000"/>
              <w:right w:val="single" w:sz="8" w:space="0" w:color="000000"/>
            </w:tcBorders>
            <w:vAlign w:val="center"/>
          </w:tcPr>
          <w:p>
            <w:pPr>
              <w:spacing w:lineRule="auto"/>
              <w:jc w:val="left"/>
            </w:pPr>
            <w:r>
              <w:rPr/>
              <w:t xml:space="preserve">0,764</w:t>
            </w:r>
          </w:p>
        </w:tc>
        <w:tc>
          <w:tcPr>
            <w:tcBorders>
              <w:bottom w:val="single" w:sz="8" w:space="0" w:color="000000"/>
              <w:right w:val="single" w:sz="8" w:space="0" w:color="000000"/>
            </w:tcBorders>
            <w:vAlign w:val="center"/>
          </w:tcPr>
          <w:p>
            <w:pPr>
              <w:spacing w:lineRule="auto"/>
              <w:jc w:val="left"/>
            </w:pPr>
            <w:r>
              <w:rPr/>
              <w:t xml:space="preserve">82,45</w:t>
            </w:r>
          </w:p>
        </w:tc>
        <w:tc>
          <w:tcPr>
            <w:tcBorders>
              <w:bottom w:val="single" w:sz="8" w:space="0" w:color="000000"/>
              <w:right w:val="single" w:sz="8" w:space="0" w:color="000000"/>
            </w:tcBorders>
            <w:vAlign w:val="center"/>
          </w:tcPr>
          <w:p>
            <w:pPr>
              <w:spacing w:lineRule="auto"/>
              <w:jc w:val="left"/>
            </w:pPr>
            <w:r>
              <w:rPr/>
              <w:t xml:space="preserve">1,3095</w:t>
            </w:r>
          </w:p>
        </w:tc>
        <w:tc>
          <w:tcPr>
            <w:tcBorders>
              <w:bottom w:val="single" w:sz="8" w:space="0" w:color="000000"/>
              <w:right w:val="single" w:sz="8" w:space="0" w:color="000000"/>
            </w:tcBorders>
            <w:vAlign w:val="center"/>
          </w:tcPr>
          <w:p>
            <w:pPr>
              <w:spacing w:lineRule="auto"/>
              <w:jc w:val="left"/>
            </w:pPr>
            <w:r>
              <w:rPr/>
              <w:t xml:space="preserve">12,129</w:t>
            </w:r>
          </w:p>
        </w:tc>
        <w:tc>
          <w:tcPr>
            <w:tcBorders>
              <w:bottom w:val="single" w:sz="8" w:space="0" w:color="000000"/>
              <w:right w:val="single" w:sz="8" w:space="0" w:color="000000"/>
            </w:tcBorders>
            <w:vAlign w:val="center"/>
          </w:tcPr>
          <w:p>
            <w:pPr>
              <w:spacing w:lineRule="auto"/>
              <w:jc w:val="left"/>
            </w:pPr>
            <w:r>
              <w:rPr/>
              <w:t xml:space="preserve">193,4</w:t>
            </w:r>
          </w:p>
        </w:tc>
        <w:tc>
          <w:tcPr>
            <w:tcBorders>
              <w:bottom w:val="single" w:sz="8" w:space="0" w:color="000000"/>
              <w:right w:val="single" w:sz="8" w:space="0" w:color="000000"/>
            </w:tcBorders>
            <w:vAlign w:val="center"/>
          </w:tcPr>
          <w:p>
            <w:pPr>
              <w:spacing w:lineRule="auto"/>
              <w:jc w:val="left"/>
            </w:pPr>
            <w:r>
              <w:rPr/>
              <w:t xml:space="preserve">394,4</w:t>
            </w:r>
          </w:p>
        </w:tc>
        <w:tc>
          <w:tcPr>
            <w:tcBorders>
              <w:bottom w:val="single" w:sz="8" w:space="0" w:color="000000"/>
              <w:right w:val="single" w:sz="8" w:space="0" w:color="000000"/>
            </w:tcBorders>
            <w:vAlign w:val="center"/>
          </w:tcPr>
          <w:p>
            <w:pPr>
              <w:spacing w:lineRule="auto"/>
              <w:jc w:val="left"/>
            </w:pPr>
            <w:r>
              <w:rPr/>
              <w:t xml:space="preserve">201,2</w:t>
            </w:r>
          </w:p>
        </w:tc>
        <w:tc>
          <w:tcPr>
            <w:tcBorders>
              <w:bottom w:val="single" w:sz="8" w:space="0" w:color="000000"/>
              <w:right w:val="single" w:sz="8" w:space="0" w:color="000000"/>
            </w:tcBorders>
            <w:vAlign w:val="center"/>
          </w:tcPr>
          <w:p>
            <w:pPr>
              <w:spacing w:lineRule="auto"/>
              <w:jc w:val="left"/>
            </w:pPr>
            <w:r>
              <w:rPr/>
              <w:t xml:space="preserve">0,976</w:t>
            </w:r>
          </w:p>
        </w:tc>
        <w:tc>
          <w:tcPr>
            <w:tcBorders>
              <w:bottom w:val="single" w:sz="8" w:space="0" w:color="000000"/>
              <w:right w:val="single" w:sz="8" w:space="0" w:color="000000"/>
            </w:tcBorders>
            <w:vAlign w:val="center"/>
          </w:tcPr>
          <w:p>
            <w:pPr>
              <w:spacing w:lineRule="auto"/>
              <w:jc w:val="left"/>
            </w:pPr>
            <w:r>
              <w:rPr/>
              <w:t xml:space="preserve">1,726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pPr>
              <w:spacing w:lineRule="auto"/>
              <w:jc w:val="left"/>
            </w:pPr>
            <w:r>
              <w:rPr/>
              <w:t xml:space="preserve">2,9247</w:t>
            </w:r>
          </w:p>
        </w:tc>
        <w:tc>
          <w:tcPr>
            <w:tcBorders>
              <w:bottom w:val="single" w:sz="8" w:space="0" w:color="000000"/>
              <w:right w:val="single" w:sz="8" w:space="0" w:color="000000"/>
            </w:tcBorders>
            <w:vAlign w:val="center"/>
          </w:tcPr>
          <w:p>
            <w:pPr>
              <w:spacing w:lineRule="auto"/>
              <w:jc w:val="left"/>
            </w:pPr>
            <w:r>
              <w:rPr/>
              <w:t xml:space="preserve">0,773</w:t>
            </w:r>
          </w:p>
        </w:tc>
        <w:tc>
          <w:tcPr>
            <w:tcBorders>
              <w:bottom w:val="single" w:sz="8" w:space="0" w:color="000000"/>
              <w:right w:val="single" w:sz="8" w:space="0" w:color="000000"/>
            </w:tcBorders>
            <w:vAlign w:val="center"/>
          </w:tcPr>
          <w:p>
            <w:pPr>
              <w:spacing w:lineRule="auto"/>
              <w:jc w:val="left"/>
            </w:pPr>
            <w:r>
              <w:rPr/>
              <w:t xml:space="preserve">69,005</w:t>
            </w:r>
          </w:p>
        </w:tc>
        <w:tc>
          <w:tcPr>
            <w:tcBorders>
              <w:bottom w:val="single" w:sz="8" w:space="0" w:color="000000"/>
              <w:right w:val="single" w:sz="8" w:space="0" w:color="000000"/>
            </w:tcBorders>
            <w:vAlign w:val="center"/>
          </w:tcPr>
          <w:p>
            <w:pPr>
              <w:spacing w:lineRule="auto"/>
              <w:jc w:val="left"/>
            </w:pPr>
            <w:r>
              <w:rPr/>
              <w:t xml:space="preserve">1,2934</w:t>
            </w:r>
          </w:p>
        </w:tc>
        <w:tc>
          <w:tcPr>
            <w:tcBorders>
              <w:bottom w:val="single" w:sz="8" w:space="0" w:color="000000"/>
              <w:right w:val="single" w:sz="8" w:space="0" w:color="000000"/>
            </w:tcBorders>
            <w:vAlign w:val="center"/>
          </w:tcPr>
          <w:p>
            <w:pPr>
              <w:spacing w:lineRule="auto"/>
              <w:jc w:val="left"/>
            </w:pPr>
            <w:r>
              <w:rPr/>
              <w:t xml:space="preserve">14,492</w:t>
            </w:r>
          </w:p>
        </w:tc>
        <w:tc>
          <w:tcPr>
            <w:tcBorders>
              <w:bottom w:val="single" w:sz="8" w:space="0" w:color="000000"/>
              <w:right w:val="single" w:sz="8" w:space="0" w:color="000000"/>
            </w:tcBorders>
            <w:vAlign w:val="center"/>
          </w:tcPr>
          <w:p>
            <w:pPr>
              <w:spacing w:lineRule="auto"/>
              <w:jc w:val="left"/>
            </w:pPr>
            <w:r>
              <w:rPr/>
              <w:t xml:space="preserve">200,0</w:t>
            </w:r>
          </w:p>
        </w:tc>
        <w:tc>
          <w:tcPr>
            <w:tcBorders>
              <w:bottom w:val="single" w:sz="8" w:space="0" w:color="000000"/>
              <w:right w:val="single" w:sz="8" w:space="0" w:color="000000"/>
            </w:tcBorders>
            <w:vAlign w:val="center"/>
          </w:tcPr>
          <w:p>
            <w:pPr>
              <w:spacing w:lineRule="auto"/>
              <w:jc w:val="left"/>
            </w:pPr>
            <w:r>
              <w:rPr/>
              <w:t xml:space="preserve">397,4</w:t>
            </w:r>
          </w:p>
        </w:tc>
        <w:tc>
          <w:tcPr>
            <w:tcBorders>
              <w:bottom w:val="single" w:sz="8" w:space="0" w:color="000000"/>
              <w:right w:val="single" w:sz="8" w:space="0" w:color="000000"/>
            </w:tcBorders>
            <w:vAlign w:val="center"/>
          </w:tcPr>
          <w:p>
            <w:pPr>
              <w:spacing w:lineRule="auto"/>
              <w:jc w:val="left"/>
            </w:pPr>
            <w:r>
              <w:rPr/>
              <w:t xml:space="preserve">197,4</w:t>
            </w:r>
          </w:p>
        </w:tc>
        <w:tc>
          <w:tcPr>
            <w:tcBorders>
              <w:bottom w:val="single" w:sz="8" w:space="0" w:color="000000"/>
              <w:right w:val="single" w:sz="8" w:space="0" w:color="000000"/>
            </w:tcBorders>
            <w:vAlign w:val="center"/>
          </w:tcPr>
          <w:p>
            <w:pPr>
              <w:spacing w:lineRule="auto"/>
              <w:jc w:val="left"/>
            </w:pPr>
            <w:r>
              <w:rPr/>
              <w:t xml:space="preserve">1,000</w:t>
            </w:r>
          </w:p>
        </w:tc>
        <w:tc>
          <w:tcPr>
            <w:tcBorders>
              <w:bottom w:val="single" w:sz="8" w:space="0" w:color="000000"/>
              <w:right w:val="single" w:sz="8" w:space="0" w:color="000000"/>
            </w:tcBorders>
            <w:vAlign w:val="center"/>
          </w:tcPr>
          <w:p>
            <w:pPr>
              <w:spacing w:lineRule="auto"/>
              <w:jc w:val="left"/>
            </w:pPr>
            <w:r>
              <w:rPr/>
              <w:t xml:space="preserve">1,723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5,00</w:t>
            </w:r>
          </w:p>
        </w:tc>
        <w:tc>
          <w:tcPr>
            <w:tcBorders>
              <w:bottom w:val="single" w:sz="8" w:space="0" w:color="000000"/>
              <w:right w:val="single" w:sz="8" w:space="0" w:color="000000"/>
            </w:tcBorders>
            <w:vAlign w:val="center"/>
          </w:tcPr>
          <w:p>
            <w:pPr>
              <w:spacing w:lineRule="auto"/>
              <w:jc w:val="left"/>
            </w:pPr>
            <w:r>
              <w:rPr/>
              <w:t xml:space="preserve">3,4924</w:t>
            </w:r>
          </w:p>
        </w:tc>
        <w:tc>
          <w:tcPr>
            <w:tcBorders>
              <w:bottom w:val="single" w:sz="8" w:space="0" w:color="000000"/>
              <w:right w:val="single" w:sz="8" w:space="0" w:color="000000"/>
            </w:tcBorders>
            <w:vAlign w:val="center"/>
          </w:tcPr>
          <w:p>
            <w:pPr>
              <w:spacing w:lineRule="auto"/>
              <w:jc w:val="left"/>
            </w:pPr>
            <w:r>
              <w:rPr/>
              <w:t xml:space="preserve">0,783</w:t>
            </w:r>
          </w:p>
        </w:tc>
        <w:tc>
          <w:tcPr>
            <w:tcBorders>
              <w:bottom w:val="single" w:sz="8" w:space="0" w:color="000000"/>
              <w:right w:val="single" w:sz="8" w:space="0" w:color="000000"/>
            </w:tcBorders>
            <w:vAlign w:val="center"/>
          </w:tcPr>
          <w:p>
            <w:pPr>
              <w:spacing w:lineRule="auto"/>
              <w:jc w:val="left"/>
            </w:pPr>
            <w:r>
              <w:rPr/>
              <w:t xml:space="preserve">58,111</w:t>
            </w:r>
          </w:p>
        </w:tc>
        <w:tc>
          <w:tcPr>
            <w:tcBorders>
              <w:bottom w:val="single" w:sz="8" w:space="0" w:color="000000"/>
              <w:right w:val="single" w:sz="8" w:space="0" w:color="000000"/>
            </w:tcBorders>
            <w:vAlign w:val="center"/>
          </w:tcPr>
          <w:p>
            <w:pPr>
              <w:spacing w:lineRule="auto"/>
              <w:jc w:val="left"/>
            </w:pPr>
            <w:r>
              <w:rPr/>
              <w:t xml:space="preserve">1,277</w:t>
            </w:r>
          </w:p>
        </w:tc>
        <w:tc>
          <w:tcPr>
            <w:tcBorders>
              <w:bottom w:val="single" w:sz="8" w:space="0" w:color="000000"/>
              <w:right w:val="single" w:sz="8" w:space="0" w:color="000000"/>
            </w:tcBorders>
            <w:vAlign w:val="center"/>
          </w:tcPr>
          <w:p>
            <w:pPr>
              <w:spacing w:lineRule="auto"/>
              <w:jc w:val="left"/>
            </w:pPr>
            <w:r>
              <w:rPr/>
              <w:t xml:space="preserve">17,209</w:t>
            </w:r>
          </w:p>
        </w:tc>
        <w:tc>
          <w:tcPr>
            <w:tcBorders>
              <w:bottom w:val="single" w:sz="8" w:space="0" w:color="000000"/>
              <w:right w:val="single" w:sz="8" w:space="0" w:color="000000"/>
            </w:tcBorders>
            <w:vAlign w:val="center"/>
          </w:tcPr>
          <w:p>
            <w:pPr>
              <w:spacing w:lineRule="auto"/>
              <w:jc w:val="left"/>
            </w:pPr>
            <w:r>
              <w:rPr/>
              <w:t xml:space="preserve">206,6</w:t>
            </w:r>
          </w:p>
        </w:tc>
        <w:tc>
          <w:tcPr>
            <w:tcBorders>
              <w:bottom w:val="single" w:sz="8" w:space="0" w:color="000000"/>
              <w:right w:val="single" w:sz="8" w:space="0" w:color="000000"/>
            </w:tcBorders>
            <w:vAlign w:val="center"/>
          </w:tcPr>
          <w:p>
            <w:pPr>
              <w:spacing w:lineRule="auto"/>
              <w:jc w:val="left"/>
            </w:pPr>
            <w:r>
              <w:rPr/>
              <w:t xml:space="preserve">400,2</w:t>
            </w:r>
          </w:p>
        </w:tc>
        <w:tc>
          <w:tcPr>
            <w:tcBorders>
              <w:bottom w:val="single" w:sz="8" w:space="0" w:color="000000"/>
              <w:right w:val="single" w:sz="8" w:space="0" w:color="000000"/>
            </w:tcBorders>
            <w:vAlign w:val="center"/>
          </w:tcPr>
          <w:p>
            <w:pPr>
              <w:spacing w:lineRule="auto"/>
              <w:jc w:val="left"/>
            </w:pPr>
            <w:r>
              <w:rPr/>
              <w:t xml:space="preserve">193,6</w:t>
            </w:r>
          </w:p>
        </w:tc>
        <w:tc>
          <w:tcPr>
            <w:tcBorders>
              <w:bottom w:val="single" w:sz="8" w:space="0" w:color="000000"/>
              <w:right w:val="single" w:sz="8" w:space="0" w:color="000000"/>
            </w:tcBorders>
            <w:vAlign w:val="center"/>
          </w:tcPr>
          <w:p>
            <w:pPr>
              <w:spacing w:lineRule="auto"/>
              <w:jc w:val="left"/>
            </w:pPr>
            <w:r>
              <w:rPr/>
              <w:t xml:space="preserve">1,024</w:t>
            </w:r>
          </w:p>
        </w:tc>
        <w:tc>
          <w:tcPr>
            <w:tcBorders>
              <w:bottom w:val="single" w:sz="8" w:space="0" w:color="000000"/>
              <w:right w:val="single" w:sz="8" w:space="0" w:color="000000"/>
            </w:tcBorders>
            <w:vAlign w:val="center"/>
          </w:tcPr>
          <w:p>
            <w:pPr>
              <w:spacing w:lineRule="auto"/>
              <w:jc w:val="left"/>
            </w:pPr>
            <w:r>
              <w:rPr/>
              <w:t xml:space="preserve">1,720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10,0</w:t>
            </w:r>
          </w:p>
        </w:tc>
        <w:tc>
          <w:tcPr>
            <w:tcBorders>
              <w:bottom w:val="single" w:sz="8" w:space="0" w:color="000000"/>
              <w:right w:val="single" w:sz="8" w:space="0" w:color="000000"/>
            </w:tcBorders>
            <w:vAlign w:val="center"/>
          </w:tcPr>
          <w:p>
            <w:pPr>
              <w:spacing w:lineRule="auto"/>
              <w:jc w:val="left"/>
            </w:pPr>
            <w:r>
              <w:rPr/>
              <w:t xml:space="preserve">4,1411</w:t>
            </w:r>
          </w:p>
        </w:tc>
        <w:tc>
          <w:tcPr>
            <w:tcBorders>
              <w:bottom w:val="single" w:sz="8" w:space="0" w:color="000000"/>
              <w:right w:val="single" w:sz="8" w:space="0" w:color="000000"/>
            </w:tcBorders>
            <w:vAlign w:val="center"/>
          </w:tcPr>
          <w:p>
            <w:pPr>
              <w:spacing w:lineRule="auto"/>
              <w:jc w:val="left"/>
            </w:pPr>
            <w:r>
              <w:rPr/>
              <w:t xml:space="preserve">0,794</w:t>
            </w:r>
          </w:p>
        </w:tc>
        <w:tc>
          <w:tcPr>
            <w:tcBorders>
              <w:bottom w:val="single" w:sz="8" w:space="0" w:color="000000"/>
              <w:right w:val="single" w:sz="8" w:space="0" w:color="000000"/>
            </w:tcBorders>
            <w:vAlign w:val="center"/>
          </w:tcPr>
          <w:p>
            <w:pPr>
              <w:spacing w:lineRule="auto"/>
              <w:jc w:val="left"/>
            </w:pPr>
            <w:r>
              <w:rPr/>
              <w:t xml:space="preserve">49,214</w:t>
            </w:r>
          </w:p>
        </w:tc>
        <w:tc>
          <w:tcPr>
            <w:tcBorders>
              <w:bottom w:val="single" w:sz="8" w:space="0" w:color="000000"/>
              <w:right w:val="single" w:sz="8" w:space="0" w:color="000000"/>
            </w:tcBorders>
            <w:vAlign w:val="center"/>
          </w:tcPr>
          <w:p>
            <w:pPr>
              <w:spacing w:lineRule="auto"/>
              <w:jc w:val="left"/>
            </w:pPr>
            <w:r>
              <w:rPr/>
              <w:t xml:space="preserve">1,2601</w:t>
            </w:r>
          </w:p>
        </w:tc>
        <w:tc>
          <w:tcPr>
            <w:tcBorders>
              <w:bottom w:val="single" w:sz="8" w:space="0" w:color="000000"/>
              <w:right w:val="single" w:sz="8" w:space="0" w:color="000000"/>
            </w:tcBorders>
            <w:vAlign w:val="center"/>
          </w:tcPr>
          <w:p>
            <w:pPr>
              <w:spacing w:lineRule="auto"/>
              <w:jc w:val="left"/>
            </w:pPr>
            <w:r>
              <w:rPr/>
              <w:t xml:space="preserve">20,32</w:t>
            </w:r>
          </w:p>
        </w:tc>
        <w:tc>
          <w:tcPr>
            <w:tcBorders>
              <w:bottom w:val="single" w:sz="8" w:space="0" w:color="000000"/>
              <w:right w:val="single" w:sz="8" w:space="0" w:color="000000"/>
            </w:tcBorders>
            <w:vAlign w:val="center"/>
          </w:tcPr>
          <w:p>
            <w:pPr>
              <w:spacing w:lineRule="auto"/>
              <w:jc w:val="left"/>
            </w:pPr>
            <w:r>
              <w:rPr/>
              <w:t xml:space="preserve">213,3</w:t>
            </w:r>
          </w:p>
        </w:tc>
        <w:tc>
          <w:tcPr>
            <w:tcBorders>
              <w:bottom w:val="single" w:sz="8" w:space="0" w:color="000000"/>
              <w:right w:val="single" w:sz="8" w:space="0" w:color="000000"/>
            </w:tcBorders>
            <w:vAlign w:val="center"/>
          </w:tcPr>
          <w:p>
            <w:pPr>
              <w:spacing w:lineRule="auto"/>
              <w:jc w:val="left"/>
            </w:pPr>
            <w:r>
              <w:rPr/>
              <w:t xml:space="preserve">403,0</w:t>
            </w:r>
          </w:p>
        </w:tc>
        <w:tc>
          <w:tcPr>
            <w:tcBorders>
              <w:bottom w:val="single" w:sz="8" w:space="0" w:color="000000"/>
              <w:right w:val="single" w:sz="8" w:space="0" w:color="000000"/>
            </w:tcBorders>
            <w:vAlign w:val="center"/>
          </w:tcPr>
          <w:p>
            <w:pPr>
              <w:spacing w:lineRule="auto"/>
              <w:jc w:val="left"/>
            </w:pPr>
            <w:r>
              <w:rPr/>
              <w:t xml:space="preserve">189,6</w:t>
            </w:r>
          </w:p>
        </w:tc>
        <w:tc>
          <w:tcPr>
            <w:tcBorders>
              <w:bottom w:val="single" w:sz="8" w:space="0" w:color="000000"/>
              <w:right w:val="single" w:sz="8" w:space="0" w:color="000000"/>
            </w:tcBorders>
            <w:vAlign w:val="center"/>
          </w:tcPr>
          <w:p>
            <w:pPr>
              <w:spacing w:lineRule="auto"/>
              <w:jc w:val="left"/>
            </w:pPr>
            <w:r>
              <w:rPr/>
              <w:t xml:space="preserve">1,048</w:t>
            </w:r>
          </w:p>
        </w:tc>
        <w:tc>
          <w:tcPr>
            <w:tcBorders>
              <w:bottom w:val="single" w:sz="8" w:space="0" w:color="000000"/>
              <w:right w:val="single" w:sz="8" w:space="0" w:color="000000"/>
            </w:tcBorders>
            <w:vAlign w:val="center"/>
          </w:tcPr>
          <w:p>
            <w:pPr>
              <w:spacing w:lineRule="auto"/>
              <w:jc w:val="left"/>
            </w:pPr>
            <w:r>
              <w:rPr/>
              <w:t xml:space="preserve">1,717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15,0</w:t>
            </w:r>
          </w:p>
        </w:tc>
        <w:tc>
          <w:tcPr>
            <w:tcBorders>
              <w:bottom w:val="single" w:sz="8" w:space="0" w:color="000000"/>
              <w:right w:val="single" w:sz="8" w:space="0" w:color="000000"/>
            </w:tcBorders>
            <w:vAlign w:val="center"/>
          </w:tcPr>
          <w:p>
            <w:pPr>
              <w:spacing w:lineRule="auto"/>
              <w:jc w:val="left"/>
            </w:pPr>
            <w:r>
              <w:rPr/>
              <w:t xml:space="preserve">4,8779</w:t>
            </w:r>
          </w:p>
        </w:tc>
        <w:tc>
          <w:tcPr>
            <w:tcBorders>
              <w:bottom w:val="single" w:sz="8" w:space="0" w:color="000000"/>
              <w:right w:val="single" w:sz="8" w:space="0" w:color="000000"/>
            </w:tcBorders>
            <w:vAlign w:val="center"/>
          </w:tcPr>
          <w:p>
            <w:pPr>
              <w:spacing w:lineRule="auto"/>
              <w:jc w:val="left"/>
            </w:pPr>
            <w:r>
              <w:rPr/>
              <w:t xml:space="preserve">0,805</w:t>
            </w:r>
          </w:p>
        </w:tc>
        <w:tc>
          <w:tcPr>
            <w:tcBorders>
              <w:bottom w:val="single" w:sz="8" w:space="0" w:color="000000"/>
              <w:right w:val="single" w:sz="8" w:space="0" w:color="000000"/>
            </w:tcBorders>
            <w:vAlign w:val="center"/>
          </w:tcPr>
          <w:p>
            <w:pPr>
              <w:spacing w:lineRule="auto"/>
              <w:jc w:val="left"/>
            </w:pPr>
            <w:r>
              <w:rPr/>
              <w:t xml:space="preserve">41,893</w:t>
            </w:r>
          </w:p>
        </w:tc>
        <w:tc>
          <w:tcPr>
            <w:tcBorders>
              <w:bottom w:val="single" w:sz="8" w:space="0" w:color="000000"/>
              <w:right w:val="single" w:sz="8" w:space="0" w:color="000000"/>
            </w:tcBorders>
            <w:vAlign w:val="center"/>
          </w:tcPr>
          <w:p>
            <w:pPr>
              <w:spacing w:lineRule="auto"/>
              <w:jc w:val="left"/>
            </w:pPr>
            <w:r>
              <w:rPr/>
              <w:t xml:space="preserve">1,2427</w:t>
            </w:r>
          </w:p>
        </w:tc>
        <w:tc>
          <w:tcPr>
            <w:tcBorders>
              <w:bottom w:val="single" w:sz="8" w:space="0" w:color="000000"/>
              <w:right w:val="single" w:sz="8" w:space="0" w:color="000000"/>
            </w:tcBorders>
            <w:vAlign w:val="center"/>
          </w:tcPr>
          <w:p>
            <w:pPr>
              <w:spacing w:lineRule="auto"/>
              <w:jc w:val="left"/>
            </w:pPr>
            <w:r>
              <w:rPr/>
              <w:t xml:space="preserve">23,87</w:t>
            </w:r>
          </w:p>
        </w:tc>
        <w:tc>
          <w:tcPr>
            <w:tcBorders>
              <w:bottom w:val="single" w:sz="8" w:space="0" w:color="000000"/>
              <w:right w:val="single" w:sz="8" w:space="0" w:color="000000"/>
            </w:tcBorders>
            <w:vAlign w:val="center"/>
          </w:tcPr>
          <w:p>
            <w:pPr>
              <w:spacing w:lineRule="auto"/>
              <w:jc w:val="left"/>
            </w:pPr>
            <w:r>
              <w:rPr/>
              <w:t xml:space="preserve">220,1</w:t>
            </w:r>
          </w:p>
        </w:tc>
        <w:tc>
          <w:tcPr>
            <w:tcBorders>
              <w:bottom w:val="single" w:sz="8" w:space="0" w:color="000000"/>
              <w:right w:val="single" w:sz="8" w:space="0" w:color="000000"/>
            </w:tcBorders>
            <w:vAlign w:val="center"/>
          </w:tcPr>
          <w:p>
            <w:pPr>
              <w:spacing w:lineRule="auto"/>
              <w:jc w:val="left"/>
            </w:pPr>
            <w:r>
              <w:rPr/>
              <w:t xml:space="preserve">405,6</w:t>
            </w:r>
          </w:p>
        </w:tc>
        <w:tc>
          <w:tcPr>
            <w:tcBorders>
              <w:bottom w:val="single" w:sz="8" w:space="0" w:color="000000"/>
              <w:right w:val="single" w:sz="8" w:space="0" w:color="000000"/>
            </w:tcBorders>
            <w:vAlign w:val="center"/>
          </w:tcPr>
          <w:p>
            <w:pPr>
              <w:spacing w:lineRule="auto"/>
              <w:jc w:val="left"/>
            </w:pPr>
            <w:r>
              <w:rPr/>
              <w:t xml:space="preserve">185,5</w:t>
            </w:r>
          </w:p>
        </w:tc>
        <w:tc>
          <w:tcPr>
            <w:tcBorders>
              <w:bottom w:val="single" w:sz="8" w:space="0" w:color="000000"/>
              <w:right w:val="single" w:sz="8" w:space="0" w:color="000000"/>
            </w:tcBorders>
            <w:vAlign w:val="center"/>
          </w:tcPr>
          <w:p>
            <w:pPr>
              <w:spacing w:lineRule="auto"/>
              <w:jc w:val="left"/>
            </w:pPr>
            <w:r>
              <w:rPr/>
              <w:t xml:space="preserve">1,071</w:t>
            </w:r>
          </w:p>
        </w:tc>
        <w:tc>
          <w:tcPr>
            <w:tcBorders>
              <w:bottom w:val="single" w:sz="8" w:space="0" w:color="000000"/>
              <w:right w:val="single" w:sz="8" w:space="0" w:color="000000"/>
            </w:tcBorders>
            <w:vAlign w:val="center"/>
          </w:tcPr>
          <w:p>
            <w:pPr>
              <w:spacing w:lineRule="auto"/>
              <w:jc w:val="left"/>
            </w:pPr>
            <w:r>
              <w:rPr/>
              <w:t xml:space="preserve">1,715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20,0</w:t>
            </w:r>
          </w:p>
        </w:tc>
        <w:tc>
          <w:tcPr>
            <w:tcBorders>
              <w:bottom w:val="single" w:sz="8" w:space="0" w:color="000000"/>
              <w:right w:val="single" w:sz="8" w:space="0" w:color="000000"/>
            </w:tcBorders>
            <w:vAlign w:val="center"/>
          </w:tcPr>
          <w:p>
            <w:pPr>
              <w:spacing w:lineRule="auto"/>
              <w:jc w:val="left"/>
            </w:pPr>
            <w:r>
              <w:rPr/>
              <w:t xml:space="preserve">5,7105</w:t>
            </w:r>
          </w:p>
        </w:tc>
        <w:tc>
          <w:tcPr>
            <w:tcBorders>
              <w:bottom w:val="single" w:sz="8" w:space="0" w:color="000000"/>
              <w:right w:val="single" w:sz="8" w:space="0" w:color="000000"/>
            </w:tcBorders>
            <w:vAlign w:val="center"/>
          </w:tcPr>
          <w:p>
            <w:pPr>
              <w:spacing w:lineRule="auto"/>
              <w:jc w:val="left"/>
            </w:pPr>
            <w:r>
              <w:rPr/>
              <w:t xml:space="preserve">0,816</w:t>
            </w:r>
          </w:p>
        </w:tc>
        <w:tc>
          <w:tcPr>
            <w:tcBorders>
              <w:bottom w:val="single" w:sz="8" w:space="0" w:color="000000"/>
              <w:right w:val="single" w:sz="8" w:space="0" w:color="000000"/>
            </w:tcBorders>
            <w:vAlign w:val="center"/>
          </w:tcPr>
          <w:p>
            <w:pPr>
              <w:spacing w:lineRule="auto"/>
              <w:jc w:val="left"/>
            </w:pPr>
            <w:r>
              <w:rPr/>
              <w:t xml:space="preserve">35,827</w:t>
            </w:r>
          </w:p>
        </w:tc>
        <w:tc>
          <w:tcPr>
            <w:tcBorders>
              <w:bottom w:val="single" w:sz="8" w:space="0" w:color="000000"/>
              <w:right w:val="single" w:sz="8" w:space="0" w:color="000000"/>
            </w:tcBorders>
            <w:vAlign w:val="center"/>
          </w:tcPr>
          <w:p>
            <w:pPr>
              <w:spacing w:lineRule="auto"/>
              <w:jc w:val="left"/>
            </w:pPr>
            <w:r>
              <w:rPr/>
              <w:t xml:space="preserve">1,2248</w:t>
            </w:r>
          </w:p>
        </w:tc>
        <w:tc>
          <w:tcPr>
            <w:tcBorders>
              <w:bottom w:val="single" w:sz="8" w:space="0" w:color="000000"/>
              <w:right w:val="single" w:sz="8" w:space="0" w:color="000000"/>
            </w:tcBorders>
            <w:vAlign w:val="center"/>
          </w:tcPr>
          <w:p>
            <w:pPr>
              <w:spacing w:lineRule="auto"/>
              <w:jc w:val="left"/>
            </w:pPr>
            <w:r>
              <w:rPr/>
              <w:t xml:space="preserve">27,912</w:t>
            </w:r>
          </w:p>
        </w:tc>
        <w:tc>
          <w:tcPr>
            <w:tcBorders>
              <w:bottom w:val="single" w:sz="8" w:space="0" w:color="000000"/>
              <w:right w:val="single" w:sz="8" w:space="0" w:color="000000"/>
            </w:tcBorders>
            <w:vAlign w:val="center"/>
          </w:tcPr>
          <w:p>
            <w:pPr>
              <w:spacing w:lineRule="auto"/>
              <w:jc w:val="left"/>
            </w:pPr>
            <w:r>
              <w:rPr/>
              <w:t xml:space="preserve">227,0</w:t>
            </w:r>
          </w:p>
        </w:tc>
        <w:tc>
          <w:tcPr>
            <w:tcBorders>
              <w:bottom w:val="single" w:sz="8" w:space="0" w:color="000000"/>
              <w:right w:val="single" w:sz="8" w:space="0" w:color="000000"/>
            </w:tcBorders>
            <w:vAlign w:val="center"/>
          </w:tcPr>
          <w:p>
            <w:pPr>
              <w:spacing w:lineRule="auto"/>
              <w:jc w:val="left"/>
            </w:pPr>
            <w:r>
              <w:rPr/>
              <w:t xml:space="preserve">408,2</w:t>
            </w:r>
          </w:p>
        </w:tc>
        <w:tc>
          <w:tcPr>
            <w:tcBorders>
              <w:bottom w:val="single" w:sz="8" w:space="0" w:color="000000"/>
              <w:right w:val="single" w:sz="8" w:space="0" w:color="000000"/>
            </w:tcBorders>
            <w:vAlign w:val="center"/>
          </w:tcPr>
          <w:p>
            <w:pPr>
              <w:spacing w:lineRule="auto"/>
              <w:jc w:val="left"/>
            </w:pPr>
            <w:r>
              <w:rPr/>
              <w:t xml:space="preserve">181,3</w:t>
            </w:r>
          </w:p>
        </w:tc>
        <w:tc>
          <w:tcPr>
            <w:tcBorders>
              <w:bottom w:val="single" w:sz="8" w:space="0" w:color="000000"/>
              <w:right w:val="single" w:sz="8" w:space="0" w:color="000000"/>
            </w:tcBorders>
            <w:vAlign w:val="center"/>
          </w:tcPr>
          <w:p>
            <w:pPr>
              <w:spacing w:lineRule="auto"/>
              <w:jc w:val="left"/>
            </w:pPr>
            <w:r>
              <w:rPr/>
              <w:t xml:space="preserve">1,095</w:t>
            </w:r>
          </w:p>
        </w:tc>
        <w:tc>
          <w:tcPr>
            <w:tcBorders>
              <w:bottom w:val="single" w:sz="8" w:space="0" w:color="000000"/>
              <w:right w:val="single" w:sz="8" w:space="0" w:color="000000"/>
            </w:tcBorders>
            <w:vAlign w:val="center"/>
          </w:tcPr>
          <w:p>
            <w:pPr>
              <w:spacing w:lineRule="auto"/>
              <w:jc w:val="left"/>
            </w:pPr>
            <w:r>
              <w:rPr/>
              <w:t xml:space="preserve">1,713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25,0</w:t>
            </w:r>
          </w:p>
        </w:tc>
        <w:tc>
          <w:tcPr>
            <w:tcBorders>
              <w:bottom w:val="single" w:sz="8" w:space="0" w:color="000000"/>
              <w:right w:val="single" w:sz="8" w:space="0" w:color="000000"/>
            </w:tcBorders>
            <w:vAlign w:val="center"/>
          </w:tcPr>
          <w:p>
            <w:pPr>
              <w:spacing w:lineRule="auto"/>
              <w:jc w:val="left"/>
            </w:pPr>
            <w:r>
              <w:rPr/>
              <w:t xml:space="preserve">6,6467</w:t>
            </w:r>
          </w:p>
        </w:tc>
        <w:tc>
          <w:tcPr>
            <w:tcBorders>
              <w:bottom w:val="single" w:sz="8" w:space="0" w:color="000000"/>
              <w:right w:val="single" w:sz="8" w:space="0" w:color="000000"/>
            </w:tcBorders>
            <w:vAlign w:val="center"/>
          </w:tcPr>
          <w:p>
            <w:pPr>
              <w:spacing w:lineRule="auto"/>
              <w:jc w:val="left"/>
            </w:pPr>
            <w:r>
              <w:rPr/>
              <w:t xml:space="preserve">0,829</w:t>
            </w:r>
          </w:p>
        </w:tc>
        <w:tc>
          <w:tcPr>
            <w:tcBorders>
              <w:bottom w:val="single" w:sz="8" w:space="0" w:color="000000"/>
              <w:right w:val="single" w:sz="8" w:space="0" w:color="000000"/>
            </w:tcBorders>
            <w:vAlign w:val="center"/>
          </w:tcPr>
          <w:p>
            <w:pPr>
              <w:spacing w:lineRule="auto"/>
              <w:jc w:val="left"/>
            </w:pPr>
            <w:r>
              <w:rPr/>
              <w:t xml:space="preserve">30,766</w:t>
            </w:r>
          </w:p>
        </w:tc>
        <w:tc>
          <w:tcPr>
            <w:tcBorders>
              <w:bottom w:val="single" w:sz="8" w:space="0" w:color="000000"/>
              <w:right w:val="single" w:sz="8" w:space="0" w:color="000000"/>
            </w:tcBorders>
            <w:vAlign w:val="center"/>
          </w:tcPr>
          <w:p>
            <w:pPr>
              <w:spacing w:lineRule="auto"/>
              <w:jc w:val="left"/>
            </w:pPr>
            <w:r>
              <w:rPr/>
              <w:t xml:space="preserve">1,2063</w:t>
            </w:r>
          </w:p>
        </w:tc>
        <w:tc>
          <w:tcPr>
            <w:tcBorders>
              <w:bottom w:val="single" w:sz="8" w:space="0" w:color="000000"/>
              <w:right w:val="single" w:sz="8" w:space="0" w:color="000000"/>
            </w:tcBorders>
            <w:vAlign w:val="center"/>
          </w:tcPr>
          <w:p>
            <w:pPr>
              <w:spacing w:lineRule="auto"/>
              <w:jc w:val="left"/>
            </w:pPr>
            <w:r>
              <w:rPr/>
              <w:t xml:space="preserve">32,503</w:t>
            </w:r>
          </w:p>
        </w:tc>
        <w:tc>
          <w:tcPr>
            <w:tcBorders>
              <w:bottom w:val="single" w:sz="8" w:space="0" w:color="000000"/>
              <w:right w:val="single" w:sz="8" w:space="0" w:color="000000"/>
            </w:tcBorders>
            <w:vAlign w:val="center"/>
          </w:tcPr>
          <w:p>
            <w:pPr>
              <w:spacing w:lineRule="auto"/>
              <w:jc w:val="left"/>
            </w:pPr>
            <w:r>
              <w:rPr/>
              <w:t xml:space="preserve">233,9</w:t>
            </w:r>
          </w:p>
        </w:tc>
        <w:tc>
          <w:tcPr>
            <w:tcBorders>
              <w:bottom w:val="single" w:sz="8" w:space="0" w:color="000000"/>
              <w:right w:val="single" w:sz="8" w:space="0" w:color="000000"/>
            </w:tcBorders>
            <w:vAlign w:val="center"/>
          </w:tcPr>
          <w:p>
            <w:pPr>
              <w:spacing w:lineRule="auto"/>
              <w:jc w:val="left"/>
            </w:pPr>
            <w:r>
              <w:rPr/>
              <w:t xml:space="preserve">410,8</w:t>
            </w:r>
          </w:p>
        </w:tc>
        <w:tc>
          <w:tcPr>
            <w:tcBorders>
              <w:bottom w:val="single" w:sz="8" w:space="0" w:color="000000"/>
              <w:right w:val="single" w:sz="8" w:space="0" w:color="000000"/>
            </w:tcBorders>
            <w:vAlign w:val="center"/>
          </w:tcPr>
          <w:p>
            <w:pPr>
              <w:spacing w:lineRule="auto"/>
              <w:jc w:val="left"/>
            </w:pPr>
            <w:r>
              <w:rPr/>
              <w:t xml:space="preserve">176,8</w:t>
            </w:r>
          </w:p>
        </w:tc>
        <w:tc>
          <w:tcPr>
            <w:tcBorders>
              <w:bottom w:val="single" w:sz="8" w:space="0" w:color="000000"/>
              <w:right w:val="single" w:sz="8" w:space="0" w:color="000000"/>
            </w:tcBorders>
            <w:vAlign w:val="center"/>
          </w:tcPr>
          <w:p>
            <w:pPr>
              <w:spacing w:lineRule="auto"/>
              <w:jc w:val="left"/>
            </w:pPr>
            <w:r>
              <w:rPr/>
              <w:t xml:space="preserve">1,118</w:t>
            </w:r>
          </w:p>
        </w:tc>
        <w:tc>
          <w:tcPr>
            <w:tcBorders>
              <w:bottom w:val="single" w:sz="8" w:space="0" w:color="000000"/>
              <w:right w:val="single" w:sz="8" w:space="0" w:color="000000"/>
            </w:tcBorders>
            <w:vAlign w:val="center"/>
          </w:tcPr>
          <w:p>
            <w:pPr>
              <w:spacing w:lineRule="auto"/>
              <w:jc w:val="left"/>
            </w:pPr>
            <w:r>
              <w:rPr/>
              <w:t xml:space="preserve">1,711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30,0</w:t>
            </w:r>
          </w:p>
        </w:tc>
        <w:tc>
          <w:tcPr>
            <w:tcBorders>
              <w:bottom w:val="single" w:sz="8" w:space="0" w:color="000000"/>
              <w:right w:val="single" w:sz="8" w:space="0" w:color="000000"/>
            </w:tcBorders>
            <w:vAlign w:val="center"/>
          </w:tcPr>
          <w:p>
            <w:pPr>
              <w:spacing w:lineRule="auto"/>
              <w:jc w:val="left"/>
            </w:pPr>
            <w:r>
              <w:rPr/>
              <w:t xml:space="preserve">7,6946</w:t>
            </w:r>
          </w:p>
        </w:tc>
        <w:tc>
          <w:tcPr>
            <w:tcBorders>
              <w:bottom w:val="single" w:sz="8" w:space="0" w:color="000000"/>
              <w:right w:val="single" w:sz="8" w:space="0" w:color="000000"/>
            </w:tcBorders>
            <w:vAlign w:val="center"/>
          </w:tcPr>
          <w:p>
            <w:pPr>
              <w:spacing w:lineRule="auto"/>
              <w:jc w:val="left"/>
            </w:pPr>
            <w:r>
              <w:rPr/>
              <w:t xml:space="preserve">0,842</w:t>
            </w:r>
          </w:p>
        </w:tc>
        <w:tc>
          <w:tcPr>
            <w:tcBorders>
              <w:bottom w:val="single" w:sz="8" w:space="0" w:color="000000"/>
              <w:right w:val="single" w:sz="8" w:space="0" w:color="000000"/>
            </w:tcBorders>
            <w:vAlign w:val="center"/>
          </w:tcPr>
          <w:p>
            <w:pPr>
              <w:spacing w:lineRule="auto"/>
              <w:jc w:val="left"/>
            </w:pPr>
            <w:r>
              <w:rPr/>
              <w:t xml:space="preserve">26,517</w:t>
            </w:r>
          </w:p>
        </w:tc>
        <w:tc>
          <w:tcPr>
            <w:tcBorders>
              <w:bottom w:val="single" w:sz="8" w:space="0" w:color="000000"/>
              <w:right w:val="single" w:sz="8" w:space="0" w:color="000000"/>
            </w:tcBorders>
            <w:vAlign w:val="center"/>
          </w:tcPr>
          <w:p>
            <w:pPr>
              <w:spacing w:lineRule="auto"/>
              <w:jc w:val="left"/>
            </w:pPr>
            <w:r>
              <w:rPr/>
              <w:t xml:space="preserve">1,1872</w:t>
            </w:r>
          </w:p>
        </w:tc>
        <w:tc>
          <w:tcPr>
            <w:tcBorders>
              <w:bottom w:val="single" w:sz="8" w:space="0" w:color="000000"/>
              <w:right w:val="single" w:sz="8" w:space="0" w:color="000000"/>
            </w:tcBorders>
            <w:vAlign w:val="center"/>
          </w:tcPr>
          <w:p>
            <w:pPr>
              <w:spacing w:lineRule="auto"/>
              <w:jc w:val="left"/>
            </w:pPr>
            <w:r>
              <w:rPr/>
              <w:t xml:space="preserve">37,712</w:t>
            </w:r>
          </w:p>
        </w:tc>
        <w:tc>
          <w:tcPr>
            <w:tcBorders>
              <w:bottom w:val="single" w:sz="8" w:space="0" w:color="000000"/>
              <w:right w:val="single" w:sz="8" w:space="0" w:color="000000"/>
            </w:tcBorders>
            <w:vAlign w:val="center"/>
          </w:tcPr>
          <w:p>
            <w:pPr>
              <w:spacing w:lineRule="auto"/>
              <w:jc w:val="left"/>
            </w:pPr>
            <w:r>
              <w:rPr/>
              <w:t xml:space="preserve">241,0</w:t>
            </w:r>
          </w:p>
        </w:tc>
        <w:tc>
          <w:tcPr>
            <w:tcBorders>
              <w:bottom w:val="single" w:sz="8" w:space="0" w:color="000000"/>
              <w:right w:val="single" w:sz="8" w:space="0" w:color="000000"/>
            </w:tcBorders>
            <w:vAlign w:val="center"/>
          </w:tcPr>
          <w:p>
            <w:pPr>
              <w:spacing w:lineRule="auto"/>
              <w:jc w:val="left"/>
            </w:pPr>
            <w:r>
              <w:rPr/>
              <w:t xml:space="preserve">413,2</w:t>
            </w:r>
          </w:p>
        </w:tc>
        <w:tc>
          <w:tcPr>
            <w:tcBorders>
              <w:bottom w:val="single" w:sz="8" w:space="0" w:color="000000"/>
              <w:right w:val="single" w:sz="8" w:space="0" w:color="000000"/>
            </w:tcBorders>
            <w:vAlign w:val="center"/>
          </w:tcPr>
          <w:p>
            <w:pPr>
              <w:spacing w:lineRule="auto"/>
              <w:jc w:val="left"/>
            </w:pPr>
            <w:r>
              <w:rPr/>
              <w:t xml:space="preserve">172,2</w:t>
            </w:r>
          </w:p>
        </w:tc>
        <w:tc>
          <w:tcPr>
            <w:tcBorders>
              <w:bottom w:val="single" w:sz="8" w:space="0" w:color="000000"/>
              <w:right w:val="single" w:sz="8" w:space="0" w:color="000000"/>
            </w:tcBorders>
            <w:vAlign w:val="center"/>
          </w:tcPr>
          <w:p>
            <w:pPr>
              <w:spacing w:lineRule="auto"/>
              <w:jc w:val="left"/>
            </w:pPr>
            <w:r>
              <w:rPr/>
              <w:t xml:space="preserve">1,141</w:t>
            </w:r>
          </w:p>
        </w:tc>
        <w:tc>
          <w:tcPr>
            <w:tcBorders>
              <w:bottom w:val="single" w:sz="8" w:space="0" w:color="000000"/>
              <w:right w:val="single" w:sz="8" w:space="0" w:color="000000"/>
            </w:tcBorders>
            <w:vAlign w:val="center"/>
          </w:tcPr>
          <w:p>
            <w:pPr>
              <w:spacing w:lineRule="auto"/>
              <w:jc w:val="left"/>
            </w:pPr>
            <w:r>
              <w:rPr/>
              <w:t xml:space="preserve">1,709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35,0</w:t>
            </w:r>
          </w:p>
        </w:tc>
        <w:tc>
          <w:tcPr>
            <w:tcBorders>
              <w:bottom w:val="single" w:sz="8" w:space="0" w:color="000000"/>
              <w:right w:val="single" w:sz="8" w:space="0" w:color="000000"/>
            </w:tcBorders>
            <w:vAlign w:val="center"/>
          </w:tcPr>
          <w:p>
            <w:pPr>
              <w:spacing w:lineRule="auto"/>
              <w:jc w:val="left"/>
            </w:pPr>
            <w:r>
              <w:rPr/>
              <w:t xml:space="preserve">8,8626</w:t>
            </w:r>
          </w:p>
        </w:tc>
        <w:tc>
          <w:tcPr>
            <w:tcBorders>
              <w:bottom w:val="single" w:sz="8" w:space="0" w:color="000000"/>
              <w:right w:val="single" w:sz="8" w:space="0" w:color="000000"/>
            </w:tcBorders>
            <w:vAlign w:val="center"/>
          </w:tcPr>
          <w:p>
            <w:pPr>
              <w:spacing w:lineRule="auto"/>
              <w:jc w:val="left"/>
            </w:pPr>
            <w:r>
              <w:rPr/>
              <w:t xml:space="preserve">0,857</w:t>
            </w:r>
          </w:p>
        </w:tc>
        <w:tc>
          <w:tcPr>
            <w:tcBorders>
              <w:bottom w:val="single" w:sz="8" w:space="0" w:color="000000"/>
              <w:right w:val="single" w:sz="8" w:space="0" w:color="000000"/>
            </w:tcBorders>
            <w:vAlign w:val="center"/>
          </w:tcPr>
          <w:p>
            <w:pPr>
              <w:spacing w:lineRule="auto"/>
              <w:jc w:val="left"/>
            </w:pPr>
            <w:r>
              <w:rPr/>
              <w:t xml:space="preserve">22,927</w:t>
            </w:r>
          </w:p>
        </w:tc>
        <w:tc>
          <w:tcPr>
            <w:tcBorders>
              <w:bottom w:val="single" w:sz="8" w:space="0" w:color="000000"/>
              <w:right w:val="single" w:sz="8" w:space="0" w:color="000000"/>
            </w:tcBorders>
            <w:vAlign w:val="center"/>
          </w:tcPr>
          <w:p>
            <w:pPr>
              <w:spacing w:lineRule="auto"/>
              <w:jc w:val="left"/>
            </w:pPr>
            <w:r>
              <w:rPr/>
              <w:t xml:space="preserve">1,1673</w:t>
            </w:r>
          </w:p>
        </w:tc>
        <w:tc>
          <w:tcPr>
            <w:tcBorders>
              <w:bottom w:val="single" w:sz="8" w:space="0" w:color="000000"/>
              <w:right w:val="single" w:sz="8" w:space="0" w:color="000000"/>
            </w:tcBorders>
            <w:vAlign w:val="center"/>
          </w:tcPr>
          <w:p>
            <w:pPr>
              <w:spacing w:lineRule="auto"/>
              <w:jc w:val="left"/>
            </w:pPr>
            <w:r>
              <w:rPr/>
              <w:t xml:space="preserve">43,617</w:t>
            </w:r>
          </w:p>
        </w:tc>
        <w:tc>
          <w:tcPr>
            <w:tcBorders>
              <w:bottom w:val="single" w:sz="8" w:space="0" w:color="000000"/>
              <w:right w:val="single" w:sz="8" w:space="0" w:color="000000"/>
            </w:tcBorders>
            <w:vAlign w:val="center"/>
          </w:tcPr>
          <w:p>
            <w:pPr>
              <w:spacing w:lineRule="auto"/>
              <w:jc w:val="left"/>
            </w:pPr>
            <w:r>
              <w:rPr/>
              <w:t xml:space="preserve">248,1</w:t>
            </w:r>
          </w:p>
        </w:tc>
        <w:tc>
          <w:tcPr>
            <w:tcBorders>
              <w:bottom w:val="single" w:sz="8" w:space="0" w:color="000000"/>
              <w:right w:val="single" w:sz="8" w:space="0" w:color="000000"/>
            </w:tcBorders>
            <w:vAlign w:val="center"/>
          </w:tcPr>
          <w:p>
            <w:pPr>
              <w:spacing w:lineRule="auto"/>
              <w:jc w:val="left"/>
            </w:pPr>
            <w:r>
              <w:rPr/>
              <w:t xml:space="preserve">415,6</w:t>
            </w:r>
          </w:p>
        </w:tc>
        <w:tc>
          <w:tcPr>
            <w:tcBorders>
              <w:bottom w:val="single" w:sz="8" w:space="0" w:color="000000"/>
              <w:right w:val="single" w:sz="8" w:space="0" w:color="000000"/>
            </w:tcBorders>
            <w:vAlign w:val="center"/>
          </w:tcPr>
          <w:p>
            <w:pPr>
              <w:spacing w:lineRule="auto"/>
              <w:jc w:val="left"/>
            </w:pPr>
            <w:r>
              <w:rPr/>
              <w:t xml:space="preserve">167,4</w:t>
            </w:r>
          </w:p>
        </w:tc>
        <w:tc>
          <w:tcPr>
            <w:tcBorders>
              <w:bottom w:val="single" w:sz="8" w:space="0" w:color="000000"/>
              <w:right w:val="single" w:sz="8" w:space="0" w:color="000000"/>
            </w:tcBorders>
            <w:vAlign w:val="center"/>
          </w:tcPr>
          <w:p>
            <w:pPr>
              <w:spacing w:lineRule="auto"/>
              <w:jc w:val="left"/>
            </w:pPr>
            <w:r>
              <w:rPr/>
              <w:t xml:space="preserve">1,164</w:t>
            </w:r>
          </w:p>
        </w:tc>
        <w:tc>
          <w:tcPr>
            <w:tcBorders>
              <w:bottom w:val="single" w:sz="8" w:space="0" w:color="000000"/>
              <w:right w:val="single" w:sz="8" w:space="0" w:color="000000"/>
            </w:tcBorders>
            <w:vAlign w:val="center"/>
          </w:tcPr>
          <w:p>
            <w:pPr>
              <w:spacing w:lineRule="auto"/>
              <w:jc w:val="left"/>
            </w:pPr>
            <w:r>
              <w:rPr/>
              <w:t xml:space="preserve">1,707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40,0</w:t>
            </w:r>
          </w:p>
        </w:tc>
        <w:tc>
          <w:tcPr>
            <w:tcBorders>
              <w:bottom w:val="single" w:sz="8" w:space="0" w:color="000000"/>
              <w:right w:val="single" w:sz="8" w:space="0" w:color="000000"/>
            </w:tcBorders>
            <w:vAlign w:val="center"/>
          </w:tcPr>
          <w:p>
            <w:pPr>
              <w:spacing w:lineRule="auto"/>
              <w:jc w:val="left"/>
            </w:pPr>
            <w:r>
              <w:rPr/>
              <w:t xml:space="preserve">10,1593</w:t>
            </w:r>
          </w:p>
        </w:tc>
        <w:tc>
          <w:tcPr>
            <w:tcBorders>
              <w:bottom w:val="single" w:sz="8" w:space="0" w:color="000000"/>
              <w:right w:val="single" w:sz="8" w:space="0" w:color="000000"/>
            </w:tcBorders>
            <w:vAlign w:val="center"/>
          </w:tcPr>
          <w:p>
            <w:pPr>
              <w:spacing w:lineRule="auto"/>
              <w:jc w:val="left"/>
            </w:pPr>
            <w:r>
              <w:rPr/>
              <w:t xml:space="preserve">0,872</w:t>
            </w:r>
          </w:p>
        </w:tc>
        <w:tc>
          <w:tcPr>
            <w:tcBorders>
              <w:bottom w:val="single" w:sz="8" w:space="0" w:color="000000"/>
              <w:right w:val="single" w:sz="8" w:space="0" w:color="000000"/>
            </w:tcBorders>
            <w:vAlign w:val="center"/>
          </w:tcPr>
          <w:p>
            <w:pPr>
              <w:spacing w:lineRule="auto"/>
              <w:jc w:val="left"/>
            </w:pPr>
            <w:r>
              <w:rPr/>
              <w:t xml:space="preserve">19,876</w:t>
            </w:r>
          </w:p>
        </w:tc>
        <w:tc>
          <w:tcPr>
            <w:tcBorders>
              <w:bottom w:val="single" w:sz="8" w:space="0" w:color="000000"/>
              <w:right w:val="single" w:sz="8" w:space="0" w:color="000000"/>
            </w:tcBorders>
            <w:vAlign w:val="center"/>
          </w:tcPr>
          <w:p>
            <w:pPr>
              <w:spacing w:lineRule="auto"/>
              <w:jc w:val="left"/>
            </w:pPr>
            <w:r>
              <w:rPr/>
              <w:t xml:space="preserve">1,1465</w:t>
            </w:r>
          </w:p>
        </w:tc>
        <w:tc>
          <w:tcPr>
            <w:tcBorders>
              <w:bottom w:val="single" w:sz="8" w:space="0" w:color="000000"/>
              <w:right w:val="single" w:sz="8" w:space="0" w:color="000000"/>
            </w:tcBorders>
            <w:vAlign w:val="center"/>
          </w:tcPr>
          <w:p>
            <w:pPr>
              <w:spacing w:lineRule="auto"/>
              <w:jc w:val="left"/>
            </w:pPr>
            <w:r>
              <w:rPr/>
              <w:t xml:space="preserve">50,313</w:t>
            </w:r>
          </w:p>
        </w:tc>
        <w:tc>
          <w:tcPr>
            <w:tcBorders>
              <w:bottom w:val="single" w:sz="8" w:space="0" w:color="000000"/>
              <w:right w:val="single" w:sz="8" w:space="0" w:color="000000"/>
            </w:tcBorders>
            <w:vAlign w:val="center"/>
          </w:tcPr>
          <w:p>
            <w:pPr>
              <w:spacing w:lineRule="auto"/>
              <w:jc w:val="left"/>
            </w:pPr>
            <w:r>
              <w:rPr/>
              <w:t xml:space="preserve">255,4</w:t>
            </w:r>
          </w:p>
        </w:tc>
        <w:tc>
          <w:tcPr>
            <w:tcBorders>
              <w:bottom w:val="single" w:sz="8" w:space="0" w:color="000000"/>
              <w:right w:val="single" w:sz="8" w:space="0" w:color="000000"/>
            </w:tcBorders>
            <w:vAlign w:val="center"/>
          </w:tcPr>
          <w:p>
            <w:pPr>
              <w:spacing w:lineRule="auto"/>
              <w:jc w:val="left"/>
            </w:pPr>
            <w:r>
              <w:rPr/>
              <w:t xml:space="preserve">417,8</w:t>
            </w:r>
          </w:p>
        </w:tc>
        <w:tc>
          <w:tcPr>
            <w:tcBorders>
              <w:bottom w:val="single" w:sz="8" w:space="0" w:color="000000"/>
              <w:right w:val="single" w:sz="8" w:space="0" w:color="000000"/>
            </w:tcBorders>
            <w:vAlign w:val="center"/>
          </w:tcPr>
          <w:p>
            <w:pPr>
              <w:spacing w:lineRule="auto"/>
              <w:jc w:val="left"/>
            </w:pPr>
            <w:r>
              <w:rPr/>
              <w:t xml:space="preserve">162,4</w:t>
            </w:r>
          </w:p>
        </w:tc>
        <w:tc>
          <w:tcPr>
            <w:tcBorders>
              <w:bottom w:val="single" w:sz="8" w:space="0" w:color="000000"/>
              <w:right w:val="single" w:sz="8" w:space="0" w:color="000000"/>
            </w:tcBorders>
            <w:vAlign w:val="center"/>
          </w:tcPr>
          <w:p>
            <w:pPr>
              <w:spacing w:lineRule="auto"/>
              <w:jc w:val="left"/>
            </w:pPr>
            <w:r>
              <w:rPr/>
              <w:t xml:space="preserve">1,187</w:t>
            </w:r>
          </w:p>
        </w:tc>
        <w:tc>
          <w:tcPr>
            <w:tcBorders>
              <w:bottom w:val="single" w:sz="8" w:space="0" w:color="000000"/>
              <w:right w:val="single" w:sz="8" w:space="0" w:color="000000"/>
            </w:tcBorders>
            <w:vAlign w:val="center"/>
          </w:tcPr>
          <w:p>
            <w:pPr>
              <w:spacing w:lineRule="auto"/>
              <w:jc w:val="left"/>
            </w:pPr>
            <w:r>
              <w:rPr/>
              <w:t xml:space="preserve">1,706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45,0</w:t>
            </w:r>
          </w:p>
        </w:tc>
        <w:tc>
          <w:tcPr>
            <w:tcBorders>
              <w:bottom w:val="single" w:sz="8" w:space="0" w:color="000000"/>
              <w:right w:val="single" w:sz="8" w:space="0" w:color="000000"/>
            </w:tcBorders>
            <w:vAlign w:val="center"/>
          </w:tcPr>
          <w:p>
            <w:pPr>
              <w:spacing w:lineRule="auto"/>
              <w:jc w:val="left"/>
            </w:pPr>
            <w:r>
              <w:rPr/>
              <w:t xml:space="preserve">11,5939</w:t>
            </w:r>
          </w:p>
        </w:tc>
        <w:tc>
          <w:tcPr>
            <w:tcBorders>
              <w:bottom w:val="single" w:sz="8" w:space="0" w:color="000000"/>
              <w:right w:val="single" w:sz="8" w:space="0" w:color="000000"/>
            </w:tcBorders>
            <w:vAlign w:val="center"/>
          </w:tcPr>
          <w:p>
            <w:pPr>
              <w:spacing w:lineRule="auto"/>
              <w:jc w:val="left"/>
            </w:pPr>
            <w:r>
              <w:rPr/>
              <w:t xml:space="preserve">0,889</w:t>
            </w:r>
          </w:p>
        </w:tc>
        <w:tc>
          <w:tcPr>
            <w:tcBorders>
              <w:bottom w:val="single" w:sz="8" w:space="0" w:color="000000"/>
              <w:right w:val="single" w:sz="8" w:space="0" w:color="000000"/>
            </w:tcBorders>
            <w:vAlign w:val="center"/>
          </w:tcPr>
          <w:p>
            <w:pPr>
              <w:spacing w:lineRule="auto"/>
              <w:jc w:val="left"/>
            </w:pPr>
            <w:r>
              <w:rPr/>
              <w:t xml:space="preserve">17,268</w:t>
            </w:r>
          </w:p>
        </w:tc>
        <w:tc>
          <w:tcPr>
            <w:tcBorders>
              <w:bottom w:val="single" w:sz="8" w:space="0" w:color="000000"/>
              <w:right w:val="single" w:sz="8" w:space="0" w:color="000000"/>
            </w:tcBorders>
            <w:vAlign w:val="center"/>
          </w:tcPr>
          <w:p>
            <w:pPr>
              <w:spacing w:lineRule="auto"/>
              <w:jc w:val="left"/>
            </w:pPr>
            <w:r>
              <w:rPr/>
              <w:t xml:space="preserve">1,1248</w:t>
            </w:r>
          </w:p>
        </w:tc>
        <w:tc>
          <w:tcPr>
            <w:tcBorders>
              <w:bottom w:val="single" w:sz="8" w:space="0" w:color="000000"/>
              <w:right w:val="single" w:sz="8" w:space="0" w:color="000000"/>
            </w:tcBorders>
            <w:vAlign w:val="center"/>
          </w:tcPr>
          <w:p>
            <w:pPr>
              <w:spacing w:lineRule="auto"/>
              <w:jc w:val="left"/>
            </w:pPr>
            <w:r>
              <w:rPr/>
              <w:t xml:space="preserve">57,911</w:t>
            </w:r>
          </w:p>
        </w:tc>
        <w:tc>
          <w:tcPr>
            <w:tcBorders>
              <w:bottom w:val="single" w:sz="8" w:space="0" w:color="000000"/>
              <w:right w:val="single" w:sz="8" w:space="0" w:color="000000"/>
            </w:tcBorders>
            <w:vAlign w:val="center"/>
          </w:tcPr>
          <w:p>
            <w:pPr>
              <w:spacing w:lineRule="auto"/>
              <w:jc w:val="left"/>
            </w:pPr>
            <w:r>
              <w:rPr/>
              <w:t xml:space="preserve">262,9</w:t>
            </w:r>
          </w:p>
        </w:tc>
        <w:tc>
          <w:tcPr>
            <w:tcBorders>
              <w:bottom w:val="single" w:sz="8" w:space="0" w:color="000000"/>
              <w:right w:val="single" w:sz="8" w:space="0" w:color="000000"/>
            </w:tcBorders>
            <w:vAlign w:val="center"/>
          </w:tcPr>
          <w:p>
            <w:pPr>
              <w:spacing w:lineRule="auto"/>
              <w:jc w:val="left"/>
            </w:pPr>
            <w:r>
              <w:rPr/>
              <w:t xml:space="preserve">419,9</w:t>
            </w:r>
          </w:p>
        </w:tc>
        <w:tc>
          <w:tcPr>
            <w:tcBorders>
              <w:bottom w:val="single" w:sz="8" w:space="0" w:color="000000"/>
              <w:right w:val="single" w:sz="8" w:space="0" w:color="000000"/>
            </w:tcBorders>
            <w:vAlign w:val="center"/>
          </w:tcPr>
          <w:p>
            <w:pPr>
              <w:spacing w:lineRule="auto"/>
              <w:jc w:val="left"/>
            </w:pPr>
            <w:r>
              <w:rPr/>
              <w:t xml:space="preserve">157,0</w:t>
            </w:r>
          </w:p>
        </w:tc>
        <w:tc>
          <w:tcPr>
            <w:tcBorders>
              <w:bottom w:val="single" w:sz="8" w:space="0" w:color="000000"/>
              <w:right w:val="single" w:sz="8" w:space="0" w:color="000000"/>
            </w:tcBorders>
            <w:vAlign w:val="center"/>
          </w:tcPr>
          <w:p>
            <w:pPr>
              <w:spacing w:lineRule="auto"/>
              <w:jc w:val="left"/>
            </w:pPr>
            <w:r>
              <w:rPr/>
              <w:t xml:space="preserve">1,210</w:t>
            </w:r>
          </w:p>
        </w:tc>
        <w:tc>
          <w:tcPr>
            <w:tcBorders>
              <w:bottom w:val="single" w:sz="8" w:space="0" w:color="000000"/>
              <w:right w:val="single" w:sz="8" w:space="0" w:color="000000"/>
            </w:tcBorders>
            <w:vAlign w:val="center"/>
          </w:tcPr>
          <w:p>
            <w:pPr>
              <w:spacing w:lineRule="auto"/>
              <w:jc w:val="left"/>
            </w:pPr>
            <w:r>
              <w:rPr/>
              <w:t xml:space="preserve">1,704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50,0</w:t>
            </w:r>
          </w:p>
        </w:tc>
        <w:tc>
          <w:tcPr>
            <w:tcBorders>
              <w:bottom w:val="single" w:sz="8" w:space="0" w:color="000000"/>
              <w:right w:val="single" w:sz="8" w:space="0" w:color="000000"/>
            </w:tcBorders>
            <w:vAlign w:val="center"/>
          </w:tcPr>
          <w:p>
            <w:pPr>
              <w:spacing w:lineRule="auto"/>
              <w:jc w:val="left"/>
            </w:pPr>
            <w:r>
              <w:rPr/>
              <w:t xml:space="preserve">13,1757</w:t>
            </w:r>
          </w:p>
        </w:tc>
        <w:tc>
          <w:tcPr>
            <w:tcBorders>
              <w:bottom w:val="single" w:sz="8" w:space="0" w:color="000000"/>
              <w:right w:val="single" w:sz="8" w:space="0" w:color="000000"/>
            </w:tcBorders>
            <w:vAlign w:val="center"/>
          </w:tcPr>
          <w:p>
            <w:pPr>
              <w:spacing w:lineRule="auto"/>
              <w:jc w:val="left"/>
            </w:pPr>
            <w:r>
              <w:rPr/>
              <w:t xml:space="preserve">0,907</w:t>
            </w:r>
          </w:p>
        </w:tc>
        <w:tc>
          <w:tcPr>
            <w:tcBorders>
              <w:bottom w:val="single" w:sz="8" w:space="0" w:color="000000"/>
              <w:right w:val="single" w:sz="8" w:space="0" w:color="000000"/>
            </w:tcBorders>
            <w:vAlign w:val="center"/>
          </w:tcPr>
          <w:p>
            <w:pPr>
              <w:spacing w:lineRule="auto"/>
              <w:jc w:val="left"/>
            </w:pPr>
            <w:r>
              <w:rPr/>
              <w:t xml:space="preserve">15,026</w:t>
            </w:r>
          </w:p>
        </w:tc>
        <w:tc>
          <w:tcPr>
            <w:tcBorders>
              <w:bottom w:val="single" w:sz="8" w:space="0" w:color="000000"/>
              <w:right w:val="single" w:sz="8" w:space="0" w:color="000000"/>
            </w:tcBorders>
            <w:vAlign w:val="center"/>
          </w:tcPr>
          <w:p>
            <w:pPr>
              <w:spacing w:lineRule="auto"/>
              <w:jc w:val="left"/>
            </w:pPr>
            <w:r>
              <w:rPr/>
              <w:t xml:space="preserve">1,1019</w:t>
            </w:r>
          </w:p>
        </w:tc>
        <w:tc>
          <w:tcPr>
            <w:tcBorders>
              <w:bottom w:val="single" w:sz="8" w:space="0" w:color="000000"/>
              <w:right w:val="single" w:sz="8" w:space="0" w:color="000000"/>
            </w:tcBorders>
            <w:vAlign w:val="center"/>
          </w:tcPr>
          <w:p>
            <w:pPr>
              <w:spacing w:lineRule="auto"/>
              <w:jc w:val="left"/>
            </w:pPr>
            <w:r>
              <w:rPr/>
              <w:t xml:space="preserve">66,551</w:t>
            </w:r>
          </w:p>
        </w:tc>
        <w:tc>
          <w:tcPr>
            <w:tcBorders>
              <w:bottom w:val="single" w:sz="8" w:space="0" w:color="000000"/>
              <w:right w:val="single" w:sz="8" w:space="0" w:color="000000"/>
            </w:tcBorders>
            <w:vAlign w:val="center"/>
          </w:tcPr>
          <w:p>
            <w:pPr>
              <w:spacing w:lineRule="auto"/>
              <w:jc w:val="left"/>
            </w:pPr>
            <w:r>
              <w:rPr/>
              <w:t xml:space="preserve">270,5</w:t>
            </w:r>
          </w:p>
        </w:tc>
        <w:tc>
          <w:tcPr>
            <w:tcBorders>
              <w:bottom w:val="single" w:sz="8" w:space="0" w:color="000000"/>
              <w:right w:val="single" w:sz="8" w:space="0" w:color="000000"/>
            </w:tcBorders>
            <w:vAlign w:val="center"/>
          </w:tcPr>
          <w:p>
            <w:pPr>
              <w:spacing w:lineRule="auto"/>
              <w:jc w:val="left"/>
            </w:pPr>
            <w:r>
              <w:rPr/>
              <w:t xml:space="preserve">421,9</w:t>
            </w:r>
          </w:p>
        </w:tc>
        <w:tc>
          <w:tcPr>
            <w:tcBorders>
              <w:bottom w:val="single" w:sz="8" w:space="0" w:color="000000"/>
              <w:right w:val="single" w:sz="8" w:space="0" w:color="000000"/>
            </w:tcBorders>
            <w:vAlign w:val="center"/>
          </w:tcPr>
          <w:p>
            <w:pPr>
              <w:spacing w:lineRule="auto"/>
              <w:jc w:val="left"/>
            </w:pPr>
            <w:r>
              <w:rPr/>
              <w:t xml:space="preserve">151,3</w:t>
            </w:r>
          </w:p>
        </w:tc>
        <w:tc>
          <w:tcPr>
            <w:tcBorders>
              <w:bottom w:val="single" w:sz="8" w:space="0" w:color="000000"/>
              <w:right w:val="single" w:sz="8" w:space="0" w:color="000000"/>
            </w:tcBorders>
            <w:vAlign w:val="center"/>
          </w:tcPr>
          <w:p>
            <w:pPr>
              <w:spacing w:lineRule="auto"/>
              <w:jc w:val="left"/>
            </w:pPr>
            <w:r>
              <w:rPr/>
              <w:t xml:space="preserve">1,234</w:t>
            </w:r>
          </w:p>
        </w:tc>
        <w:tc>
          <w:tcPr>
            <w:tcBorders>
              <w:bottom w:val="single" w:sz="8" w:space="0" w:color="000000"/>
              <w:right w:val="single" w:sz="8" w:space="0" w:color="000000"/>
            </w:tcBorders>
            <w:vAlign w:val="center"/>
          </w:tcPr>
          <w:p>
            <w:pPr>
              <w:spacing w:lineRule="auto"/>
              <w:jc w:val="left"/>
            </w:pPr>
            <w:r>
              <w:rPr/>
              <w:t xml:space="preserve">1,702</w:t>
            </w:r>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decimal"/>
      <w:lvlText w:val="%1."/>
      <w:lvlJc w:val="left"/>
      <w:pPr>
        <w:tabs>
          <w:tab w:val="num" w:pos="1080"/>
        </w:tabs>
        <w:ind w:left="720" w:hanging="360"/>
      </w:p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41"/>
      <w:numFmt w:val="decimal"/>
      <w:lvlText w:val="%1."/>
      <w:lvlJc w:val="left"/>
      <w:pPr>
        <w:tabs>
          <w:tab w:val="num" w:pos="1080"/>
        </w:tabs>
        <w:ind w:left="720" w:hanging="360"/>
      </w:pPr>
    </w:lvl>
  </w:abstractNum>
  <w:abstractNum w:abstractNumId="4">
    <w:multiLevelType w:val="hybridMultilevel"/>
    <w:lvl w:ilvl="0">
      <w:start w:val="1"/>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0383bac0d755f2ccabb4b34a45b526f8052fecd.jpg" TargetMode="Internal"/><Relationship Id="rId6" Type="http://schemas.openxmlformats.org/officeDocument/2006/relationships/image" Target="media/image-f38fbb029932b114749529a8a7fb61b42459d56d.jpg" TargetMode="Internal"/><Relationship Id="rId7" Type="http://schemas.openxmlformats.org/officeDocument/2006/relationships/image" Target="media/image-dfb101ab9e7d3faf8e60b55599580ead9f045bc2.jpg" TargetMode="Internal"/><Relationship Id="rId8" Type="http://schemas.openxmlformats.org/officeDocument/2006/relationships/image" Target="media/image-3e17792c23aedb4ede06e40a107c3cab8181bb63.jpg" TargetMode="Internal"/><Relationship Id="rId9" Type="http://schemas.openxmlformats.org/officeDocument/2006/relationships/image" Target="media/image-22875b9b955b700c6226c54d411ea89492f33cde.jpg" TargetMode="Internal"/><Relationship Id="rId10" Type="http://schemas.openxmlformats.org/officeDocument/2006/relationships/image" Target="media/image-f6aaa4ad85028eb9c675c26929b5fafeb058864d.jpg" TargetMode="Internal"/><Relationship Id="rId11" Type="http://schemas.openxmlformats.org/officeDocument/2006/relationships/image" Target="media/image-65fd8a8e215d73af9344427a4ee1ee7a6a63cb42.jpg" TargetMode="Internal"/><Relationship Id="rId12" Type="http://schemas.openxmlformats.org/officeDocument/2006/relationships/image" Target="media/image-1f6fe4801f8177cb8ca5b954d8f1b6e9a5715bd1.jpg" TargetMode="Internal"/><Relationship Id="rId13" Type="http://schemas.openxmlformats.org/officeDocument/2006/relationships/image" Target="media/image-88fe86043704d9e1d63ddcc4bbbb6dda4f392d0c.jpg" TargetMode="Internal"/><Relationship Id="rId14" Type="http://schemas.openxmlformats.org/officeDocument/2006/relationships/image" Target="media/image-626028ef8c4a879343490bf57aa9ea0437d74072.jpg" TargetMode="Internal"/><Relationship Id="rId15" Type="http://schemas.openxmlformats.org/officeDocument/2006/relationships/image" Target="media/image-ec4c6116b668a82879f5317b43a594d1d7f4887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2025-09-04T20:40:19.463Z</dcterms:created>
  <dcterms:modified xsi:type="dcterms:W3CDTF">2025-09-04T20:40:19.463Z</dcterms:modified>
</cp:coreProperties>
</file>