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="288" w:after="220" w:lineRule="auto"/>
        <w:jc w:val="center"/>
      </w:pPr>
      <w:bookmarkStart w:id="1" w:name="mathematiques_option_économique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Option économique</w:t>
      </w:r>
      <w:bookmarkEnd w:id="1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Mercredi 3 mai 2000,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2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2"/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l'ensemble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des réels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f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(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sa courbe représentative dans un repère orthonormé ( </w:t>
      </w:r>
      <m:oMath>
        <m:r>
          <m:rPr>
            <m:sty m:val="p"/>
          </m:rPr>
          <m:t>O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2) a. Étudier les variations de </w:t>
      </w:r>
      <m:oMath>
        <m:r>
          <m:rPr>
            <m:sty m:val="i"/>
          </m:rPr>
          <m:t>f</m:t>
        </m:r>
      </m:oMath>
      <w:r>
        <w:rPr/>
        <w:t xml:space="preserve"> et donner les limites de </w:t>
      </w:r>
      <m:oMath>
        <m:r>
          <m:rPr>
            <m:sty m:val="i"/>
          </m:rPr>
          <m:t>f</m:t>
        </m:r>
      </m:oMath>
      <w:r>
        <w:rPr/>
        <w:t xml:space="preserve"> aux bornes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l'existence d'un unique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donner la valeur exacte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le coefficient directeur de la tangente (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) à la courbe ( </w:t>
      </w:r>
      <m:oMath>
        <m:r>
          <m:rPr>
            <m:sty m:val="i"/>
          </m:rPr>
          <m:t>C</m:t>
        </m:r>
      </m:oMath>
      <w:r>
        <w:rPr/>
        <w:t xml:space="preserve"> ) au point d'abscisse </w:t>
      </w:r>
      <m:oMath>
        <m:r>
          <m:rPr>
            <m:sty m:val="i"/>
          </m:rPr>
          <m:t>α</m:t>
        </m:r>
      </m:oMath>
      <w:r>
        <w:rPr/>
        <w:t xml:space="preserve"> vaut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5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3) a.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l'équation de l'asymptote (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) à la courbe ( </w:t>
      </w:r>
      <m:oMath>
        <m:r>
          <m:rPr>
            <m:sty m:val="i"/>
          </m:rPr>
          <m:t>C</m:t>
        </m:r>
      </m:oMath>
      <w:r>
        <w:rPr/>
        <w:t xml:space="preserve"> )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c. Donner la position relative de ( </w:t>
      </w:r>
      <m:oMath>
        <m:r>
          <m:rPr>
            <m:sty m:val="p"/>
          </m:rPr>
          <m:t>Δ</m:t>
        </m:r>
      </m:oMath>
      <w:r>
        <w:rPr/>
        <w:t xml:space="preserve"> ) et ( </w:t>
      </w:r>
      <m:oMath>
        <m:r>
          <m:rPr>
            <m:sty m:val="i"/>
          </m:rPr>
          <m:t>C</m:t>
        </m:r>
      </m:oMath>
      <w:r>
        <w:rPr/>
        <w:t xml:space="preserve"> ).</w:t>
      </w:r>
      <w:r>
        <w:rPr/>
        <w:br w:type="textWrapping"/>
      </w:r>
      <w:r>
        <w:rPr/>
        <w:t xml:space="preserve">4) Donner l'allure de la courbe ( </w:t>
      </w:r>
      <m:oMath>
        <m:r>
          <m:rPr>
            <m:sty m:val="i"/>
          </m:rPr>
          <m:t>C</m:t>
        </m:r>
      </m:oMath>
      <w:r>
        <w:rPr/>
        <w:t xml:space="preserve"> ) en faisant figurer les droites ( </w:t>
      </w:r>
      <m:oMath>
        <m:r>
          <m:rPr>
            <m:sty m:val="p"/>
          </m:rPr>
          <m:t>Δ</m:t>
        </m:r>
      </m:oMath>
      <w:r>
        <w:rPr/>
        <w:t xml:space="preserve"> ) et ( </w:t>
      </w:r>
      <m:oMath>
        <m:r>
          <m:rPr>
            <m:sty m:val="i"/>
          </m:rPr>
          <m:t>T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On admettra que </w:t>
      </w:r>
      <m:oMath>
        <m:r>
          <m:rPr>
            <m:sty m:val="i"/>
          </m:rPr>
          <m:t>α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 et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5</m:t>
            </m:r>
          </m:e>
        </m:rad>
        <m:r>
          <m:rPr>
            <m:sty m:val="p"/>
          </m:rPr>
          <m:t>≃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la fonction définie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λ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a.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Après avoir calculé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λ</m:t>
        </m:r>
      </m:oMath>
      <w:r>
        <w:rPr/>
        <w:t xml:space="preserve"> en fonction de </w:t>
      </w:r>
      <m:oMath>
        <m:r>
          <m:rPr>
            <m:sty m:val="i"/>
          </m:rPr>
          <m:t>α</m:t>
        </m:r>
      </m:oMath>
      <w:r>
        <w:rPr/>
        <w:t xml:space="preserve"> pour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soit une densité de probabilité d'une certaine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la fonction de répartition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de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/>
        <w:t xml:space="preserve">Soit la matrice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E</m:t>
        </m:r>
      </m:oMath>
      <w:r>
        <w:rPr/>
        <w:t xml:space="preserve"> est un espace vectoriel.</w:t>
      </w:r>
      <w:r>
        <w:rPr/>
        <w:br w:type="textWrapping"/>
      </w:r>
      <w:r>
        <w:rPr/>
        <w:t xml:space="preserve">b. Montrer par l'absurde qu'aucune matrice de </w:t>
      </w:r>
      <m:oMath>
        <m:r>
          <m:rPr>
            <m:sty m:val="i"/>
          </m:rPr>
          <m:t>E</m:t>
        </m:r>
      </m:oMath>
      <w:r>
        <w:rPr/>
        <w:t xml:space="preserve"> n'est inversible.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i"/>
                    </m:rPr>
                    <m:t>e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</m:e>
                <m:e>
                  <m:r>
                    <m:rPr>
                      <m:sty m:val="i"/>
                    </m:rPr>
                    <m:t>h</m:t>
                  </m:r>
                </m:e>
                <m:e>
                  <m:r>
                    <m:rPr>
                      <m:sty m:val="i"/>
                    </m:rPr>
                    <m:t>k</m:t>
                  </m:r>
                </m:e>
              </m:mr>
            </m:m>
          </m:e>
        </m:d>
      </m:oMath>
      <w:r>
        <w:rPr/>
        <w:t xml:space="preserve"> une matrice </w:t>
      </w:r>
      <m:oMath>
        <m:r>
          <m:rPr>
            <m:sty m:val="p"/>
          </m:rPr>
          <m:t>de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puis en déduire la forme des matrices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b. Retrouver le fait que les matrices de </w:t>
      </w:r>
      <m:oMath>
        <m:r>
          <m:rPr>
            <m:sty m:val="i"/>
          </m:rPr>
          <m:t>E</m:t>
        </m:r>
      </m:oMath>
      <w:r>
        <w:rPr/>
        <w:t xml:space="preserve"> ne sont pas inversibles.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p"/>
          </m:rPr>
          <m:t>dim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ty m:val="i"/>
          </m:rPr>
          <m:t>F</m:t>
        </m:r>
      </m:oMath>
      <w:r>
        <w:rPr/>
        <w:t xml:space="preserve"> des matrices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et donner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Les matrices de </w:t>
      </w:r>
      <m:oMath>
        <m:r>
          <m:rPr>
            <m:sty m:val="i"/>
          </m:rPr>
          <m:t>F</m:t>
        </m:r>
      </m:oMath>
      <w:r>
        <w:rPr/>
        <w:t xml:space="preserve"> sont-elles diagonalisables ?</w:t>
      </w:r>
      <w:r>
        <w:rPr/>
        <w:br w:type="textWrapping"/>
      </w:r>
      <w:r>
        <w:rPr/>
        <w:t xml:space="preserve">c. Dans cette question, on appelle </w:t>
      </w:r>
      <m:oMath>
        <m:r>
          <m:rPr>
            <m:sty m:val="i"/>
          </m:rPr>
          <m:t>U</m:t>
        </m:r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telle que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Trouver les valeurs propres de </w:t>
      </w:r>
      <m:oMath>
        <m:r>
          <m:rPr>
            <m:sty m:val="i"/>
          </m:rPr>
          <m:t>U</m:t>
        </m:r>
      </m:oMath>
      <w:r>
        <w:rPr/>
        <w:t xml:space="preserve"> et exhiber un vecteur colonne propre pour chacune d'entre elles.</w:t>
      </w:r>
      <w:r>
        <w:rPr/>
        <w:br w:type="textWrapping"/>
      </w:r>
      <w:r>
        <w:rPr/>
        <w:t xml:space="preserve">4) On note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à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associe le nombre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l'élément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à l'intersection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de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</w:t>
      </w:r>
      <m:oMath>
        <m:r>
          <m:rPr>
            <m:sty m:val="p"/>
          </m:rPr>
          <m:t>Im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 est de dimension 2 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</m:m>
          </m:e>
        </m:d>
      </m:oMath>
      <w:r>
        <w:rPr/>
        <w:t xml:space="preserve"> une matrice </w:t>
      </w:r>
      <m:oMath>
        <m:r>
          <m:rPr>
            <m:sty m:val="p"/>
          </m:rPr>
          <m:t>de</m:t>
        </m:r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en déduire une base de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9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Montrer que l'équation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n'a qu'une seule solution strictement positive, notée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Vérifier que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 Montrer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 signe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puis les variations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 On note </w:t>
      </w:r>
      <m:oMath>
        <m:r>
          <m:rPr>
            <m:sty m:val="i"/>
          </m:rPr>
          <m:t>ℓ</m:t>
        </m:r>
      </m:oMath>
      <w:r>
        <w:rPr/>
        <w:t xml:space="preserve"> sa limite.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Déterminer la limite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b. Donner enfin la valeur de </w:t>
      </w:r>
      <m:oMath>
        <m:r>
          <m:rPr>
            <m:sty m:val="i"/>
          </m:rPr>
          <m:t>ℓ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</w:p>
    <w:p>
      <w:pPr>
        <w:spacing w:line="271" w:before="330" w:lineRule="auto"/>
      </w:pPr>
      <w:bookmarkStart w:id="6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lance indéfiniment une pièce donnant "Pile" avec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"Face"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on admet que les lancers sont mutuellement indépendants.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supérieur ou égal à 2 , on dit que 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lancer est un changement s'il amène un résultat différent de celui du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lancer.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l'événement : «on obtient "Pile" (resp "Face") au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ème lancer ». Pour ne pas surcharger l'écriture on écrira, par exemple,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la place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changements survenus durant les </w:t>
      </w:r>
      <m:oMath>
        <m:r>
          <m:rPr>
            <m:sty m:val="i"/>
          </m:rPr>
          <m:t>n</m:t>
        </m:r>
      </m:oMath>
      <w:r>
        <w:rPr/>
        <w:t xml:space="preserve"> premiers lancers.</w:t>
      </w:r>
    </w:p>
    <w:p>
      <w:pPr>
        <w:spacing w:line="271" w:before="330" w:lineRule="auto"/>
      </w:pPr>
      <w:bookmarkStart w:id="7" w:name="partie_1_étude_de_quelques_exemples"/>
      <w:r>
        <w:rPr>
          <w:rFonts w:eastAsia="Georgia" w:cs="Georgia" w:ascii="Georgia" w:hAnsi="Georgia"/>
          <w:b/>
          <w:sz w:val="42"/>
        </w:rPr>
        <w:t xml:space="preserve">Partie 1 : étude de quelques exemples.</w:t>
      </w:r>
      <w:bookmarkEnd w:id="7"/>
    </w:p>
    <w:p>
      <w:pPr>
        <w:numPr>
          <w:ilvl w:val="0"/>
          <w:numId w:val="4"/>
        </w:numPr>
        <w:spacing w:lineRule="auto"/>
      </w:pPr>
      <w:r>
        <w:rPr/>
        <w:t xml:space="preserve">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a.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/>
        <w:t xml:space="preserve"> et que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a. Trouver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8" w:name="partie_2_étude_du_cas_p_neq_q"/>
      <w:r>
        <w:rPr>
          <w:rFonts w:eastAsia="Georgia" w:cs="Georgia" w:ascii="Georgia" w:hAnsi="Georgia"/>
          <w:b/>
          <w:sz w:val="42"/>
        </w:rPr>
        <w:t xml:space="preserve">Partie 2 : étude du cas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≠</m:t>
        </m:r>
        <m:r>
          <m:rPr>
            <m:sty m:val="i"/>
          </m:rPr>
          <w:rPr>
            <w:sz w:val="42"/>
          </w:rPr>
          <m:t>q</m:t>
        </m:r>
      </m:oMath>
      <w:r>
        <w:rPr>
          <w:b/>
          <w:sz w:val="42"/>
        </w:rPr>
        <w:t xml:space="preserve">.</w:t>
      </w:r>
      <w:bookmarkEnd w:id="8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</w:p>
    <w:p>
      <w:pPr>
        <w:numPr>
          <w:ilvl w:val="0"/>
          <w:numId w:val="5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décomposant l'événement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en une réunion d'événements incompatibles,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En distinguant les cas </w:t>
      </w:r>
      <m:oMath>
        <m:r>
          <m:rPr>
            <m:sty m:val="i"/>
          </m:rPr>
          <m:t>n</m:t>
        </m:r>
      </m:oMath>
      <w:r>
        <w:rPr/>
        <w:t xml:space="preserve"> pair et </w:t>
      </w:r>
      <m:oMath>
        <m:r>
          <m:rPr>
            <m:sty m:val="i"/>
          </m:rPr>
          <m:t>n</m:t>
        </m:r>
      </m:oMath>
      <w:r>
        <w:rPr/>
        <w:t xml:space="preserve"> impair, exprimer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Retrouver, grâce aux trois questions précédentes, les lois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supérieur ou égal à 2 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si 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lancer est un changement et 0 sinon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donc une variable de Bernoulli). Écrire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certaines des variables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9" w:name="partie_3_étude_du_cas_p_q"/>
      <w:r>
        <w:rPr>
          <w:rFonts w:eastAsia="Georgia" w:cs="Georgia" w:ascii="Georgia" w:hAnsi="Georgia"/>
          <w:b/>
          <w:sz w:val="42"/>
        </w:rPr>
        <w:t xml:space="preserve">Partie 3 : étude du cas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=</m:t>
        </m:r>
        <m:r>
          <m:rPr>
            <m:sty m:val="i"/>
          </m:rPr>
          <w:rPr>
            <w:sz w:val="42"/>
          </w:rPr>
          <m:t>q</m:t>
        </m:r>
      </m:oMath>
      <w:r>
        <w:rPr>
          <w:b/>
          <w:sz w:val="42"/>
        </w:rPr>
        <w:t xml:space="preserve">.</w:t>
      </w:r>
      <w:bookmarkEnd w:id="9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Vérifier, en utilisant les résultats de la partie 1 ,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suivent chacune une loi binomiale.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binomiale dont on donnera les paramètres.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2026-05-03T11:40:39.041Z</dcterms:created>
  <dcterms:modified xsi:type="dcterms:W3CDTF">2026-05-03T11:40:39.041Z</dcterms:modified>
</cp:coreProperties>
</file>