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sujet_mathématiques_2007_option_é_f4870a"/>
      <w:r>
        <w:rPr>
          <w:rFonts w:eastAsia="Georgia" w:cs="Georgia" w:ascii="Georgia" w:hAnsi="Georgia"/>
          <w:b/>
          <w:sz w:val="42"/>
        </w:rPr>
        <w:t xml:space="preserve">SUJET MATHÉMATIQUES 2007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Option Économiques</w:t>
      </w:r>
      <w:bookmarkEnd w:id="0"/>
    </w:p>
    <w:p>
      <w:pPr>
        <w:spacing w:line="271" w:before="330" w:lineRule="auto"/>
      </w:pPr>
      <w:bookmarkStart w:id="1" w:name="exercice_1"/>
      <w:r>
        <w:rPr>
          <w:b/>
          <w:sz w:val="42"/>
        </w:rPr>
        <w:t xml:space="preserve">Exercice 1</w:t>
      </w:r>
      <w:bookmarkEnd w:id="1"/>
    </w:p>
    <w:p>
      <w:pPr>
        <w:spacing w:after="220" w:lineRule="auto"/>
      </w:pP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IR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 transposée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définie de la façon suivante :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alors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rappelle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l'application qui à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associe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+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φ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φ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φ</m:t>
        </m:r>
      </m:oMath>
      <w:r>
        <w:rPr/>
        <w:t xml:space="preserve"> est diagonalisable et non bijectif.</w:t>
      </w:r>
    </w:p>
    <w:p>
      <w:pPr>
        <w:numPr>
          <w:ilvl w:val="0"/>
          <w:numId w:val="1"/>
        </w:numPr>
        <w:spacing w:lineRule="auto"/>
      </w:pPr>
      <w:r>
        <w:rPr/>
        <w:t xml:space="preserve">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</w:t>
      </w:r>
      <m:oMath>
        <m:r>
          <m:rPr>
            <m:sty m:val="p"/>
          </m:rPr>
          <m:t>Im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puis établir que </w:t>
      </w:r>
      <m:oMath>
        <m:r>
          <m:rPr>
            <m:sty m:val="p"/>
          </m:rPr>
          <m:t>dim</m:t>
        </m:r>
        <m:r>
          <m:rPr>
            <m:sty m:val="p"/>
          </m:rPr>
          <m:t>Im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dimension de </w:t>
      </w:r>
      <m:oMath>
        <m:r>
          <m:rPr>
            <m:sty m:val="p"/>
          </m:rPr>
          <m:t>Ker</m:t>
        </m:r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puis déterminer une base de </w:t>
      </w:r>
      <m:oMath>
        <m:r>
          <m:rPr>
            <m:sty m:val="p"/>
          </m:rPr>
          <m:t>Ker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que </w:t>
      </w:r>
      <m:oMath>
        <m:r>
          <m:rPr>
            <m:sty m:val="p"/>
          </m:rPr>
          <m:t>Im</m:t>
        </m:r>
        <m:r>
          <m:rPr>
            <m:sty m:val="i"/>
          </m:rPr>
          <m:t>φ</m:t>
        </m:r>
      </m:oMath>
      <w:r>
        <w:rPr/>
        <w:t xml:space="preserve"> est le sous-espace propre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associé à la valeur propre 2.</w:t>
      </w:r>
      <w:r>
        <w:rPr/>
        <w:br w:type="textWrapping"/>
      </w:r>
      <w:r>
        <w:rPr>
          <w:rFonts w:eastAsia="Georgia" w:cs="Georgia" w:ascii="Georgia" w:hAnsi="Georgia"/>
        </w:rPr>
        <w:t xml:space="preserve">d) Donner, pour résumer, les valeurs propres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ainsi qu'une base de chacun des sous-espaces propres associés.</w:t>
      </w:r>
    </w:p>
    <w:p>
      <w:pPr>
        <w:spacing w:line="271" w:before="330" w:lineRule="auto"/>
      </w:pPr>
      <w:bookmarkStart w:id="2" w:name="exercice_2"/>
      <w:r>
        <w:rPr>
          <w:b/>
          <w:sz w:val="42"/>
        </w:rPr>
        <w:t xml:space="preserve">Exercice 2</w:t>
      </w:r>
      <w:bookmarkEnd w:id="2"/>
    </w:p>
    <w:p>
      <w:pPr>
        <w:spacing w:after="220" w:lineRule="auto"/>
      </w:pPr>
      <w:r>
        <w:rPr/>
        <w:t xml:space="preserve">On admet que, 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variables aléatoires à densité, définies sur le même espace probabilisé, alors leur covariance, si elle existe,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cov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également que 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indépendantes alors leur covariance est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deux variables aléatoires réelles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</m:oMath>
      <w:r>
        <w:rPr/>
        <w:t xml:space="preserve">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indépendantes, </w:t>
      </w:r>
      <m:oMath>
        <m:r>
          <m:rPr>
            <m:sty m:val="i"/>
          </m:rPr>
          <m:t>X</m:t>
        </m:r>
      </m:oMath>
      <w:r>
        <w:rPr/>
        <w:t xml:space="preserve"> suivant la loi normale </w:t>
      </w:r>
      <m:oMath>
        <m:r>
          <m:rPr>
            <m:scr m:val="script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suivant la loi discrète uniforme sur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X</m:t>
        </m:r>
      </m:oMath>
      <w:r>
        <w:rPr/>
        <w:t xml:space="preserve"> et on admet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à densité, définie elle aussi sur l'espace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En utilisant la formule des probabilités totales,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la même loi que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a) Calculer l'espérance de </w:t>
      </w:r>
      <m:oMath>
        <m:r>
          <m:rPr>
            <m:sty m:val="i"/>
          </m:rPr>
          <m:t>U</m:t>
        </m:r>
      </m:oMath>
      <w:r>
        <w:rPr/>
        <w:t xml:space="preserve"> puis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3) a) Rappeler la valeur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Montrer, grâce à une intégration par parties,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4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3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3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 et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 finalement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 moment d'ordre 4 et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a) Vérifier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ne sont pas indépendantes. Montrer alors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ne le sont pas non plus.</w:t>
      </w:r>
      <w:r>
        <w:rPr/>
        <w:br w:type="textWrapping"/>
      </w:r>
      <w:r>
        <w:rPr>
          <w:rFonts w:eastAsia="Georgia" w:cs="Georgia" w:ascii="Georgia" w:hAnsi="Georgia"/>
        </w:rPr>
        <w:t xml:space="preserve">d) Cet exercice a permis de montrer qu'un résultat classique concernant les variables discrètes est encore valable pour les variables à densité. Lequel ?</w:t>
      </w:r>
    </w:p>
    <w:p>
      <w:pPr>
        <w:spacing w:line="271" w:before="330" w:lineRule="auto"/>
      </w:pPr>
      <w:bookmarkStart w:id="3" w:name="exercice_3"/>
      <w:r>
        <w:rPr>
          <w:b/>
          <w:sz w:val="42"/>
        </w:rPr>
        <w:t xml:space="preserve">Exercice 3</w:t>
      </w:r>
      <w:bookmarkEnd w:id="3"/>
    </w:p>
    <w:p>
      <w:pPr>
        <w:numPr>
          <w:ilvl w:val="0"/>
          <w:numId w:val="3"/>
        </w:numPr>
        <w:spacing w:lineRule="auto"/>
      </w:pPr>
      <w:r>
        <w:rPr/>
        <w:t xml:space="preserve">a) Montrer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b) On pose alors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l'ensemble de définition </w:t>
      </w:r>
      <m:oMath>
        <m:r>
          <m:rPr>
            <m:sty m:val="i"/>
          </m:rPr>
          <m:t>D</m:t>
        </m:r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2) a) 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(à droite) en 0 et que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3) a) Justifier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i"/>
          </m:rPr>
          <m:t>D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D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c) Dresser le tableau de variation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Étudier le signe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5)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D</m:t>
        </m:r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puis étudier ses variations.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, puis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lance une pièce équilibrée (la probabilité d'obtenir "pile" et celle d'obtenir "face" étant donc toutes les deux égales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) et on note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égale au rang du lancer où l'on obtient le premier "pile".</w:t>
      </w:r>
      <w:r>
        <w:rPr/>
        <w:br w:type="textWrapping"/>
      </w:r>
      <w:r>
        <w:rPr>
          <w:rFonts w:eastAsia="Georgia" w:cs="Georgia" w:ascii="Georgia" w:hAnsi="Georgia"/>
        </w:rPr>
        <w:t xml:space="preserve">Après cette série de lancers, si </w:t>
      </w:r>
      <m:oMath>
        <m:r>
          <m:rPr>
            <m:sty m:val="i"/>
          </m:rPr>
          <m:t>Z</m:t>
        </m:r>
      </m:oMath>
      <w:r>
        <w:rPr/>
        <w:t xml:space="preserve"> a pris la valeur </w:t>
      </w:r>
      <m:oMath>
        <m:r>
          <m:rPr>
            <m:sty m:val="i"/>
          </m:rPr>
          <m:t>k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, on remplit une urne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boules numérotées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, puis on extrait au hasard une boule de cette urne.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numéro de la boule tirée après la procédure décrite ci-dessus.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décide de coder l'événement «obtenir un "pile" » par 1 et l'événement «obtenir un "face" » par 0 .</w:t>
      </w:r>
      <w:r>
        <w:rPr/>
        <w:br w:type="textWrapping"/>
      </w:r>
      <w:r>
        <w:rPr/>
        <w:t xml:space="preserve">On rappelle que la fonction random renvoie, pour un argument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 type integer (où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désigne un entier supérieur ou égal à 1 ) un entier aléatoire compris entre 0 et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Compléter le programme suivant pour qu'il affiche la valeur prise par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lors de la première partie de l'expérience décrite ci-dessus.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edhec_2007 ;</w:t>
        <w:br/>
        <w:t xml:space="preserve">Var z, hasard : integer ;</w:t>
        <w:br/>
        <w:t xml:space="preserve">Begin</w:t>
        <w:br/>
        <w:t xml:space="preserve">    Randomize ; z := 0 ;</w:t>
        <w:br/>
        <w:t xml:space="preserve">    Repeat z := ........ ; hasard := ........ ; until (hasard = 1);</w:t>
        <w:br/>
        <w:t xml:space="preserve">    Writeln(z) ;</w:t>
        <w:br/>
        <w:t xml:space="preserve">End.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Quelle instruction faut-il rajouter avant la dernière ligne de ce programme pour qu'il simule l'expérience aléatoire décrite dans ce problème et affiche la valeur prise par la variable aléatoire </w:t>
      </w:r>
      <m:oMath>
        <m:r>
          <m:rPr>
            <m:sty m:val="i"/>
          </m:rPr>
          <m:t>X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2) Établir la convergence de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3) Rappeler la loi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ainsi que son espérance et sa variance.</w:t>
      </w:r>
      <w:r>
        <w:rPr/>
        <w:br w:type="textWrapping"/>
      </w:r>
      <w:r>
        <w:rPr/>
        <w:t xml:space="preserve">4) a) Pour tout couple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déterminer la probabilité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On admet, dans cette question,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</m:oMath>
      <w:r>
        <w:rPr>
          <w:rFonts w:eastAsia="Georgia" w:cs="Georgia" w:ascii="Georgia" w:hAnsi="Georgia"/>
        </w:rPr>
        <w:t xml:space="preserve">. Vérifier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a) Montrer que, pour tout entier naturel </w:t>
      </w:r>
      <m:oMath>
        <m:r>
          <m:rPr>
            <m:sty m:val="i"/>
          </m:rPr>
          <m:t>i</m:t>
        </m:r>
      </m:oMath>
      <w:r>
        <w:rPr/>
        <w:t xml:space="preserve"> non nul, on a : </w:t>
      </w:r>
      <m:oMath>
        <m:r>
          <m:rPr>
            <m:sty m:val="i"/>
          </m:rPr>
          <m:t>i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≤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une espérance.</w:t>
      </w:r>
      <w:r>
        <w:rPr/>
        <w:br w:type="textWrapping"/>
      </w:r>
      <w:r>
        <w:rPr/>
        <w:t xml:space="preserve">c) Montrer, en admettant qu'il est licite de permuter les symboles </w:t>
      </w:r>
      <m:oMath>
        <m:r>
          <m:rPr>
            <m:sty m:val="p"/>
          </m:rPr>
          <m:t>Σ</m:t>
        </m:r>
      </m:oMath>
      <w:r>
        <w:rPr/>
        <w:t xml:space="preserve"> comme dans la question 4c),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a) Utiliser le résultat de la question 5a) pour montrer que </w:t>
      </w:r>
      <m:oMath>
        <m:r>
          <m:rPr>
            <m:sty m:val="i"/>
          </m:rPr>
          <m:t>X</m:t>
        </m:r>
      </m:oMath>
      <w:r>
        <w:rPr/>
        <w:t xml:space="preserve"> a un moment d'ordre 2 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alors, toujours en admettant qu'il est licite de permuter les symboles </w:t>
      </w:r>
      <m:oMath>
        <m:r>
          <m:rPr>
            <m:sty m:val="p"/>
          </m:rPr>
          <m:t>Σ</m:t>
        </m:r>
      </m:oMath>
      <w:r>
        <w:rPr/>
        <w:t xml:space="preserve"> comme dans la question 4c), que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Déterminer les réels </w:t>
      </w:r>
      <m:oMath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tels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la valeur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vérifier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11</m:t>
            </m:r>
          </m:num>
          <m:den>
            <m:r>
              <m:rPr>
                <m:sty m:val="p"/>
              </m:rPr>
              <m:t>12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7) a) Écrire l'inégalité de Bienaymé-Chebychev, pour la variable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11</m:t>
            </m:r>
          </m:num>
          <m:den>
            <m:r>
              <m:rPr>
                <m:sty m:val="p"/>
              </m:rPr>
              <m:t>27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8) On se propose dans cette question de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explicitement en fonction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(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désignant un entier naturel non nul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différent de 1 ).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≤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 alors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 puis donner la valeur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Utiliser les résultats précédents pour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donner une valeur approchée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en prenant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</m:t>
        </m:r>
      </m:oMath>
      <w:r>
        <w:rPr>
          <w:rFonts w:eastAsia="Georgia" w:cs="Georgia" w:ascii="Georgia" w:hAnsi="Georgia"/>
        </w:rPr>
        <w:t xml:space="preserve">. Que peut-on en déduire en ce qui concerne le majorant trouvé à la septième question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2026-05-03T11:09:54.258Z</dcterms:created>
  <dcterms:modified xsi:type="dcterms:W3CDTF">2026-05-03T11:09:54.258Z</dcterms:modified>
</cp:coreProperties>
</file>