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preuve_maths_3_voie_économique"/>
      <w:r>
        <w:rPr>
          <w:rFonts w:eastAsia="Georgia" w:cs="Georgia" w:ascii="Georgia" w:hAnsi="Georgia"/>
          <w:b/>
          <w:sz w:val="42"/>
        </w:rPr>
        <w:t xml:space="preserve">Epreuve maths 3 voie économique</w:t>
      </w:r>
      <w:bookmarkEnd w:id="0"/>
    </w:p>
    <w:p>
      <w:pPr>
        <w:spacing w:line="271" w:before="330" w:lineRule="auto"/>
      </w:pPr>
      <w:bookmarkStart w:id="1" w:name="exercice_1_algèbre_linéaire_et_pr_646eae"/>
      <w:r>
        <w:rPr>
          <w:rFonts w:eastAsia="Georgia" w:cs="Georgia" w:ascii="Georgia" w:hAnsi="Georgia"/>
          <w:b/>
          <w:sz w:val="42"/>
        </w:rPr>
        <w:t xml:space="preserve">EXERCICE 1 : algèbre linéaire et probabilités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désigne par </w:t>
      </w:r>
      <m:oMath>
        <m:r>
          <m:rPr>
            <m:sty m:val="i"/>
          </m:rPr>
          <m:t>p</m:t>
        </m:r>
      </m:oMath>
      <w:r>
        <w:rPr/>
        <w:t xml:space="preserve"> un nombre entier naturel non nul et par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fonctions polynômes de degré inférieur ou égal à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Étude d'un endomorphisme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 : On associe à toute fonction polynôme P la fonction </w:t>
      </w:r>
      <m:oMath>
        <m:acc>
          <m:accPr>
            <m:chr m:val="̂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acc>
            <m:accPr>
              <m:chr m:val="̂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fonction polynôme admettant 1 pour racine.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la fonction </w:t>
      </w:r>
      <m:oMath>
        <m:acc>
          <m:accPr>
            <m:chr m:val="̂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est une fonction polynôme de même degré que </w:t>
      </w:r>
      <m:oMath>
        <m:r>
          <m:rPr>
            <m:sty m:val="i"/>
          </m:rPr>
          <m:t>P</m:t>
        </m:r>
      </m:oMath>
      <w:r>
        <w:rPr/>
        <w:t xml:space="preserve"> lorsque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 : On considère l'application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associant à toute fonction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fonction polynôme </w:t>
      </w:r>
      <m:oMath>
        <m:acc>
          <m:accPr>
            <m:chr m:val="̂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définie ci-dessus.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ϕ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Est-il injectif? surjectif?</w:t>
      </w:r>
      <w:r>
        <w:rPr/>
        <w:br w:type="textWrapping"/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: Déterminer les images par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des fonctions polynômes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puis en déduire la matrice de </w:t>
      </w:r>
      <m:oMath>
        <m:r>
          <m:rPr>
            <m:sty m:val="i"/>
          </m:rPr>
          <m:t>ϕ</m:t>
        </m:r>
      </m:oMath>
      <w:r>
        <w:rPr/>
        <w:t xml:space="preserve">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d: Quelles sont les valeurs propres de </w:t>
      </w:r>
      <m:oMath>
        <m:r>
          <m:rPr>
            <m:sty m:val="i"/>
          </m:rPr>
          <m:t>ϕ</m:t>
        </m:r>
      </m:oMath>
      <w:r>
        <w:rPr/>
        <w:t xml:space="preserve"> ? </w:t>
      </w:r>
      <m:oMath>
        <m:r>
          <m:rPr>
            <m:sty m:val="i"/>
          </m:rPr>
          <m:t>ϕ</m:t>
        </m:r>
      </m:oMath>
      <w:r>
        <w:rPr/>
        <w:t xml:space="preserve"> est-il diagonalisable?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Étude des éléments propres de l'endomorphisme </w:t>
      </w:r>
      <m:oMath>
        <m:r>
          <m:rPr>
            <m:sty m:val="i"/>
          </m:rPr>
          <m:t>ϕ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a: Déterminer les fonctions propres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associée à la valeur propre 1 .</w:t>
      </w:r>
      <w:r>
        <w:rPr/>
        <w:br w:type="textWrapping"/>
      </w:r>
      <w:r>
        <w:rPr>
          <w:rFonts w:eastAsia="Georgia" w:cs="Georgia" w:ascii="Georgia" w:hAnsi="Georgia"/>
        </w:rPr>
        <w:t xml:space="preserve">b : On considère une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et une fonction polynôme propre associée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que, pour tout nombre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si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que 1 est nécessairement racine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: Déterminer les images par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des fonctions polynômes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xrightarrow</m:t>
        </m:r>
        <m:r>
          <m:rPr>
            <m:nor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 et montrer que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d: On considère une fonction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exprimée comme suit dans la base précédente: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∘</m:t>
        </m:r>
        <m:r>
          <m:rPr>
            <m:sty m:val="i"/>
          </m:rPr>
          <m:t>ϕ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puis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pour tout nombre réel </w:t>
      </w:r>
      <m:oMath>
        <m:r>
          <m:rPr>
            <m:sty m:val="i"/>
          </m:rPr>
          <m:t>x</m:t>
        </m:r>
      </m:oMath>
      <w:r>
        <w:rPr/>
        <w:t xml:space="preserve"> la limite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en déduire en particulier que,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la limite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est égale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3) Application à une marche aléatoire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individu se déplace sur les points d'abscisse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selon les règles suivantes :</w:t>
      </w:r>
    </w:p>
    <w:p>
      <w:pPr>
        <w:numPr>
          <w:ilvl w:val="0"/>
          <w:numId w:val="4"/>
        </w:numPr>
        <w:spacing w:lineRule="auto"/>
      </w:pPr>
      <w:r>
        <w:rPr/>
        <w:t xml:space="preserve">il est au point d'abscisse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l'instant 0 .</w:t>
      </w:r>
    </w:p>
    <w:p>
      <w:pPr>
        <w:numPr>
          <w:ilvl w:val="0"/>
          <w:numId w:val="4"/>
        </w:numPr>
        <w:spacing w:lineRule="auto"/>
      </w:pPr>
      <w:r>
        <w:rPr/>
        <w:t xml:space="preserve">il est au point d'abscisse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il est de façon équiprobable en l'un des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d'abscisses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nombre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indiquant l'abscisse du point où se trouve l'individu à l'instant </w:t>
      </w:r>
      <m:oMath>
        <m:r>
          <m:rPr>
            <m:sty m:val="i"/>
          </m:rPr>
          <m:t>n</m:t>
        </m:r>
      </m:oMath>
      <w:r>
        <w:rPr/>
        <w:t xml:space="preserve"> et par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son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a : Exprimer à l'aide du théorème des probabilités totales la probabilité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 fonction des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 : En déduire une matrice carrée </w:t>
      </w:r>
      <m:oMath>
        <m:r>
          <m:rPr>
            <m:sty m:val="i"/>
          </m:rPr>
          <m:t>M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matrice-colonne dont les éléments sont du haut vers le bas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</m:e>
        </m:d>
      </m:oMath>
      <w:r>
        <w:rPr/>
        <w:t xml:space="preserve">.</w:t>
      </w:r>
      <w:r>
        <w:rPr/>
        <w:br w:type="textWrapping"/>
      </w:r>
      <m:oMath>
        <m:r>
          <m:rPr>
            <m:sty m:val="b"/>
          </m:rPr>
          <m:t>c</m:t>
        </m:r>
      </m:oMath>
      <w:r>
        <w:rPr/>
        <w:t xml:space="preserve"> : Exprimer le produit matriciel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i"/>
                    </m:rPr>
                    <m:t>p</m:t>
                  </m:r>
                </m:e>
              </m:mr>
            </m:m>
          </m:e>
        </m:d>
        <m:r>
          <m:rPr>
            <m:sty m:val="i"/>
          </m:rPr>
          <m:t>M</m:t>
        </m:r>
      </m:oMath>
      <w:r>
        <w:rPr/>
        <w:t xml:space="preserve"> en fonction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i"/>
                    </m:rPr>
                    <m:t>p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En multipliant l'égalité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gauche par la matrice-ligne ( </w:t>
      </w:r>
      <m:oMath>
        <m:m>
          <m:mPr>
            <m:plcHide m:val="1"/>
            <m:cGpRule m:val="0"/>
            <m:mcs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m:rPr>
                  <m:sty m:val="p"/>
                </m:rPr>
                <m:t>0</m:t>
              </m:r>
            </m:e>
            <m:e>
              <m:r>
                <m:rPr>
                  <m:sty m:val="p"/>
                </m:rPr>
                <m:t>1</m:t>
              </m:r>
            </m:e>
            <m:e>
              <m:r>
                <m:rPr>
                  <m:sty m:val="p"/>
                </m:rPr>
                <m:t>2</m:t>
              </m:r>
            </m:e>
            <m:e>
              <m:r>
                <m:rPr>
                  <m:sty m:val="p"/>
                </m:rPr>
                <m:t>…</m:t>
              </m:r>
            </m:e>
            <m:e>
              <m:r>
                <m:rPr>
                  <m:sty m:val="i"/>
                </m:rPr>
                <m:t>p</m:t>
              </m:r>
            </m:e>
          </m:mr>
        </m:m>
      </m:oMath>
      <w:r>
        <w:rPr/>
        <w:t xml:space="preserve"> ), exprimer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puis préciser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ainsi que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d : Préciser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donner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M</m:t>
        </m:r>
      </m:oMath>
      <w:r>
        <w:rPr/>
        <w:t xml:space="preserve"> et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déduire, à l'aide de la question 2.d que les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composantes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ont pour limites (de haut en bas)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puis interpréter ce résultat.</w:t>
      </w:r>
    </w:p>
    <w:p>
      <w:pPr>
        <w:spacing w:line="271" w:before="330" w:lineRule="auto"/>
      </w:pPr>
      <w:bookmarkStart w:id="2" w:name="exercice_2_probabilités_et_simula_2414c4"/>
      <w:r>
        <w:rPr>
          <w:rFonts w:eastAsia="Georgia" w:cs="Georgia" w:ascii="Georgia" w:hAnsi="Georgia"/>
          <w:b/>
          <w:sz w:val="42"/>
        </w:rPr>
        <w:t xml:space="preserve">EXERCICE 2 : probabilités et simulation informatique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de lancers successifs (supposés indépendants) d'une pièce de monnaie, pour laquelle la probabilité d'apparition de pile, noté P , est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celle de face, noté </w:t>
      </w:r>
      <m:oMath>
        <m:r>
          <m:rPr>
            <m:sty m:val="b"/>
          </m:rPr>
          <m:t>F</m:t>
        </m:r>
      </m:oMath>
      <w:r>
        <w:rPr/>
        <w:t xml:space="preserve">, est </w:t>
      </w:r>
      <m:oMath>
        <m:r>
          <m:rPr>
            <m:sty m:val="i"/>
          </m:rPr>
          <m:t>q</m:t>
        </m:r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et on s'intéresse à l'apparition de deux piles consécutifs.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l'on considère les seize premiers lancers suivants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rPr>
          <w:cantSplit/>
        </w:trPr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F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F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F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F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P</w:t>
            </w:r>
          </w:p>
        </w:tc>
        <w:tc>
          <w:tcPr>
            <w:tcBorders>
              <w:bottom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F</w:t>
            </w:r>
          </w:p>
        </w:tc>
      </w:tr>
      <w:tr>
        <w:trPr>
          <w:cantSplit/>
        </w:trPr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9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10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11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12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13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14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15</w:t>
            </w:r>
          </w:p>
        </w:tc>
        <w:tc>
          <w:tcPr>
            <w:tcBorders/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16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deux piles consécutifs sont réalisés aux rangs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12</m:t>
        </m:r>
      </m:oMath>
      <w:r>
        <w:rPr>
          <w:rFonts w:eastAsia="Georgia" w:cs="Georgia" w:ascii="Georgia" w:hAnsi="Georgia"/>
        </w:rPr>
        <w:t xml:space="preserve"> et 14 , mais non aux rangs 7 , 13 et 15 (car un pile ne peut pas participer à la réalisation de deux piles consécutifs plus d'une fois).</w:t>
      </w:r>
      <w:r>
        <w:rPr/>
        <w:br w:type="textWrapping"/>
      </w:r>
      <w:r>
        <w:rPr/>
        <w:t xml:space="preserve">On notera,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: " deux piles consécutifs sont réalisés au rang n ".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: " deux piles consécutifs sont pour la première fois réalisés au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". Enfin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probabilités de ces événements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Calcul des probabilités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a: On a bien sûr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Calculer de plus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 : Démontrer, pour tout nombre entier naturel </w:t>
      </w:r>
      <m:oMath>
        <m:r>
          <m:rPr>
            <m:sty m:val="i"/>
          </m:rPr>
          <m:t>n</m:t>
        </m:r>
      </m:oMath>
      <w:r>
        <w:rPr/>
        <w:t xml:space="preserve"> non nul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m:oMath>
        <m:r>
          <m:rPr>
            <m:sty m:val="b"/>
          </m:rPr>
          <m:t>c</m:t>
        </m:r>
      </m:oMath>
      <w:r>
        <w:rPr/>
        <w:t xml:space="preserve"> : On pose, pour tout entier naturel </w:t>
      </w:r>
      <m:oMath>
        <m:r>
          <m:rPr>
            <m:sty m:val="i"/>
          </m:rPr>
          <m:t>n</m:t>
        </m:r>
      </m:oMath>
      <w:r>
        <w:rPr/>
        <w:t xml:space="preserve"> non nul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suite récurrente linéaire d'ordre 2 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déduire, pour tout nombre entier naturel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Nombre moyen de réalisations de deux piles consécutifs en </w:t>
      </w:r>
      <m:oMath>
        <m:r>
          <m:rPr>
            <m:sty m:val="i"/>
          </m:rPr>
          <m:t>n</m:t>
        </m:r>
      </m:oMath>
      <w:r>
        <w:rPr/>
        <w:t xml:space="preserve"> lancers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 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prenant la valeur 1 lorsque l'événement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réalisé, et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a: Préciser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son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b : Que peut-on dire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l</m:t>
            </m:r>
          </m:sub>
        </m:sSub>
      </m:oMath>
      <w:r>
        <w:rPr/>
        <w:t xml:space="preserve"> ?</w:t>
      </w:r>
      <w:r>
        <w:rPr/>
        <w:br w:type="textWrapping"/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: Déterminer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 : Déterminer pour tout nombre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conditionnée par l'événement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c'est à dire les probabilités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</m:e>
        </m:d>
      </m:oMath>
      <w:r>
        <w:rPr/>
        <w:t xml:space="preserve"> l).</w:t>
      </w:r>
      <w:r>
        <w:rPr/>
        <w:br w:type="textWrapping"/>
      </w:r>
      <w:r>
        <w:rPr>
          <w:rFonts w:eastAsia="Georgia" w:cs="Georgia" w:ascii="Georgia" w:hAnsi="Georgia"/>
        </w:rPr>
        <w:t xml:space="preserve">e: Interpréter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 équivalent du nombre moyen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réalisations de deux piles consécutifs parmi </w:t>
      </w:r>
      <m:oMath>
        <m:r>
          <m:rPr>
            <m:sty m:val="i"/>
          </m:rPr>
          <m:t>n</m:t>
        </m:r>
      </m:oMath>
      <w:r>
        <w:rPr/>
        <w:t xml:space="preserve"> lancers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Calcul récursif des probabilités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a: Justifier l'égalité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 : Soit </w:t>
      </w:r>
      <m:oMath>
        <m:r>
          <m:rPr>
            <m:sty m:val="i"/>
          </m:rPr>
          <m:t>k</m:t>
        </m:r>
      </m:oMath>
      <w:r>
        <w:rPr/>
        <w:t xml:space="preserve"> un nombre entier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Que vaut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c: En déduire la formule suivante pour tout nombre entier naturel non nul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(et ce dernier "sigma" est supposé nul pour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 Calculer ainsi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4) Simulation informatique dans le cas particulier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alors établir à l'aide de la formule précédente (ce qu'on ne demande pas de faire)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p"/>
                </m:rPr>
                <m:t>9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a: Montrer que l'application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associant à toute suite de lancers successifs le numéro du jet où l'on obtient pour la première fois un double pile est une variable aléatoire.</w:t>
      </w:r>
      <w:r>
        <w:rPr/>
        <w:br w:type="textWrapping"/>
      </w:r>
      <w:r>
        <w:rPr>
          <w:rFonts w:eastAsia="Georgia" w:cs="Georgia" w:ascii="Georgia" w:hAnsi="Georgia"/>
        </w:rPr>
        <w:t xml:space="preserve">b : Déterminer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cette variable aléatoire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 : Le programme Pascal suivant dans lequel on code Pile par 1 et Face par 0 fournit (dans le cas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 une simulation de l'expérience aléatoire précédente.</w:t>
      </w:r>
      <w:r>
        <w:rPr/>
        <w:br w:type="textWrapping"/>
      </w:r>
      <w:r>
        <w:rPr/>
        <w:t xml:space="preserve">On signale de plus que :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random (3) fournit un nombre entier aléatoire parmi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les lignes d'instruction notées ++++++ sont volontairement incomplètes.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ESSEC2002;</w:t>
        <w:br/>
        <w:t xml:space="preserve">var n,k : integer ; m:real;</w:t>
        <w:br/>
        <w:t xml:space="preserve">function lancer : integer;</w:t>
        <w:br/>
        <w:t xml:space="preserve">var z : integer;</w:t>
        <w:br/>
        <w:t xml:space="preserve">begin</w:t>
        <w:br/>
        <w:t xml:space="preserve">if random(3)=0 then z:=0</w:t>
        <w:br/>
        <w:t xml:space="preserve">            else z:=1;</w:t>
        <w:br/>
        <w:t xml:space="preserve">lancer:=z;</w:t>
        <w:br/>
        <w:t xml:space="preserve">end;</w:t>
        <w:br/>
        <w:t xml:space="preserve">function attente:integer;</w:t>
        <w:br/>
        <w:t xml:space="preserve">var x,y,k:integer;</w:t>
        <w:br/>
        <w:t xml:space="preserve">begin</w:t>
        <w:br/>
        <w:t xml:space="preserve">x:=lancer;</w:t>
        <w:br/>
        <w:t xml:space="preserve">y:=lancer;</w:t>
        <w:br/>
        <w:t xml:space="preserve">k:=2;</w:t>
        <w:br/>
        <w:t xml:space="preserve">while x*y=0 do</w:t>
        <w:br/>
        <w:t xml:space="preserve">    begin</w:t>
        <w:br/>
        <w:t xml:space="preserve">            ++++++</w:t>
        <w:br/>
        <w:t xml:space="preserve">            ++++++</w:t>
        <w:br/>
        <w:t xml:space="preserve">            ++++++;</w:t>
        <w:br/>
        <w:t xml:space="preserve">    end;</w:t>
        <w:br/>
        <w:t xml:space="preserve">attente: = k;</w:t>
        <w:br/>
        <w:t xml:space="preserve">end;</w:t>
        <w:br/>
        <w:t xml:space="preserve">begin</w:t>
        <w:br/>
        <w:t xml:space="preserve">randomize;</w:t>
        <w:br/>
        <w:t xml:space="preserve">write('Nombre de simulations 1);</w:t>
        <w:br/>
        <w:t xml:space="preserve">readln(n);</w:t>
        <w:br/>
        <w:t xml:space="preserve">m:=0;</w:t>
        <w:br/>
        <w:t xml:space="preserve">for k:=l to n do</w:t>
        <w:br/>
        <w:t xml:space="preserve">rn: =m / n;</w:t>
        <w:br/>
        <w:t xml:space="preserve">write('Moyenne : ' ,m:0:2);</w:t>
        <w:br/>
        <w:t xml:space="preserve">End.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On considère l'instruction y :=lancer ;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la probabilité que la variable y contienne 1?</w:t>
      </w:r>
      <w:r>
        <w:rPr/>
        <w:br w:type="textWrapping"/>
      </w:r>
      <w:r>
        <w:rPr>
          <w:rFonts w:eastAsia="Georgia" w:cs="Georgia" w:ascii="Georgia" w:hAnsi="Georgia"/>
        </w:rPr>
        <w:t xml:space="preserve">ii. Compléter la boucle while de la fonction attente de façon que cette fonction retourne le rang d'apparition du premier double pile.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Compléter la boucle for du programme principal de façon que le programme ESSEC2002 affiche la moyenne du rang d'apparition du premier double pile sur n expériences, le nombre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fourni par 1'utilisateur.</w:t>
      </w:r>
      <w:r>
        <w:rPr/>
        <w:br w:type="textWrapping"/>
      </w:r>
      <w:r>
        <w:rPr/>
        <w:t xml:space="preserve">Pour de grandes valeurs de </w:t>
      </w:r>
      <m:oMath>
        <m:r>
          <m:rPr>
            <m:sty m:val="i"/>
          </m:rPr>
          <m:t>n</m:t>
        </m:r>
      </m:oMath>
      <w:r>
        <w:rPr/>
        <w:t xml:space="preserve">, autour de quelle valeur fluctue le contenu de la variable </w:t>
      </w:r>
      <m:oMath>
        <m:r>
          <m:rPr>
            <m:sty m:val="i"/>
          </m:rPr>
          <m:t>m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 Réécrire la fonction attente pour que le programme ESSEC2002 affiche la moyenne du rang d'apparition du premier triple pile.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2026-05-03T11:32:40.803Z</dcterms:created>
  <dcterms:modified xsi:type="dcterms:W3CDTF">2026-05-03T11:32:40.803Z</dcterms:modified>
</cp:coreProperties>
</file>