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anque_commune_d_épreuves"/>
      <w:r>
        <w:rPr>
          <w:rFonts w:eastAsia="Georgia" w:cs="Georgia" w:ascii="Georgia" w:hAnsi="Georgia"/>
          <w:b/>
          <w:sz w:val="42"/>
        </w:rPr>
        <w:t xml:space="preserve">BANQUE COMMUNE D'ÉPREUVES</w:t>
      </w:r>
      <w:bookmarkEnd w:id="0"/>
    </w:p>
    <w:p>
      <w:pPr>
        <w:spacing w:line="271" w:before="330" w:lineRule="auto"/>
      </w:pPr>
      <w:bookmarkStart w:id="1" w:name="concepteur_em_lyon"/>
      <w:r>
        <w:rPr>
          <w:b/>
          <w:sz w:val="42"/>
        </w:rPr>
        <w:t xml:space="preserve">Concepteur : EM LYON</w:t>
      </w:r>
      <w:bookmarkEnd w:id="1"/>
    </w:p>
    <w:p>
      <w:pPr>
        <w:spacing w:line="271" w:before="330" w:lineRule="auto"/>
      </w:pPr>
      <w:bookmarkStart w:id="2" w:name="première_épreuve_option_scientifique"/>
      <w:r>
        <w:rPr>
          <w:rFonts w:eastAsia="Georgia" w:cs="Georgia" w:ascii="Georgia" w:hAnsi="Georgia"/>
          <w:b/>
          <w:sz w:val="42"/>
        </w:rPr>
        <w:t xml:space="preserve">Première épreuve (option scientifique)</w:t>
      </w:r>
      <w:bookmarkEnd w:id="2"/>
    </w:p>
    <w:p>
      <w:pPr>
        <w:spacing w:line="271" w:before="330" w:lineRule="auto"/>
      </w:pPr>
      <w:bookmarkStart w:id="3" w:name="mathématiques"/>
      <w:r>
        <w:rPr>
          <w:rFonts w:eastAsia="Georgia" w:cs="Georgia" w:ascii="Georgia" w:hAnsi="Georgia"/>
          <w:b/>
          <w:sz w:val="42"/>
        </w:rPr>
        <w:t xml:space="preserve">MATHÉMATIQUES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30 avril 2007 de 8 heures à 12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premier_problème"/>
      <w:r>
        <w:rPr>
          <w:rFonts w:eastAsia="Georgia" w:cs="Georgia" w:ascii="Georgia" w:hAnsi="Georgia"/>
          <w:b/>
          <w:sz w:val="42"/>
        </w:rPr>
        <w:t xml:space="preserve">Premier problème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⟶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⟼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plcHide m:val="1"/>
                          <m:cGpRule m:val="0"/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ln</m:t>
                                </m:r>
                                <m:r>
                                  <m:rPr>
                                    <m:sty m:val="p"/>
                                  </m:rPr>
                                  <m:t>⁡</m:t>
                                </m:r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den>
                            </m:f>
                          </m:e>
                          <m:e>
                            <m:r>
                              <m:rPr>
                                <m:nor/>
                              </m:rPr>
                              <m:t> si 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&gt;</m:t>
                            </m:r>
                            <m:r>
                              <m:rPr>
                                <m:sty m:val="p"/>
                              </m:rPr>
                              <m:t>0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m:t> si 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rPr>
                                <m:sty m:val="p"/>
                              </m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</m:e>
          </m:d>
        </m:oMath>
      </m:oMathPara>
    </w:p>
    <w:p>
      <w:pPr>
        <w:spacing w:line="271" w:before="330" w:lineRule="auto"/>
      </w:pPr>
      <w:bookmarkStart w:id="5" w:name="partie_i"/>
      <w:r>
        <w:rPr>
          <w:b/>
          <w:sz w:val="42"/>
        </w:rPr>
        <w:t xml:space="preserve">Partie I</w:t>
      </w:r>
      <w:bookmarkEnd w:id="5"/>
    </w:p>
    <w:p>
      <w:pPr>
        <w:spacing w:line="271" w:before="330" w:lineRule="auto"/>
      </w:pPr>
      <w:bookmarkStart w:id="6" w:name="étude_de_l_application_f"/>
      <w:r>
        <w:rPr>
          <w:rFonts w:eastAsia="Georgia" w:cs="Georgia" w:ascii="Georgia" w:hAnsi="Georgia"/>
          <w:b/>
          <w:sz w:val="42"/>
        </w:rPr>
        <w:t xml:space="preserve">Étude de l'application </w:t>
      </w:r>
      <m:oMath>
        <m:r>
          <m:rPr>
            <m:sty m:val="i"/>
          </m:rPr>
          <w:rPr>
            <w:sz w:val="42"/>
          </w:rPr>
          <m:t>f</m:t>
        </m:r>
      </m:oMath>
      <w:bookmarkEnd w:id="6"/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: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⟶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⟼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admet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comme limite en 0 à droite.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et préciser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d. Dresser le tableau de variation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strictement décroissante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Déterminer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: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⟶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⟼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x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deux fois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et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Dresser le tableau de variation de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convexe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Tracer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ii_un_développement_en_série"/>
      <w:r>
        <w:rPr>
          <w:rFonts w:eastAsia="Georgia" w:cs="Georgia" w:ascii="Georgia" w:hAnsi="Georgia"/>
          <w:b/>
          <w:sz w:val="42"/>
        </w:rPr>
        <w:t xml:space="preserve">Partie II Un développement en série</w:t>
      </w:r>
      <w:bookmarkEnd w:id="7"/>
    </w:p>
    <w:p>
      <w:pPr>
        <w:numPr>
          <w:ilvl w:val="0"/>
          <w:numId w:val="2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on a noté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Établir,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 et que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line="271" w:before="330" w:lineRule="auto"/>
      </w:pPr>
      <w:bookmarkStart w:id="8" w:name="partie_iii"/>
      <w:r>
        <w:rPr>
          <w:b/>
          <w:sz w:val="42"/>
        </w:rPr>
        <w:t xml:space="preserve">Partie III</w:t>
      </w:r>
      <w:bookmarkEnd w:id="8"/>
    </w:p>
    <w:p>
      <w:pPr>
        <w:spacing w:line="271" w:before="330" w:lineRule="auto"/>
      </w:pPr>
      <w:bookmarkStart w:id="9" w:name="égalité_d_une_intégrale_et_d_une_a56206"/>
      <w:r>
        <w:rPr>
          <w:rFonts w:eastAsia="Georgia" w:cs="Georgia" w:ascii="Georgia" w:hAnsi="Georgia"/>
          <w:b/>
          <w:sz w:val="42"/>
        </w:rPr>
        <w:t xml:space="preserve">Égalité d'une intégrale et d'une somme de série</w:t>
      </w:r>
      <w:bookmarkEnd w:id="9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Montrer, en utilisant le résultat de II.3.,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converge et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admet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 Montrer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10" w:name="partie_iv"/>
      <w:r>
        <w:rPr>
          <w:b/>
          <w:sz w:val="42"/>
        </w:rPr>
        <w:t xml:space="preserve">Partie IV</w:t>
      </w:r>
      <w:bookmarkEnd w:id="10"/>
    </w:p>
    <w:p>
      <w:pPr>
        <w:spacing w:line="271" w:before="330" w:lineRule="auto"/>
      </w:pPr>
      <w:bookmarkStart w:id="11" w:name="recherche_d_extremum_pour_une_fon_8dd9d8"/>
      <w:r>
        <w:rPr>
          <w:rFonts w:eastAsia="Georgia" w:cs="Georgia" w:ascii="Georgia" w:hAnsi="Georgia"/>
          <w:b/>
          <w:sz w:val="42"/>
        </w:rPr>
        <w:t xml:space="preserve">Recherche d'extremum pour une fonction réelle de deux variables réelles</w:t>
      </w:r>
      <w:bookmarkEnd w:id="11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⟶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⟼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</w:p>
    <w:p>
      <w:pPr>
        <w:spacing w:after="220" w:lineRule="auto"/>
      </w:pPr>
      <m:oMathPara>
        <m:oMath>
          <m:r>
            <m:rPr>
              <m:nor/>
            </m:rPr>
            <m:t> et </m:t>
          </m:r>
          <m:r>
            <m:rPr>
              <m:sty m:val="i"/>
            </m:rPr>
            <m:t>G</m:t>
          </m:r>
          <m:r>
            <m:rPr>
              <m:sty m:val="p"/>
            </m:rPr>
            <m:t>: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⟶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⟼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Exprimer,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les dérivées partielles premières et secondes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Établir que </w:t>
      </w:r>
      <m:oMath>
        <m:r>
          <m:rPr>
            <m:sty m:val="i"/>
          </m:rPr>
          <m:t>G</m:t>
        </m:r>
      </m:oMath>
      <w:r>
        <w:rPr/>
        <w:t xml:space="preserve"> admet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comme unique point critique.</w:t>
      </w:r>
      <w:r>
        <w:rPr/>
        <w:br w:type="textWrapping"/>
      </w:r>
      <w:r>
        <w:rPr/>
        <w:t xml:space="preserve">3. Est-ce que </w:t>
      </w:r>
      <m:oMath>
        <m:r>
          <m:rPr>
            <m:sty m:val="i"/>
          </m:rPr>
          <m:t>G</m:t>
        </m:r>
      </m:oMath>
      <w:r>
        <w:rPr/>
        <w:t xml:space="preserve"> admet un extremum local ?</w:t>
      </w:r>
    </w:p>
    <w:p>
      <w:pPr>
        <w:spacing w:line="271" w:before="330" w:lineRule="auto"/>
      </w:pPr>
      <w:bookmarkStart w:id="12" w:name="deuxième_problème"/>
      <w:r>
        <w:rPr>
          <w:rFonts w:eastAsia="Georgia" w:cs="Georgia" w:ascii="Georgia" w:hAnsi="Georgia"/>
          <w:b/>
          <w:sz w:val="42"/>
        </w:rPr>
        <w:t xml:space="preserve">DEUXIÈME PROBLÈME</w:t>
      </w:r>
      <w:bookmarkEnd w:id="12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nombre entier fixé supérieur ou égal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/>
        <w:t xml:space="preserve">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p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bookmarkStart w:id="13" w:name="partie_i_2"/>
      <w:r>
        <w:rPr>
          <w:b/>
          <w:sz w:val="42"/>
        </w:rPr>
        <w:t xml:space="preserve">Partie I</w:t>
      </w:r>
      <w:bookmarkEnd w:id="13"/>
    </w:p>
    <w:p>
      <w:pPr>
        <w:spacing w:line="271" w:before="330" w:lineRule="auto"/>
      </w:pPr>
      <w:bookmarkStart w:id="14" w:name="étude_d_un_endomorphisme_de_e"/>
      <w:r>
        <w:rPr>
          <w:rFonts w:eastAsia="Georgia" w:cs="Georgia" w:ascii="Georgia" w:hAnsi="Georgia"/>
          <w:b/>
          <w:sz w:val="42"/>
        </w:rPr>
        <w:t xml:space="preserve">Étude d'un endomorphisme de </w:t>
      </w:r>
      <m:oMath>
        <m:r>
          <m:rPr>
            <m:sty m:val="i"/>
          </m:rPr>
          <w:rPr>
            <w:sz w:val="42"/>
          </w:rPr>
          <m:t>E</m:t>
        </m:r>
      </m:oMath>
      <w:bookmarkEnd w:id="14"/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que, 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le polynôme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  <m:r>
                  <m:rPr>
                    <m:sty m:val="i"/>
                  </m:rPr>
                  <m:t>P</m:t>
                </m:r>
              </m:e>
            </m:d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  <m:r>
                  <m:rPr>
                    <m:sty m:val="i"/>
                  </m:rPr>
                  <m:t>P</m:t>
                </m:r>
              </m:e>
            </m:d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le polynôme dérivée seconde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⟶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l'application qui,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  <m:r>
                  <m:rPr>
                    <m:sty m:val="i"/>
                  </m:rPr>
                  <m:t>P</m:t>
                </m:r>
              </m:e>
            </m:d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Vérifier :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X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ϕ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écrire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ϕ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ϕ</m:t>
        </m:r>
      </m:oMath>
      <w:r>
        <w:rPr/>
        <w:t xml:space="preserve"> admet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valeurs propres deux à deux distinctes que l'on notera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Est-ce que </w:t>
      </w:r>
      <m:oMath>
        <m:r>
          <m:rPr>
            <m:sty m:val="i"/>
          </m:rPr>
          <m:t>ϕ</m:t>
        </m:r>
      </m:oMath>
      <w:r>
        <w:rPr/>
        <w:t xml:space="preserve"> est bijectif ?</w:t>
      </w:r>
      <w:r>
        <w:rPr/>
        <w:br w:type="textWrapping"/>
      </w:r>
      <w:r>
        <w:rPr/>
        <w:t xml:space="preserve">c.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diagonalisable et déterminer,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la dimension du sousespace propre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 vecteur propre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que le degré du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le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est un vecteur propre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qu'il existe une unique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ϕ</m:t>
        </m:r>
      </m:oMath>
      <w:r>
        <w:rPr/>
        <w:t xml:space="preserve"> telle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de coefficient dominant égal à 1 et vérifiant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 sur la parité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?</w:t>
      </w:r>
    </w:p>
    <w:p>
      <w:pPr>
        <w:numPr>
          <w:ilvl w:val="0"/>
          <w:numId w:val="8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15" w:name="partie_ii"/>
      <w:r>
        <w:rPr>
          <w:b/>
          <w:sz w:val="42"/>
        </w:rPr>
        <w:t xml:space="preserve">Partie II</w:t>
      </w:r>
      <w:bookmarkEnd w:id="15"/>
    </w:p>
    <w:p>
      <w:pPr>
        <w:spacing w:line="271" w:before="330" w:lineRule="auto"/>
      </w:pPr>
      <w:bookmarkStart w:id="16" w:name="un_produit_scalaire_sur_e"/>
      <w:r>
        <w:rPr>
          <w:b/>
          <w:sz w:val="42"/>
        </w:rPr>
        <w:t xml:space="preserve">Un produit scalaire sur </w:t>
      </w:r>
      <m:oMath>
        <m:r>
          <m:rPr>
            <m:sty m:val="i"/>
          </m:rPr>
          <w:rPr>
            <w:sz w:val="42"/>
          </w:rPr>
          <m:t>E</m:t>
        </m:r>
      </m:oMath>
      <w:bookmarkEnd w:id="16"/>
    </w:p>
    <w:p>
      <w:pPr>
        <w:numPr>
          <w:ilvl w:val="0"/>
          <w:numId w:val="9"/>
        </w:numPr>
        <w:spacing w:lineRule="auto"/>
      </w:pPr>
      <w:r>
        <w:rPr/>
        <w:t xml:space="preserve">Montrer que l'application :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⟼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∣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munit dorénavant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ce produit scalaire noté (.|.).</w:t>
      </w:r>
      <w:r>
        <w:rPr/>
        <w:br w:type="textWrapping"/>
      </w:r>
      <w:r>
        <w:rPr>
          <w:rFonts w:eastAsia="Georgia" w:cs="Georgia" w:ascii="Georgia" w:hAnsi="Georgia"/>
        </w:rPr>
        <w:t xml:space="preserve">2. a. À l'aide d'intégrations par parties, établir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un endomorphisme symétrique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obtenue à la question </w:t>
      </w:r>
      <m:oMath>
        <m:r>
          <m:rPr>
            <m:sty m:val="b"/>
          </m:rPr>
          <m:t>I</m:t>
        </m:r>
        <m:r>
          <m:rPr>
            <m:sty m:val="p"/>
          </m:rPr>
          <m:t>.7</m:t>
        </m:r>
      </m:oMath>
      <w:r>
        <w:rPr/>
        <w:t xml:space="preserve"> est orthogonale.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a. Montrer que pour tout polynôme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considérant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ne garde pas un signe constant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admet au moins, dans l'intervalle ]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une racine d'ordre de multiplicité impair.</w:t>
      </w:r>
      <w:r>
        <w:rPr/>
        <w:br w:type="textWrapping"/>
      </w:r>
      <w:r>
        <w:rPr/>
        <w:t xml:space="preserve">4. On note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l'ensemble des racines d'ordre de multiplicité impair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appartenant à l'intervalle ]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⋯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a. Justifier : </w:t>
      </w:r>
      <m:oMath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le polynôme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(produit des polynômes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) garde un signe constant sur l'intervalle ] - </w:t>
      </w:r>
      <m:oMath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considérant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montrer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admet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racines simples réelles toutes situées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2026-05-03T11:11:41.091Z</dcterms:created>
  <dcterms:modified xsi:type="dcterms:W3CDTF">2026-05-03T11:11:41.091Z</dcterms:modified>
</cp:coreProperties>
</file>