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épreuves"/>
      <w:r>
        <w:rPr>
          <w:rFonts w:eastAsia="Georgia" w:cs="Georgia" w:ascii="Georgia" w:hAnsi="Georgia"/>
          <w:b/>
          <w:sz w:val="42"/>
        </w:rPr>
        <w:t xml:space="preserve">BANQUE COMMUNE D'ÉPREUVES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Concepteur : EM LYON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Première épreuve (option scientifique)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29 avril 2008 de 8 heures à 12 heures</w:t>
      </w:r>
    </w:p>
    <w:p>
      <w:pPr>
        <w:spacing w:after="220" w:lineRule="auto"/>
      </w:pPr>
      <w:r>
        <w:rPr/>
        <w:t xml:space="preserve">Code sujet</w:t>
      </w:r>
      <w:r>
        <w:rPr/>
        <w:br w:type="textWrapping"/>
      </w:r>
      <w:r>
        <w:rPr/>
        <w:t xml:space="preserve">295</w:t>
      </w:r>
      <w:r>
        <w:rPr/>
        <w:br w:type="textWrapping"/>
      </w:r>
      <w:r>
        <w:rPr/>
        <w:t xml:space="preserve">EML </w:t>
      </w:r>
      <m:oMath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</m:oMath>
      <w:r>
        <w:rPr/>
        <w:t xml:space="preserve"> MATS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</w:t>
      </w:r>
    </w:p>
    <w:p>
      <w:pPr>
        <w:spacing w:line="271" w:before="330" w:lineRule="auto"/>
      </w:pPr>
      <w:bookmarkStart w:id="1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confond polynôme et application polynomiale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applications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telles que l'intégrale</w:t>
      </w:r>
      <w:r>
        <w:rPr/>
        <w:br w:type="textWrapping"/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polynomiales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/>
        <w:t xml:space="preserve">-espace vectoriel des applications polynomiales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réliminaire_valeur_de_l_intégral_5cedd5"/>
      <w:r>
        <w:rPr>
          <w:rFonts w:eastAsia="Georgia" w:cs="Georgia" w:ascii="Georgia" w:hAnsi="Georgia"/>
          <w:b/>
          <w:sz w:val="42"/>
        </w:rPr>
        <w:t xml:space="preserve">Préliminaire : Valeur de l'intégrale de Gauss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une variable aléatoire suivant une loi normale, justifier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π</m:t>
              </m:r>
            </m:e>
          </m:rad>
        </m:oMath>
      </m:oMathPara>
    </w:p>
    <w:p>
      <w:pPr>
        <w:spacing w:line="271" w:before="330" w:lineRule="auto"/>
      </w:pPr>
      <w:bookmarkStart w:id="3" w:name="partie_i_un_produit_scalaire_sur_e"/>
      <w:r>
        <w:rPr>
          <w:b/>
          <w:sz w:val="42"/>
        </w:rPr>
        <w:t xml:space="preserve">Partie I : Un produit scalaire sur </w:t>
      </w:r>
      <m:oMath>
        <m:r>
          <m:rPr>
            <m:sty m:val="i"/>
          </m:rPr>
          <w:rPr>
            <w:sz w:val="42"/>
          </w:rPr>
          <m:t>E</m:t>
        </m:r>
      </m:oMath>
      <w:bookmarkEnd w:id="3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Établir, pour tout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On note (.|.) l'application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qui, à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associe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notera la présence du facteur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a. Démontrer que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vectoriel.</w:t>
      </w:r>
      <w:r>
        <w:rPr/>
        <w:br w:type="textWrapping"/>
      </w:r>
      <w:r>
        <w:rPr/>
        <w:t xml:space="preserve">b. Montrer que l'application (.|.)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Démontrer :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encore (.|.) la restriction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ou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du produit scalaire (.|.) sur </w:t>
      </w:r>
      <m:oMath>
        <m:r>
          <m:rPr>
            <m:sty m:val="i"/>
          </m:rPr>
          <m:t>E</m:t>
        </m:r>
      </m:oMath>
      <w:r>
        <w:rPr/>
        <w:t xml:space="preserve">. On admet que cette restriction est encore un produit scalaire sur </w:t>
      </w:r>
      <m:oMath>
        <m:r>
          <m:rPr>
            <m:sty m:val="i"/>
          </m:rPr>
          <m:t>F</m:t>
        </m:r>
      </m:oMath>
      <w:r>
        <w:rPr/>
        <w:t xml:space="preserve"> ou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associée au produit scalaire (.|.), définie,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line="271" w:before="330" w:lineRule="auto"/>
      </w:pPr>
      <w:bookmarkStart w:id="4" w:name="partie_ii_polynômes_d_hermite"/>
      <w:r>
        <w:rPr>
          <w:rFonts w:eastAsia="Georgia" w:cs="Georgia" w:ascii="Georgia" w:hAnsi="Georgia"/>
          <w:b/>
          <w:sz w:val="42"/>
        </w:rPr>
        <w:t xml:space="preserve">Partie II : Polynômes d'Hermite</w:t>
      </w:r>
      <w:bookmarkEnd w:id="4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w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, où </m:t>
          </m:r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nor/>
            </m:rPr>
            <m:t> désigne la dérivée </m:t>
          </m:r>
          <m:r>
            <m:rPr>
              <m:sty m:val="i"/>
            </m:rPr>
            <m:t>n</m:t>
          </m:r>
          <m:r>
            <m:rPr>
              <m:nor/>
            </m:rPr>
            <m:t>-ième de </m:t>
          </m:r>
          <m:r>
            <m:rPr>
              <m:sty m:val="i"/>
            </m:rPr>
            <m:t>w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particulier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Calculer,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Faire figurer les calculs sur la copie.</w:t>
      </w:r>
      <w:r>
        <w:rPr/>
        <w:br w:type="textWrapping"/>
      </w:r>
      <w:r>
        <w:rPr/>
        <w:t xml:space="preserve">2. a.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Contrôler alors les résultats obtenus en II. 1 et calculer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Faire figurer les calculs sur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Déterminer,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 coefficient du terme de plus haut degré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Qu'en déduit-on, en terme de parité, pour l'application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bookmarkStart w:id="5" w:name="partie_iii_lien_entre_le_produit_2b6d5d"/>
      <w:r>
        <w:rPr>
          <w:rFonts w:eastAsia="Georgia" w:cs="Georgia" w:ascii="Georgia" w:hAnsi="Georgia"/>
          <w:b/>
          <w:sz w:val="42"/>
        </w:rPr>
        <w:t xml:space="preserve">Partie III : Lien entre le produit scalaire et les polynômes d'Hermite</w:t>
      </w:r>
      <w:bookmarkEnd w:id="5"/>
    </w:p>
    <w:p>
      <w:pPr>
        <w:numPr>
          <w:ilvl w:val="0"/>
          <w:numId w:val="3"/>
        </w:numPr>
        <w:spacing w:lineRule="auto"/>
      </w:pPr>
      <w:r>
        <w:rPr/>
        <w:t xml:space="preserve">a.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(. .) est le produit scalaire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 en I.4.</w:t>
      </w:r>
      <w:r>
        <w:rPr/>
        <w:br w:type="textWrapping"/>
      </w:r>
      <w:r>
        <w:rPr>
          <w:rFonts w:eastAsia="Georgia" w:cs="Georgia" w:ascii="Georgia" w:hAnsi="Georgia"/>
        </w:rPr>
        <w:t xml:space="preserve">À cet effet, on pourra commencer par effectuer une intégration par parties sur un intervalle fermé borné.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orthogonale dans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Établir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 Montrer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p"/>
          </m:rPr>
          <m:t>.4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6" w:name="partie_iv_un_endomorphisme_symétrique"/>
      <w:r>
        <w:rPr>
          <w:rFonts w:eastAsia="Georgia" w:cs="Georgia" w:ascii="Georgia" w:hAnsi="Georgia"/>
          <w:b/>
          <w:sz w:val="42"/>
        </w:rPr>
        <w:t xml:space="preserve">Partie IV : Un endomorphisme symétrique</w:t>
      </w:r>
      <w:bookmarkEnd w:id="6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les applications définies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×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×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Ainsi, par exemple,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sont aussi des endomorphismes de </w:t>
      </w:r>
      <m:oMath>
        <m:r>
          <m:rPr>
            <m:sty m:val="i"/>
          </m:rPr>
          <m:t>F</m:t>
        </m:r>
      </m:oMath>
      <w:r>
        <w:rPr/>
        <w:t xml:space="preserve">, et 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l'application identique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a. Établir :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a. Calculer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Calculer,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en déduire,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Établir,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cet effet, on pourra commencer par effectuer une intégration par parties sur un intervalle fermé borné.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 Montrer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endomorphisme symétrique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Donner une base orthonormale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constituée de vecteurs propres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7" w:name="partie_v_intervention_d_exponentielles"/>
      <w:r>
        <w:rPr>
          <w:b/>
          <w:sz w:val="42"/>
        </w:rPr>
        <w:t xml:space="preserve">Partie V : Intervention d'exponentielles</w:t>
      </w:r>
      <w:bookmarkEnd w:id="7"/>
    </w:p>
    <w:p>
      <w:pPr>
        <w:spacing w:after="220" w:lineRule="auto"/>
      </w:pPr>
      <w:r>
        <w:rPr/>
        <w:t xml:space="preserve">On note,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par :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Montrer,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ln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converge et calculer sa somme.</w:t>
      </w:r>
    </w:p>
    <w:p>
      <w:pPr>
        <w:spacing w:line="271" w:before="330" w:lineRule="auto"/>
      </w:pPr>
      <w:bookmarkStart w:id="8" w:name="partie_vi_une_limite_de_probabili_3990cd"/>
      <w:r>
        <w:rPr>
          <w:rFonts w:eastAsia="Georgia" w:cs="Georgia" w:ascii="Georgia" w:hAnsi="Georgia"/>
          <w:b/>
          <w:sz w:val="42"/>
        </w:rPr>
        <w:t xml:space="preserve">Partie VI: Une limite de probabilité conditionnelle</w:t>
      </w:r>
      <w:bookmarkEnd w:id="8"/>
    </w:p>
    <w:p>
      <w:pPr>
        <w:spacing w:after="220" w:lineRule="auto"/>
      </w:pPr>
      <w:r>
        <w:rPr/>
        <w:t xml:space="preserve">Soit la fonction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et déterminer sa dérivée </w:t>
      </w:r>
      <m:oMath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les fonctions définies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3</m:t>
                          </m:r>
                        </m:sup>
                      </m:sSup>
                    </m:den>
                  </m:f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les limites des fonctions </w:t>
      </w:r>
      <m:oMath>
        <m:r>
          <m:rPr>
            <m:sty m:val="p"/>
          </m:rPr>
          <m:t>Φ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les sens de variation des fonctions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p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Φ</m:t>
        </m:r>
        <m:r>
          <m:rPr>
            <m:sty m:val="p"/>
          </m:rPr>
          <m:t>−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d. Montrer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normale d'espérance égale à 0 et d'écart-type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strictement positif, exprimer la probabilité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 fonction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considère la probabilité conditionnelle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2026-05-03T11:08:11.700Z</dcterms:created>
  <dcterms:modified xsi:type="dcterms:W3CDTF">2026-05-03T11:08:11.700Z</dcterms:modified>
</cp:coreProperties>
</file>