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SPÉCIFIQUE-FILIÈRE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ne sont pas autorisées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des entiers supérieurs ou égaux à </w:t>
      </w:r>
      <m:oMath>
        <m:r>
          <m:rPr>
            <m:sty m:val="p"/>
          </m:rPr>
          <m:t>1</m:t>
        </m:r>
        <m:r>
          <m:rPr>
            <m:sty m:val="p"/>
          </m:rPr>
          <m:t>.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à coefficients réels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 On identifiera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respectivement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que l'on supposera munis de leurs produits scalaires canoniques notés respectivement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. Les normes associées à ces produits scalaires seront notées respectivement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celle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est muni de sa structure d'algèbre,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représentant la matrice identité.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: c'est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 est le noyau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 est l'image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Im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Enfin, on adopte la notation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pour désigner l'orthogonal d'un sous-espace vectoriel </w:t>
      </w:r>
      <m:oMath>
        <m:r>
          <m:rPr>
            <m:sty m:val="i"/>
          </m:rPr>
          <m:t>F</m:t>
        </m:r>
      </m:oMath>
      <w:r>
        <w:rPr/>
        <w:t xml:space="preserve"> d'un espace euclidien.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I.1.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est nulle si et seulement si </w:t>
      </w:r>
      <m:oMath>
        <m:r>
          <m:rPr>
            <m:sty m:val="i"/>
          </m:rPr>
          <m:t>A</m:t>
        </m:r>
      </m:oMath>
      <w:r>
        <w:rPr/>
        <w:t xml:space="preserve"> est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sera supposée non nulle.</w:t>
      </w:r>
      <w:r>
        <w:rPr/>
        <w:br w:type="textWrapping"/>
      </w:r>
      <w:r>
        <w:rPr/>
        <w:t xml:space="preserve">I.2. Montrer que les matrices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sont diagonalisables au moyen de matrices orthogonales.</w:t>
      </w:r>
      <w:r>
        <w:rPr/>
        <w:br w:type="textWrapping"/>
      </w:r>
      <w:r>
        <w:rPr/>
        <w:t xml:space="preserve">I.1.a)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désignant deux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exprimer le produit scalaire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sous la forme d'un produit matriciel.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W</m:t>
        </m:r>
      </m:oMath>
      <w:r>
        <w:rPr/>
        <w:t xml:space="preserve"> est un vecteur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, exprimer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W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réelles, positives ou nulles.</w:t>
      </w:r>
      <w:r>
        <w:rPr/>
        <w:br w:type="textWrapping"/>
      </w:r>
      <w:r>
        <w:rPr/>
        <w:t xml:space="preserve">I.4.a)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calculer les produits matriciels par bloc suivants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les matrices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les mêmes valeurs propres non nulles avec le même ordre de multiplicité.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également que les matrices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même rang.</w:t>
      </w:r>
      <w:r>
        <w:rPr/>
        <w:br w:type="textWrapping"/>
      </w:r>
      <w:r>
        <w:rPr/>
        <w:t xml:space="preserve">I.5. Montrer que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est valeur propre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et que si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est valeur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I.6.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chaque valeur propre apparaissant dans cette liste un nombre de fois égal à son ordre de multiplicité et on pose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rad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réels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appelés valeurs singulières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les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ordonnés tels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un unique entier naturel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 comme suit : si toutes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sont non nulles,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, sinon </w:t>
      </w:r>
      <m:oMath>
        <m:r>
          <m:rPr>
            <m:sty m:val="i"/>
          </m:rPr>
          <m:t>r</m:t>
        </m:r>
      </m:oMath>
      <w:r>
        <w:rPr/>
        <w:t xml:space="preserve"> est tel que pour tout </w:t>
      </w:r>
      <m:oMath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une base orthonormale de vecteurs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respectivement associés aux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désignent les vecteurs propres associés aux valeurs propres non nulles et lorsque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strictement inférieur à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désignent les vecteurs propres associés à la valeur propre 0 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que la dimension de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on désigne par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base orthonormale de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que 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strictement inférieur à </w:t>
      </w:r>
      <m:oMath>
        <m:r>
          <m:rPr>
            <m:sty m:val="i"/>
          </m:rPr>
          <m:t>p</m:t>
        </m:r>
      </m:oMath>
      <w:r>
        <w:rPr/>
        <w:t xml:space="preserve">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e) Montrer que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 le système de vecteurs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constitue une base orthonormale de vecteurs propres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préciser la valeur propre associée à chaque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I.7. On note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la matrice carrée réelle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le ième vecteur colonne est le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matrice carrée réelle d'ordre </w:t>
      </w:r>
      <m:oMath>
        <m:r>
          <m:rPr>
            <m:sty m:val="i"/>
          </m:rPr>
          <m:t>n</m:t>
        </m:r>
      </m:oMath>
      <w:r>
        <w:rPr/>
        <w:t xml:space="preserve"> dont le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vecteur colonne est le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V</m:t>
                </m:r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l'élément de la </w:t>
      </w:r>
      <m:oMath>
        <m:r>
          <m:rPr>
            <m:sty m:val="p"/>
          </m:rPr>
          <m:t>i</m:t>
        </m:r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ligne, jème colonne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×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V</m:t>
                  </m:r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On note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la matrice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nuls sauf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respectivement égaux à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factorisation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obtenue est dite décomposition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en valeurs singulières.</w:t>
      </w:r>
      <w:r>
        <w:rPr/>
        <w:br w:type="textWrapping"/>
      </w:r>
      <w:r>
        <w:rPr>
          <w:rFonts w:eastAsia="Georgia" w:cs="Georgia" w:ascii="Georgia" w:hAnsi="Georgia"/>
        </w:rPr>
        <w:t xml:space="preserve">c) Trouver une décomposition en valeurs singulières de chacune des matrices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I.8. Montrer que le rang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I.9.a) Montrer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les sous-espaces vectoriels suivants :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Ker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Im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sSup>
          <m:sSupPr/>
          <m:e>
            <m:r>
              <m:rPr>
                <m:sty m:val="p"/>
              </m:rPr>
              <m:t>Ker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Ker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Avec les notations de la partie </w:t>
      </w:r>
      <m:oMath>
        <m:r>
          <m:rPr>
            <m:sty m:val="b"/>
          </m:rPr>
          <m:t>I</m:t>
        </m:r>
      </m:oMath>
      <w:r>
        <w:rPr/>
        <w:t xml:space="preserve">,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admettant une décomposition en valeurs singulières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, on appelle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tpus les éléments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sont nuls sauf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11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22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respectivement égaux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den>
        </m:f>
      </m:oMath>
      <w:r>
        <w:rPr/>
        <w:t xml:space="preserve"> et on pose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(resp.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) est appelée pseudo-inverse de </w:t>
      </w:r>
      <m:oMath>
        <m:r>
          <m:rPr>
            <m:sty m:val="p"/>
          </m:rPr>
          <m:t>Δ</m:t>
        </m:r>
      </m:oMath>
      <w:r>
        <w:rPr/>
        <w:t xml:space="preserve"> (resp. de A). A priori,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ainsi définie dépend de la décomposition en valeurs singulières choisie pour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mais il sera montré à la question II. 9 qu'il n'en est rien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uniquement déterminée à partir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 Déterminer les matrices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Déterminer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II.,. 3 Evaluer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Δ</m:t>
        </m:r>
      </m:oMath>
      <w:r>
        <w:rPr/>
        <w:t xml:space="preserve"> et </w:t>
      </w:r>
      <m:oMath>
        <m:r>
          <m:rPr>
            <m:sty m:val="p"/>
          </m:rPr>
          <m:t>Δ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II.4.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inversible (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),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II.5.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t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t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t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II.6.a) Evaluer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projection orthogonale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de même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A</m:t>
        </m:r>
      </m:oMath>
      <w:r>
        <w:rPr/>
        <w:t xml:space="preserve"> est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la projection orthogonale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 Etablir les identités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II.8. Etablir les résultats suivants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A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⊕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II.9. Soit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 les identités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iii)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autrement dit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l'unique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les relations (1).</w:t>
      </w:r>
      <w:r>
        <w:rPr/>
        <w:br w:type="textWrapping"/>
      </w:r>
      <w:r>
        <w:rPr/>
        <w:t xml:space="preserve">II.10.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II.11. Evaluer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. A-t-on l'égalité?</w:t>
      </w:r>
      <w:r>
        <w:rPr/>
        <w:br w:type="textWrapping"/>
      </w:r>
      <w:r>
        <w:rPr/>
        <w:t xml:space="preserve">II.12.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H</m:t>
        </m:r>
      </m:oMath>
      <w:r>
        <w:rPr/>
        <w:t xml:space="preserve">. On note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distance de </w:t>
      </w:r>
      <m:oMath>
        <m:r>
          <m:rPr>
            <m:sty m:val="i"/>
          </m:rPr>
          <m:t>H</m:t>
        </m:r>
      </m:oMath>
      <w:r>
        <w:rPr/>
        <w:t xml:space="preserve"> au sousespace vectoriel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orthogonaux et en déduire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acc>
            <m:accPr>
              <m:chr m:val="‾"/>
            </m:accPr>
            <m:e>
              <m:r>
                <m:rPr>
                  <m:sty m:val="i"/>
                </m:rPr>
                <m:t>H</m:t>
              </m:r>
            </m:e>
          </m:acc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Que vaut alors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s'il existe </w:t>
      </w:r>
      <m:oMath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−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acc>
          <m:accPr>
            <m:chr m:val="‾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−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≠</m:t>
        </m:r>
        <m:acc>
          <m:accPr>
            <m:chr m:val="‾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, alors </w:t>
      </w:r>
      <m:oMath>
        <m:r>
          <m:rPr>
            <m:sty m:val="p"/>
          </m:rPr>
          <m:t>‖</m:t>
        </m:r>
        <m:acc>
          <m:accPr>
            <m:chr m:val="‾"/>
          </m:accPr>
          <m:e>
            <m:r>
              <m:rPr>
                <m:sty m:val="i"/>
              </m:rPr>
              <m:t>H</m:t>
            </m:r>
          </m:e>
        </m:acc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‖</m:t>
        </m:r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déterminer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H</m:t>
                </m:r>
              </m:e>
            </m:d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2025-08-29T16:04:55.274Z</dcterms:created>
  <dcterms:modified xsi:type="dcterms:W3CDTF">2025-08-29T16:04:55.274Z</dcterms:modified>
</cp:coreProperties>
</file>