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Le sujet comporte 6 pages.</w:t>
      </w:r>
    </w:p>
    <w:p>
      <w:pPr>
        <w:spacing w:line="271" w:before="330" w:lineRule="auto"/>
      </w:pPr>
      <w:r>
        <w:rPr>
          <w:b/>
          <w:sz w:val="42"/>
        </w:rPr>
        <w:t xml:space="preserve">Notations et objectifs</w:t>
      </w:r>
    </w:p>
    <w:p>
      <w:pPr>
        <w:spacing w:after="220" w:lineRule="auto"/>
      </w:pP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désigne l'ensemble des nombres réels,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désigne l'ensemble des nombres complexes. Pour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, on note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</m:oMath>
      <w:r>
        <w:rPr/>
        <w:t xml:space="preserve"> le module de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l'espace des matrices à deux lignes et à deux colonnes, à coefficients complexes.</w:t>
      </w:r>
      <w:r>
        <w:rPr/>
        <w:br w:type="textWrapping"/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étant une matrice à coefficients complexes, on note </w:t>
      </w:r>
      <m:oMath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m</m:t>
                    </m:r>
                  </m:e>
                </m:acc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la matrice dont les coefficients sont les conjugués des coefficients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La matrice transposée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notée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déterminant de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la trace de </w:t>
      </w:r>
      <m:oMath>
        <m:r>
          <m:rPr>
            <m:sty m:val="i"/>
          </m:rPr>
          <m:t>M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porte sur l'étude de sous-ensembles de matrices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conduit à définir, par des matrices de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des rotations d'un espace euclidien de dimension 3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première partie, on définit un produit scalaire sur l'espace vectoriel complexe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deuxième et la troisième partie, on étudie des sous-ensembles de matrices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quatrième partie, on définit une structure euclidienne sur un sous-ensemble de matrices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on étudie des automorphismes de cet espace euclidien.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des questions de calcul peuvent être traitées indépendamment des autres questions.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le </w:t>
      </w:r>
      <m:oMath>
        <m:r>
          <m:rPr>
            <m:scr m:val="double-struck"/>
          </m:rPr>
          <m:t>C</m:t>
        </m:r>
      </m:oMath>
      <w:r>
        <w:rPr/>
        <w:t xml:space="preserve">-espace vectoriel des couples de nombres complexes. Les deux vecteurs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forment une base </w:t>
      </w:r>
      <m:oMath>
        <m:r>
          <m:rPr>
            <m:sty m:val="p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appelée base canonique.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 deux vecteurs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 xml:space="preserve"> 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de matrices </w:t>
      </w:r>
      <m:oMath>
        <m:r>
          <m:rPr>
            <m:sty m:val="p"/>
          </m:rPr>
          <m:t xml:space="preserve"> </m:t>
        </m:r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a</m:t>
                </m:r>
              </m:num>
              <m:den>
                <m:r>
                  <m:rPr>
                    <m:sty m:val="i"/>
                  </m:rPr>
                  <m:t>b</m:t>
                </m:r>
              </m:den>
            </m:f>
          </m:e>
        </m:d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c</m:t>
                </m:r>
              </m:num>
              <m:den>
                <m:r>
                  <m:rPr>
                    <m:sty m:val="i"/>
                  </m:rPr>
                  <m:t>d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, relativement à la base canonique, on définit le produit scalaire </w:t>
      </w:r>
      <m:oMath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∣</m:t>
        </m:r>
        <m:r>
          <m:rPr>
            <m:sty m:val="b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bar>
          <m:barPr>
            <m:pos m:val="top"/>
          </m:barPr>
          <m:e>
            <m:r>
              <m:rPr>
                <m:sty m:val="bi"/>
              </m:rPr>
              <m:t>a</m:t>
            </m:r>
          </m:e>
        </m:bar>
        <m:r>
          <m:rPr>
            <m:sty m:val="bi"/>
          </m:rPr>
          <m:t>c</m:t>
        </m:r>
        <m:r>
          <m:rPr>
            <m:sty m:val="p"/>
          </m:rPr>
          <m:t>+</m:t>
        </m:r>
        <m:bar>
          <m:barPr>
            <m:pos m:val="top"/>
          </m:barPr>
          <m:e>
            <m:r>
              <m:rPr>
                <m:sty m:val="bi"/>
              </m:rPr>
              <m:t>b</m:t>
            </m:r>
          </m:e>
        </m:bar>
        <m:r>
          <m:rPr>
            <m:sty m:val="bi"/>
          </m:rPr>
          <m:t>d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bi"/>
              </m:rPr>
              <m:t>t</m:t>
            </m:r>
          </m:sup>
        </m:sSup>
        <m:bar>
          <m:barPr>
            <m:pos m:val="top"/>
          </m:barPr>
          <m:e>
            <m:r>
              <m:rPr>
                <m:sty m:val="bi"/>
              </m:rPr>
              <m:t>X</m:t>
            </m:r>
          </m:e>
        </m:bar>
        <m:r>
          <m:rPr>
            <m:sty m:val="bi"/>
          </m:rPr>
          <m:t>Y</m:t>
        </m:r>
      </m:oMath>
      <w:r>
        <w:rPr>
          <w:rFonts w:eastAsia="Georgia" w:cs="Georgia" w:ascii="Georgia" w:hAnsi="Georgia"/>
        </w:rPr>
        <w:t xml:space="preserve">; la norme est définie par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rad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|</m:t>
            </m:r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p"/>
                  </m:rPr>
                  <m:t>|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b</m:t>
            </m:r>
            <m:sSup>
              <m:sSupPr/>
              <m:e>
                <m:r>
                  <m:rPr>
                    <m:sty m:val="p"/>
                  </m:rPr>
                  <m:t>|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un espace vectoriel préhilbertien complexe pour ce produit scalaire et </w:t>
      </w:r>
      <m:oMath>
        <m:r>
          <m:rPr>
            <m:sty m:val="i"/>
          </m:rPr>
          <m:t>B</m:t>
        </m:r>
      </m:oMath>
      <w:r>
        <w:rPr/>
        <w:t xml:space="preserve"> est une base orthonormale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I.1. Soient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 deux vecteurs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μ</m:t>
        </m:r>
      </m:oMath>
      <w:r>
        <w:rPr/>
        <w:t xml:space="preserve"> deux scalaires complexes. Exprimer les produits scalaires </w:t>
      </w:r>
      <m:oMath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∣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μ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en fonction du produit scalaire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I.2. Soient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3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5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deux vecteurs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I.2.1 À quelle condition sur le nombre complexe </w:t>
      </w:r>
      <m:oMath>
        <m:r>
          <m:rPr>
            <m:sty m:val="i"/>
          </m:rPr>
          <m:t>a</m:t>
        </m:r>
      </m:oMath>
      <w:r>
        <w:rPr/>
        <w:t xml:space="preserve">, les vecteurs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forment-ils une base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I.2.2 À quelle condition cette base est-elle orthogonale ? Dans ce cas, calculer la norme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I.3. Soit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i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m:t>3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m:t>3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i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I.3.1 Déterminer les valeurs propres (complexes) et les sous-espaces propres de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I.3.2 En déduire qu'il existe une base orthonormale de vecteurs propres de </w:t>
      </w:r>
      <m:oMath>
        <m:r>
          <m:rPr>
            <m:sty m:val="i"/>
          </m:rPr>
          <m:t>T</m:t>
        </m:r>
      </m:oMath>
      <w:r>
        <w:rPr/>
        <w:t xml:space="preserve">, que l'on explicitera.</w:t>
      </w:r>
      <w:r>
        <w:rPr/>
        <w:br w:type="textWrapping"/>
      </w:r>
      <w:r>
        <w:rPr/>
        <w:t xml:space="preserve">I.4. Soit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On note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 xml:space="preserve"> </m:t>
        </m:r>
      </m:oMath>
      <w:r>
        <w:rPr/>
        <w:t xml:space="preserve"> les vecteurs colonnes de </w:t>
      </w:r>
      <m:oMath>
        <m:r>
          <m:rPr>
            <m:sty m:val="i"/>
          </m:rPr>
          <m:t>U</m:t>
        </m:r>
      </m:oMath>
      <w:r>
        <w:rPr/>
        <w:t xml:space="preserve">. Exprimer le produit matriciel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acc>
          <m:accPr>
            <m:chr m:val="‾"/>
          </m:accPr>
          <m:e>
            <m:r>
              <m:rPr>
                <m:sty m:val="i"/>
              </m:rPr>
              <m:t>U</m:t>
            </m:r>
          </m:e>
        </m:acc>
        <m:r>
          <m:rPr>
            <m:sty m:val="i"/>
          </m:rPr>
          <m:t>U</m:t>
        </m:r>
      </m:oMath>
      <w:r>
        <w:rPr/>
        <w:t xml:space="preserve"> en fonction de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y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 xml:space="preserve"> </m:t>
        </m:r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C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;</m:t>
            </m:r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acc>
              <m:accPr>
                <m:chr m:val="‾"/>
              </m:accPr>
              <m:e>
                <m:r>
                  <m:rPr>
                    <m:sty m:val="i"/>
                  </m:rPr>
                  <m:t>U</m:t>
                </m:r>
              </m:e>
            </m:acc>
            <m:r>
              <m:rPr>
                <m:sty m:val="i"/>
              </m:rPr>
              <m:t>U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II.1. Soit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À quelle condition sur les vecteurs colonnes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ty m:val="i"/>
          </m:rPr>
          <m:t>U</m:t>
        </m:r>
      </m:oMath>
      <w:r>
        <w:rPr/>
        <w:t xml:space="preserve"> a-t-on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U</m:t>
        </m:r>
      </m:oMath>
      <w:r>
        <w:rPr/>
        <w:t xml:space="preserve"> ?</w:t>
      </w:r>
      <w:r>
        <w:rPr/>
        <w:br w:type="textWrapping"/>
      </w:r>
      <w:r>
        <w:rPr/>
        <w:t xml:space="preserve">II.2. 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U</m:t>
        </m:r>
      </m:oMath>
      <w:r>
        <w:rPr/>
        <w:t xml:space="preserve">. Calculer </w:t>
      </w:r>
      <m:oMath>
        <m:r>
          <m:rPr>
            <m:sty m:val="p"/>
          </m:rPr>
          <m:t>|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, le module </w:t>
      </w:r>
      <m:oMath>
        <m:r>
          <m:rPr>
            <m:sty m:val="p"/>
          </m:rPr>
          <m:t>de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II.3. 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II.3.1. Montrer que </w:t>
      </w:r>
      <m:oMath>
        <m:r>
          <m:rPr>
            <m:sty m:val="i"/>
          </m:rPr>
          <m:t>U</m:t>
        </m:r>
      </m:oMath>
      <w:r>
        <w:rPr/>
        <w:t xml:space="preserve"> est inversible et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II.3.2. Montrer que </w:t>
      </w:r>
      <m:oMath>
        <m:acc>
          <m:accPr>
            <m:chr m:val="‾"/>
          </m:accPr>
          <m:e>
            <m:r>
              <m:rPr>
                <m:sty m:val="i"/>
              </m:rPr>
              <m:t>U</m:t>
            </m:r>
          </m:e>
        </m:acc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p"/>
          </m:rPr>
          <m:t>∪</m:t>
        </m:r>
      </m:oMath>
      <w:r>
        <w:rPr/>
        <w:t xml:space="preserve"> et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p"/>
          </m:rPr>
          <m:t>∪</m:t>
        </m:r>
      </m:oMath>
      <w:r>
        <w:rPr/>
        <w:t xml:space="preserve">.</w:t>
      </w:r>
      <w:r>
        <w:rPr/>
        <w:br w:type="textWrapping"/>
      </w:r>
      <w:r>
        <w:rPr/>
        <w:t xml:space="preserve">II.3.3. Soit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U</m:t>
        </m:r>
      </m:oMath>
      <w:r>
        <w:rPr/>
        <w:t xml:space="preserve">. Montrer que le produit </w:t>
      </w:r>
      <m:oMath>
        <m:r>
          <m:rPr>
            <m:sty m:val="i"/>
          </m:rPr>
          <m:t>U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II.4. 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U</m:t>
        </m:r>
      </m:oMath>
      <w:r>
        <w:rPr/>
        <w:t xml:space="preserve"> et soit </w:t>
      </w:r>
      <m:oMath>
        <m:r>
          <m:rPr>
            <m:sty m:val="i"/>
          </m:rPr>
          <m:t>λ</m:t>
        </m:r>
      </m:oMath>
      <w:r>
        <w:rPr/>
        <w:t xml:space="preserve"> une valeur propre complexe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Déterminer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>su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U</m:t>
        </m:r>
        <m:r>
          <m:rPr>
            <m:sty m:val="p"/>
          </m:rPr>
          <m:t>;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on définit la matrice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SU</m:t>
        </m:r>
      </m:oMath>
      <w:r>
        <w:rPr/>
        <w:t xml:space="preserve"> par: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θ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θ</m:t>
                      </m:r>
                    </m:sup>
                  </m:sSup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III.1. Soit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III.1.1. Donner les quatre relations portant sur les scalaires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qui caractérisent l'appartenance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à su .</w:t>
      </w:r>
      <w:r>
        <w:rPr/>
        <w:br w:type="textWrapping"/>
      </w:r>
      <w:r>
        <w:rPr/>
        <w:t xml:space="preserve">III.1.2. On suppose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appartient à SU . Montrer que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−</m:t>
        </m:r>
        <m:acc>
          <m:accPr>
            <m:chr m:val="‾"/>
          </m:accPr>
          <m:e>
            <m:r>
              <m:rPr>
                <m:sty m:val="i"/>
              </m:rPr>
              <m:t>b</m:t>
            </m:r>
          </m:e>
        </m:acc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acc>
          <m:accPr>
            <m:chr m:val="‾"/>
          </m:accPr>
          <m:e>
            <m:r>
              <m:rPr>
                <m:sty m:val="i"/>
              </m:rPr>
              <m:t>a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III.1.3. En déduire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appartient à su si et seulement si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b</m:t>
                      </m:r>
                    </m:e>
                  </m:acc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a</m:t>
                      </m:r>
                    </m:e>
                  </m:acc>
                </m:e>
              </m:mr>
            </m:m>
          </m:e>
        </m:d>
      </m:oMath>
      <w:r>
        <w:rPr/>
        <w:t xml:space="preserve"> avec </w:t>
      </w:r>
      <m:oMath>
        <m:r>
          <m:rPr>
            <m:sty m:val="p"/>
          </m:rPr>
          <m:t>|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|</m:t>
        </m:r>
        <m:r>
          <m:rPr>
            <m:sty m:val="i"/>
          </m:rPr>
          <m:t>b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III.2. Soit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b</m:t>
                      </m:r>
                    </m:e>
                  </m:acc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a</m:t>
                      </m:r>
                    </m:e>
                  </m:acc>
                </m:e>
              </m:mr>
            </m:m>
          </m:e>
        </m:d>
      </m:oMath>
      <w:r>
        <w:rPr/>
        <w:t xml:space="preserve">, avec </w:t>
      </w:r>
      <m:oMath>
        <m:r>
          <m:rPr>
            <m:sty m:val="p"/>
          </m:rPr>
          <m:t>|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|</m:t>
        </m:r>
        <m:r>
          <m:rPr>
            <m:sty m:val="i"/>
          </m:rPr>
          <m:t>b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une matrice de su 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III.2.1 Déterminer le polynôme caractéristique </w:t>
      </w:r>
      <m:oMath>
        <m:r>
          <m:rPr>
            <m:sty m:val="i"/>
          </m:rPr>
          <m:t>χ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En déduire qu'il existe un réel </w:t>
      </w:r>
      <m:oMath>
        <m:r>
          <m:rPr>
            <m:sty m:val="i"/>
          </m:rPr>
          <m:t>θ</m:t>
        </m:r>
      </m:oMath>
      <w:r>
        <w:rPr/>
        <w:t xml:space="preserve"> tel que les valeurs propres de </w:t>
      </w:r>
      <m:oMath>
        <m:r>
          <m:rPr>
            <m:sty m:val="i"/>
          </m:rPr>
          <m:t>U</m:t>
        </m:r>
      </m:oMath>
      <w:r>
        <w:rPr/>
        <w:t xml:space="preserve"> sont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Etant donné une matrice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SU</m:t>
        </m:r>
      </m:oMath>
      <w:r>
        <w:rPr/>
        <w:t xml:space="preserve">, on admet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semblable à une matrice diagonale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 avec une matrice de passage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SU</m:t>
        </m:r>
      </m:oMath>
      <w:r>
        <w:rPr>
          <w:rFonts w:eastAsia="Georgia" w:cs="Georgia" w:ascii="Georgia" w:hAnsi="Georgia"/>
        </w:rPr>
        <w:t xml:space="preserve">, c'est à dire qu'il existe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SU</m:t>
        </m:r>
      </m:oMath>
      <w:r>
        <w:rPr/>
        <w:t xml:space="preserve"> tels que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P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θ</m:t>
            </m:r>
          </m:sub>
        </m:sSub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La démonstration de ce résultat fera l'objet de la question IV.7.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III.2.2. Vérifier que la matrice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définie à la question </w:t>
      </w:r>
      <m:oMath>
        <m:r>
          <m:rPr>
            <m:sty m:val="b"/>
          </m:rPr>
          <m:t>I</m:t>
        </m:r>
        <m:r>
          <m:rPr>
            <m:sty m:val="p"/>
          </m:rPr>
          <m:t>.</m:t>
        </m:r>
        <m:r>
          <m:rPr>
            <m:sty m:val="b"/>
          </m:rPr>
          <m:t>3</m:t>
        </m:r>
      </m:oMath>
      <w:r>
        <w:rPr>
          <w:rFonts w:eastAsia="Georgia" w:cs="Georgia" w:ascii="Georgia" w:hAnsi="Georgia"/>
        </w:rPr>
        <w:t xml:space="preserve"> appartient à SU . Déterminer un réel </w:t>
      </w:r>
      <m:oMath>
        <m:r>
          <m:rPr>
            <m:sty m:val="i"/>
          </m:rPr>
          <m:t>θ</m:t>
        </m:r>
      </m:oMath>
      <w:r>
        <w:rPr/>
        <w:t xml:space="preserve"> et une matrice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appartenant à SU , tels que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P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θ</m:t>
            </m:r>
          </m:sub>
        </m:sSub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/>
        <w:t xml:space="preserve">Rappel :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étant un espace euclidien orienté de dimension 3, rapporté à la base orthonormale directe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étant un réel, 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</m:e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la matrice, relativement à cette base, de la rotation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d'axe dirigé par le vecteur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dont une mesure de l'angle est le réel </w:t>
      </w:r>
      <m:oMath>
        <m:r>
          <m:rPr>
            <m:sty m:val="i"/>
          </m:rPr>
          <m:t>θ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>V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p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C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=</m:t>
            </m:r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acc>
              <m:accPr>
                <m:chr m:val="‾"/>
              </m:accPr>
              <m:e>
                <m:r>
                  <m:rPr>
                    <m:sty m:val="i"/>
                  </m:rPr>
                  <m:t>A</m:t>
                </m:r>
              </m:e>
            </m:acc>
          </m:e>
        </m:d>
      </m:oMath>
      <w:r>
        <w:rPr/>
        <w:t xml:space="preserve"> et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tr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IV.1.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IV.1.1. Montrer que </w:t>
      </w:r>
      <m:oMath>
        <m:r>
          <m:rPr>
            <m:sty m:val="i"/>
          </m:rPr>
          <m:t>A</m:t>
        </m:r>
      </m:oMath>
      <w:r>
        <w:rPr/>
        <w:t xml:space="preserve"> est de la forme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s</m:t>
                  </m:r>
                </m:e>
              </m:mr>
              <m:mr>
                <m:e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s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</m:oMath>
      <w:r>
        <w:rPr/>
        <w:t xml:space="preserve"> avec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réels. En déduire que </w:t>
      </w:r>
      <m:oMath>
        <m:r>
          <m:rPr>
            <m:sty m:val="p"/>
          </m:rPr>
          <m:t>∨</m:t>
        </m:r>
      </m:oMath>
      <w:r>
        <w:rPr>
          <w:rFonts w:eastAsia="Georgia" w:cs="Georgia" w:ascii="Georgia" w:hAnsi="Georgia"/>
        </w:rPr>
        <w:t xml:space="preserve"> est un espace vectoriel réel dont une base est formée par les matrices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i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i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IV.1.2. Montrer que l'application définie sur </w:t>
      </w:r>
      <m:oMath>
        <m:r>
          <m:rPr>
            <m:sty m:val="p"/>
          </m:rPr>
          <m:t>∨</m:t>
        </m:r>
        <m:r>
          <m:rPr>
            <m:sty m:val="p"/>
          </m:rPr>
          <m:t>XV</m:t>
        </m:r>
      </m:oMath>
      <w:r>
        <w:rPr/>
        <w:t xml:space="preserve"> par :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↦&lt;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&gt;=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définit un produit scalaire sur l'espace vectoriel réel V. En notant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⟨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⟩</m:t>
            </m:r>
          </m:e>
        </m:rad>
      </m:oMath>
      <w:r>
        <w:rPr/>
        <w:t xml:space="preserve"> la norme de </w:t>
      </w:r>
      <m:oMath>
        <m:r>
          <m:rPr>
            <m:sty m:val="i"/>
          </m:rPr>
          <m:t>A</m:t>
        </m:r>
      </m:oMath>
      <w:r>
        <w:rPr/>
        <w:t xml:space="preserve">, exprimer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en fonction </w:t>
      </w:r>
      <m:oMath>
        <m:r>
          <m:rPr>
            <m:sty m:val="p"/>
          </m:rPr>
          <m:t>de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IV.1.3. Pour </w:t>
      </w:r>
      <m:oMath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appartenant à l'ensemble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/>
        <w:t xml:space="preserve">, calculer les produits scalaires </w:t>
      </w:r>
      <m:oMath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&gt;</m:t>
        </m:r>
      </m:oMath>
      <w:r>
        <w:rPr>
          <w:rFonts w:eastAsia="Georgia" w:cs="Georgia" w:ascii="Georgia" w:hAnsi="Georgia"/>
        </w:rPr>
        <w:t xml:space="preserve">. Que peut-on en déduire?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suite, on considère </w:t>
      </w:r>
      <m:oMath>
        <m:r>
          <m:rPr>
            <m:sty m:val="p"/>
          </m:rPr>
          <m:t>∨</m:t>
        </m:r>
      </m:oMath>
      <w:r>
        <w:rPr>
          <w:rFonts w:eastAsia="Georgia" w:cs="Georgia" w:ascii="Georgia" w:hAnsi="Georgia"/>
        </w:rPr>
        <w:t xml:space="preserve"> comme un espace euclidien, pour le produit scalaire défini ci-dessus.</w:t>
      </w:r>
      <w:r>
        <w:rPr/>
        <w:br w:type="textWrapping"/>
      </w:r>
      <w:r>
        <w:rPr/>
        <w:t xml:space="preserve">IV.2.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SU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l'application définie sur </w:t>
      </w:r>
      <m:oMath>
        <m:r>
          <m:rPr>
            <m:sty m:val="p"/>
          </m:rPr>
          <m:t>∨</m:t>
        </m:r>
      </m:oMath>
      <w:r>
        <w:rPr/>
        <w:t xml:space="preserve"> par :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∨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IV.2.1 Montrer que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un automorphisme orthogonal de l'espace euclidien </w:t>
      </w:r>
      <m:oMath>
        <m:r>
          <m:rPr>
            <m:sty m:val="p"/>
          </m:rPr>
          <m:t>∨</m:t>
        </m:r>
      </m:oMath>
      <w:r>
        <w:rPr>
          <w:rFonts w:eastAsia="Georgia" w:cs="Georgia" w:ascii="Georgia" w:hAnsi="Georgia"/>
        </w:rPr>
        <w:t xml:space="preserve"> (c'est-àdire un endomorphisme de </w:t>
      </w:r>
      <m:oMath>
        <m:r>
          <m:rPr>
            <m:sty m:val="p"/>
          </m:rPr>
          <m:t>∨</m:t>
        </m:r>
      </m:oMath>
      <w:r>
        <w:rPr/>
        <w:t xml:space="preserve"> qui conserve la norme).</w:t>
      </w:r>
      <w:r>
        <w:rPr/>
        <w:br w:type="textWrapping"/>
      </w:r>
      <w:r>
        <w:rPr/>
        <w:t xml:space="preserve">IV.2.2. Soient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dans SU . Montrer que le produit </w:t>
      </w:r>
      <m:oMath>
        <m:r>
          <m:rPr>
            <m:sty m:val="i"/>
          </m:rPr>
          <m:t>P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appartient à SU et montrer que la composée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o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vérifie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o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Dans la suite, pour </w:t>
      </w:r>
      <m:oMath>
        <m:r>
          <m:rPr>
            <m:sty m:val="i"/>
          </m:rPr>
          <w:rPr>
            <w:sz w:val="42"/>
          </w:rPr>
          <m:t>U</m:t>
        </m:r>
        <m:r>
          <m:rPr>
            <m:sty m:val="p"/>
          </m:rPr>
          <w:rPr>
            <w:sz w:val="42"/>
          </w:rPr>
          <m:t>∈</m:t>
        </m:r>
        <m:r>
          <m:rPr>
            <m:sty m:val="i"/>
          </m:rPr>
          <w:rPr>
            <w:sz w:val="42"/>
          </w:rPr>
          <m:t>S</m:t>
        </m:r>
        <m:r>
          <m:rPr>
            <m:sty m:val="i"/>
          </m:rPr>
          <w:rPr>
            <w:sz w:val="42"/>
          </w:rPr>
          <m:t>U</m:t>
        </m:r>
      </m:oMath>
      <w:r>
        <w:rPr>
          <w:rFonts w:eastAsia="Georgia" w:cs="Georgia" w:ascii="Georgia" w:hAnsi="Georgia"/>
          <w:b/>
          <w:sz w:val="42"/>
        </w:rPr>
        <w:t xml:space="preserve">, on étudie les automorphismes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l</m:t>
            </m:r>
          </m:e>
          <m:sub>
            <m:r>
              <m:rPr>
                <m:sty m:val="i"/>
              </m:rPr>
              <w:rPr>
                <w:sz w:val="42"/>
              </w:rPr>
              <m:t>U</m:t>
            </m:r>
          </m:sub>
        </m:sSub>
      </m:oMath>
      <w:r>
        <w:rPr>
          <w:b/>
          <w:sz w:val="42"/>
        </w:rPr>
        <w:t xml:space="preserve"> de v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IV.3 Caractérisation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IV.3.1. Pour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dans la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IV.3.2. En déduire que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sub>
        </m:sSub>
      </m:oMath>
      <w:r>
        <w:rPr/>
        <w:t xml:space="preserve"> est une rotation de l'espace euclidien </w:t>
      </w:r>
      <m:oMath>
        <m:r>
          <m:rPr>
            <m:sty m:val="p"/>
          </m:rPr>
          <m:t>∨</m:t>
        </m:r>
      </m:oMath>
      <w:r>
        <w:rPr/>
        <w:t xml:space="preserve">, dont on donnera un vecteur qui dirige l'axe et une mesure de l'angle.</w:t>
      </w:r>
      <w:r>
        <w:rPr/>
        <w:br w:type="textWrapping"/>
      </w:r>
      <w:r>
        <w:rPr/>
        <w:t xml:space="preserve">IV.4. 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S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En utilisant le résultat admis dans III.2., déterminer une base orthonormale de l'espace euclidien V , relativement à laquelle la matrice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est une matrice de rotation. Préciser un vecteur qui dirige l'axe et une mesure de l'angle de cette rotation.</w:t>
      </w:r>
      <w:r>
        <w:rPr/>
        <w:br w:type="textWrapping"/>
      </w:r>
      <w:r>
        <w:rPr/>
        <w:t xml:space="preserve">IV.5. Soit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b</m:t>
                      </m:r>
                    </m:e>
                  </m:acc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a</m:t>
                      </m:r>
                    </m:e>
                  </m:acc>
                </m:e>
              </m:mr>
            </m:m>
          </m:e>
        </m:d>
        <m:r>
          <m:rPr>
            <m:sty m:val="p"/>
          </m:rPr>
          <m:t>∈</m:t>
        </m:r>
        <m:r>
          <m:rPr>
            <m:sty m:val="i"/>
          </m:rPr>
          <m:t>S</m:t>
        </m:r>
        <m:r>
          <m:rPr>
            <m:sty m:val="i"/>
          </m:rPr>
          <m:t>U</m:t>
        </m:r>
      </m:oMath>
      <w:r>
        <w:rPr/>
        <w:t xml:space="preserve">. En notant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on écrit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p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H</m:t>
        </m:r>
      </m:oMath>
      <w:r>
        <w:rPr/>
        <w:t xml:space="preserve"> avec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IV.5.1. Montrer 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p"/>
          </m:rPr>
          <m:t>∨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IV.5.2 Déterminer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IV.5.3. En notant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déterminer par ses composantes relativement à la base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), un vecteur de l'axe de la rotation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IV.6. On considère la rotation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∨</m:t>
        </m:r>
      </m:oMath>
      <w:r>
        <w:rPr>
          <w:rFonts w:eastAsia="Georgia" w:cs="Georgia" w:ascii="Georgia" w:hAnsi="Georgia"/>
        </w:rPr>
        <w:t xml:space="preserve">, définie par la matrice de </w:t>
      </w:r>
      <m:oMath>
        <m:r>
          <m:rPr>
            <m:sty m:val="i"/>
          </m:rPr>
          <m:t>T</m:t>
        </m:r>
      </m:oMath>
      <w:r>
        <w:rPr/>
        <w:t xml:space="preserve"> de la question </w:t>
      </w:r>
      <m:oMath>
        <m:r>
          <m:rPr>
            <m:sty m:val="b"/>
          </m:rPr>
          <m:t>I</m:t>
        </m:r>
        <m:r>
          <m:rPr>
            <m:sty m:val="p"/>
          </m:rPr>
          <m:t>.</m:t>
        </m:r>
        <m:r>
          <m:rPr>
            <m:sty m:val="b"/>
          </m:rPr>
          <m:t>3</m:t>
        </m:r>
      </m:oMath>
      <w:r>
        <w:rPr/>
        <w:t xml:space="preserve">; donner un vecteur qui dirige l'axe et une mesure de l'angle de cette rotation.</w:t>
      </w:r>
      <w:r>
        <w:rPr/>
        <w:br w:type="textWrapping"/>
      </w:r>
      <w:r>
        <w:rPr/>
        <w:t xml:space="preserve">IV.7. 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S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Démonstration du résultat admis dans III.2.</w:t>
      </w:r>
      <w:r>
        <w:rPr/>
        <w:br w:type="textWrapping"/>
      </w:r>
      <w:r>
        <w:rPr/>
        <w:t xml:space="preserve">IV.7.1 On suppose que </w:t>
      </w:r>
      <m:oMath>
        <m:r>
          <m:rPr>
            <m:sty m:val="i"/>
          </m:rPr>
          <m:t>U</m:t>
        </m:r>
      </m:oMath>
      <w:r>
        <w:rPr/>
        <w:t xml:space="preserve"> a une valeur propre double ; quelles sont les matrices </w:t>
      </w:r>
      <m:oMath>
        <m:r>
          <m:rPr>
            <m:sty m:val="i"/>
          </m:rPr>
          <m:t>U</m:t>
        </m:r>
      </m:oMath>
      <w:r>
        <w:rPr/>
        <w:t xml:space="preserve"> possibles?</w:t>
      </w:r>
      <w:r>
        <w:rPr/>
        <w:br w:type="textWrapping"/>
      </w:r>
      <w:r>
        <w:rPr>
          <w:rFonts w:eastAsia="Georgia" w:cs="Georgia" w:ascii="Georgia" w:hAnsi="Georgia"/>
        </w:rPr>
        <w:t xml:space="preserve">IV.7.2 Dans le cas où </w:t>
      </w:r>
      <m:oMath>
        <m:r>
          <m:rPr>
            <m:sty m:val="i"/>
          </m:rPr>
          <m:t>U</m:t>
        </m:r>
      </m:oMath>
      <w:r>
        <w:rPr/>
        <w:t xml:space="preserve"> a deux valeurs propres distinctes, montrer que les sous espaces propres correspondants sont orthogonaux dans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En déduire le résultat admis dans III.2.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2025-08-29T15:52:58.472Z</dcterms:created>
  <dcterms:modified xsi:type="dcterms:W3CDTF">2025-08-29T15:52:58.472Z</dcterms:modified>
</cp:coreProperties>
</file>