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/>
        <w:t xml:space="preserve">Le sujet comporte 6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Le sujet comporte deux parties indépendantes.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 et par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l'ensemble des nombres complexes. Étant donné un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pour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)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carrées à </w:t>
      </w:r>
      <m:oMath>
        <m:r>
          <m:rPr>
            <m:sty m:val="i"/>
          </m:rPr>
          <m:t>n</m:t>
        </m:r>
      </m:oMath>
      <w:r>
        <w:rPr/>
        <w:t xml:space="preserve"> lignes (respectivement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lignes), à coefficients dans </w:t>
      </w:r>
      <m:oMath>
        <m:r>
          <m:rPr>
            <m:scr m:val="double-struck"/>
          </m:rPr>
          <m:t>K</m:t>
        </m:r>
      </m:oMath>
      <w:r>
        <w:rPr/>
        <w:t xml:space="preserve">. La notation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  <m:r>
          <m:rPr>
            <m:sty m:val="p"/>
          </m:rPr>
          <m:t>;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spectre complexe de </w:t>
      </w:r>
      <m:oMath>
        <m:r>
          <m:rPr>
            <m:sty m:val="i"/>
          </m:rPr>
          <m:t>A</m:t>
        </m:r>
      </m:oMath>
      <w:r>
        <w:rPr/>
        <w:t xml:space="preserve"> et,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sous-espace propre des vecteurs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coefficients diagonaux sont égaux à 1 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nombres entiers naturels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qui vérifient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nombre complexe </w:t>
      </w:r>
      <m:oMath>
        <m:r>
          <m:rPr>
            <m:sty m:val="i"/>
          </m:rPr>
          <m:t>z</m:t>
        </m:r>
      </m:oMath>
      <w:r>
        <w:rPr/>
        <w:t xml:space="preserve">, on note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lorsque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considère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la propriété ( </w:t>
      </w:r>
      <m:oMath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). Dans la première partie, on démontre une caractérisation géométrique d’une classe de matrices vérifiant la propriété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on fait établir des propriétés sur les éléments propres des matrices vérifiant la propriété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Dans cette partie,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Étant donné un nombre complexe </w:t>
      </w:r>
      <m:oMath>
        <m:r>
          <m:rPr>
            <m:sty m:val="i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le point du plan complexe d'affixe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c'est-à-dire le point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). On considère le triangle du plan complexe dont les sommets sont les points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</m:sSup>
      </m:oMath>
      <w:r>
        <w:rPr/>
        <w:t xml:space="preserve">.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l'intérieur de ce triangle, bords non compris. Soit </w:t>
      </w:r>
      <m:oMath>
        <m:r>
          <m:rPr>
            <m:sty m:val="i"/>
          </m:rPr>
          <m:t>D</m:t>
        </m:r>
      </m:oMath>
      <w:r>
        <w:rPr/>
        <w:t xml:space="preserve"> le disque ouvert du plan complexe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(origine du repère) et de rayon 1, c'est-à-dire l'ensemble des points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 1 Dessiner les ensembles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sur un même dessin. En notant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l'abscisse et l'ordonnée d'un point du plan complexe, donner les équations cartésiennes des côtés du triangle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Déterminer les équations cartésiennes des droites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Montrer qu'un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T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vérifient les trois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3</m:t>
              </m:r>
            </m:e>
          </m:rad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3</m:t>
              </m:r>
            </m:e>
          </m:rad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2 Dans cette question, on considère 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I.2.1 Montrer que 1 est valeur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la question I.2, on suppose que les autres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des nombres complexes conjugués distincts,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λ</m:t>
            </m:r>
          </m:e>
        </m:acc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I.2.2 Exprimer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λ</m:t>
            </m:r>
          </m:e>
        </m:acc>
      </m:oMath>
      <w:r>
        <w:rPr/>
        <w:t xml:space="preserve">, puis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 Montrer les inégalités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&gt;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. En déduire l'inégalité </w:t>
      </w:r>
      <m:oMath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3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(on pourra utiliser l'inégalité de Cauchy-Schwarz appliquée aux vecteurs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I.2.4 Déduire de I.2.2 et I.2.3 les inégalités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3</m:t>
              </m:r>
            </m:e>
          </m:rad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3</m:t>
              </m:r>
            </m:e>
          </m:rad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I.2.5 Déduire des questions précédentes que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(on pourra considérer les régions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délimitées par les côtés du triangle </w:t>
      </w:r>
      <m:oMath>
        <m:r>
          <m:rPr>
            <m:sty m:val="i"/>
          </m:rPr>
          <m:t>P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I. 3 Dans cette question, on note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θ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 et on suppose que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I.3.1 Montrer les égalités :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λ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λ</m:t>
                </m:r>
              </m:e>
            </m:acc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la question I.3,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</m:mr>
              <m:mr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I.3.2 Montrer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la propriété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I.3.3 Soit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Déterminer les valeurs propres, réelles ou complexes, de la matrice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I.3.4 Exprimer la matrice </w:t>
      </w:r>
      <m:oMath>
        <m:r>
          <m:rPr>
            <m:sty m:val="i"/>
          </m:rPr>
          <m:t>A</m:t>
        </m:r>
      </m:oMath>
      <w:r>
        <w:rPr/>
        <w:t xml:space="preserve"> en fonction des matrices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Déterminer un polynôme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λ</m:t>
            </m:r>
          </m:e>
        </m:acc>
      </m:oMath>
      <w:r>
        <w:rPr/>
        <w:t xml:space="preserve"> sont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 la propriété ( </w:t>
      </w:r>
      <m:oMath>
        <m:r>
          <m:rPr>
            <m:scr m:val="script"/>
          </m:rPr>
          <m:t>S</m:t>
        </m:r>
        <m:r>
          <m:rPr>
            <m:scr m:val="script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II. 1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vecteur colonne dont tous les coefficients valent 1. Calculer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en déduire que 1 est valeur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Précision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Sp</m:t>
            </m:r>
          </m:e>
          <m:sub>
            <m:r>
              <m:rPr>
                <m:scr m:val="double-struck"/>
              </m:rPr>
              <w:rPr>
                <w:sz w:val="42"/>
              </w:rPr>
              <m:t>C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II.2.1 Soient une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un vecteur colonne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tel que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Justifier l'inégalité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k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II.2.2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appliquant II.2.1 à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l'entier défini dans II.2.1. En déduire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II.2.3 On suppose que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note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Déduire de l'inégalité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θ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de II.2.2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puis en déduire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3 Dimension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II.3.1 Montrer que </w:t>
      </w:r>
      <m:oMath>
        <m:r>
          <m:rPr>
            <m:sty m:val="p"/>
          </m:rPr>
          <m:t>1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 En comparant le rang de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celui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les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ont même dimension.</w:t>
      </w:r>
      <w:r>
        <w:rPr/>
        <w:br w:type="textWrapping"/>
      </w:r>
      <w:r>
        <w:rPr/>
        <w:t xml:space="preserve">II.3.2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tel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≤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En calculant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montrer que toutes ces inégalités sont en fait des égalités.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</m:m>
          </m:e>
        </m:d>
      </m:oMath>
      <w:r>
        <w:rPr/>
        <w:t xml:space="preserve"> le vecteur dont les coefficients sont les modules des coefficients de </w:t>
      </w:r>
      <m:oMath>
        <m:r>
          <m:rPr>
            <m:sty m:val="i"/>
          </m:rPr>
          <m:t>V</m:t>
        </m:r>
      </m:oMath>
      <w:r>
        <w:rPr/>
        <w:t xml:space="preserve">.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</m:oMath>
      <w:r>
        <w:rPr/>
        <w:t xml:space="preserve">, puis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II.3.3 Soient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des matrices non nulles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appartiennent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. En considérant la matrice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déterminer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 Justifier qu'il existe un vecteur unique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qui engendre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,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ait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II.3.4 Bilan des propriétés spectrales de </w:t>
      </w:r>
      <m:oMath>
        <m:r>
          <m:rPr>
            <m:sty m:val="bi"/>
          </m:rPr>
          <w:rPr>
            <w:sz w:val="42"/>
          </w:rPr>
          <m:t>A</m:t>
        </m:r>
      </m:oMath>
      <w:r>
        <w:rPr>
          <w:b/>
          <w:sz w:val="42"/>
        </w:rPr>
        <w:t xml:space="preserve"> et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sty m:val="i"/>
              </m:rPr>
              <w:rPr>
                <w:sz w:val="42"/>
              </w:rPr>
              <m:t>t</m:t>
            </m:r>
          </m:sup>
        </m:sSup>
        <m:r>
          <m:rPr>
            <m:sty m:val="bi"/>
          </m:rPr>
          <w:rPr>
            <w:sz w:val="42"/>
          </w:rPr>
          <m:t>A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Citer les propriétés des vecteurs propres et des sous-espaces propres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qui ont été démontrées dans les questions précédentes de la deuxième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II. 4 À l'aide de la matrice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définie en II.3.3, on considère l'application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a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Retrouver le résultat de II.2.2 :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5 Ordre de multiplicité de la valeur propre 1 de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 la matrice colonne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on considère la forme linéaire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 le noyau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II.5.1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II.5.2 Justifier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II.5.3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II.5.4 En utilisant les résultats précédents, déterminer l'ordre de multiplicité de la valeur propre 1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