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Lundi 4 mai : 8 h-12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1 Calcul de l'intégrale de Dirichlet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 exercice est de démontrer la convergence de l'intégrale de Dirichlet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de calculer sa valeur.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 la fonction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l'exercice, on pourra utiliser sans la démontrer l'inégalité </w:t>
      </w:r>
      <m:oMath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valable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Q2. En utilisant par exemple une intégration par parties, montrer que l'intégrale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convergente si et seulement si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convergente. En déduire que l'intégrale </w:t>
      </w:r>
      <m:oMath>
        <m:r>
          <m:rPr>
            <m:sty m:val="i"/>
          </m:rPr>
          <m:t>I</m:t>
        </m:r>
      </m:oMath>
      <w:r>
        <w:rPr/>
        <w:t xml:space="preserve"> converge.</w:t>
      </w:r>
      <w:r>
        <w:rPr/>
        <w:br w:type="textWrapping"/>
      </w:r>
      <w:r>
        <w:rPr/>
        <w:t xml:space="preserve">Q3. Soit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primitive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l'exercice, on définit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 Calcul de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b/>
          <w:sz w:val="42"/>
        </w:rPr>
        <w:t xml:space="preserve"> sur </w:t>
      </w:r>
      <m:oMath>
        <m:r>
          <m:rPr>
            <m:sty m:val="p"/>
          </m:rPr>
          <w:rPr>
            <w:sz w:val="42"/>
          </w:rPr>
          <m:t>]</m:t>
        </m:r>
        <m:r>
          <m:rPr>
            <m:sty m:val="b"/>
          </m:rPr>
          <w:rPr>
            <w:sz w:val="42"/>
          </w:rPr>
          <m:t>0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  <m:r>
          <m:rPr>
            <m:sty m:val="p"/>
          </m:rPr>
          <w:rPr>
            <w:sz w:val="42"/>
          </w:rPr>
          <m:t>[</m:t>
        </m:r>
      </m:oMath>
    </w:p>
    <w:p>
      <w:pPr>
        <w:spacing w:after="220" w:lineRule="auto"/>
      </w:pPr>
      <w:r>
        <w:rPr/>
        <w:t xml:space="preserve">Q4. Montrer que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Q5. 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déterminer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Conclure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Arctan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 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Q7.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Q9.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en 0 , puis déterminer la valeur de l'intégrale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Extremums d'une forme quadratique sur la boule unité fermée</w:t>
      </w:r>
    </w:p>
    <w:p>
      <w:pPr>
        <w:spacing w:after="220" w:lineRule="auto"/>
      </w:pPr>
      <w:r>
        <w:rPr/>
        <w:t xml:space="preserve">On se donne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rappelle que la norme euclidienne usuelle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la boule unité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 exercice est d'étudier les extremums de la fonction </w:t>
      </w:r>
      <m:oMath>
        <m:r>
          <m:rPr>
            <m:sty m:val="i"/>
          </m:rPr>
          <m:t>f</m:t>
        </m:r>
      </m:oMath>
      <w:r>
        <w:rPr/>
        <w:t xml:space="preserve"> sur la partie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définit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la matrice symétrique dont les coefficients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) vérifient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à coefficients réels,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sa matrice transposée.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exemple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que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Q11. Justifier que l'application </w:t>
      </w:r>
      <m:oMath>
        <m:r>
          <m:rPr>
            <m:sty m:val="i"/>
          </m:rPr>
          <m:t>f</m:t>
        </m:r>
      </m:oMath>
      <w:r>
        <w:rPr/>
        <w:t xml:space="preserve"> admet un maximum et un minimum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Q12. En étudiant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les extremums de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la frontière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Q13.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déterminer les points critiques de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la boule unité ouverte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&lt;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Q14. En déduire que le maximum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3 et que le minimum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-1 .</w:t>
      </w:r>
      <w:r>
        <w:rPr/>
        <w:br w:type="textWrapping"/>
      </w:r>
      <w:r>
        <w:rPr>
          <w:rFonts w:eastAsia="Georgia" w:cs="Georgia" w:ascii="Georgia" w:hAnsi="Georgia"/>
        </w:rPr>
        <w:t xml:space="preserve">Q15. Vérifier que la plus grande valeur propre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égale au maximum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que la plus petite valeur propre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égale au minimum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Le cas général</w:t>
      </w:r>
    </w:p>
    <w:p>
      <w:pPr>
        <w:spacing w:after="220" w:lineRule="auto"/>
      </w:pPr>
      <w:r>
        <w:rPr/>
        <w:t xml:space="preserve">On ne suppose plus dans cette partie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⋯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Q16.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Q17. Justifier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Dans la suite,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comptées avec leur multiplicité et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fixe une matrice orthogonale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Montrer les égalités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Q19.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Q20. En déduire que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Dans le cas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le maximum et le minimum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Application des résultats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et que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Déterminer le maximum et le minimum de l'application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(on pourra commencer par déterminer le rang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Retour à l'origine d'une marche aléatoire sur </w:t>
      </w:r>
      <m:oMath>
        <m:r>
          <m:rPr>
            <m:scr m:val="double-struck"/>
          </m:rPr>
          <w:rPr>
            <w:sz w:val="42"/>
          </w:rPr>
          <m:t>Z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nous allons étudier le déplacement aléatoire d'un pion se déplaçant dans l'ensemble des entiers relatifs. À l'étape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suppose que le pion se trouve en 0 . Ensuite, si le pion se trouve à l'étape </w:t>
      </w:r>
      <m:oMath>
        <m:r>
          <m:rPr>
            <m:sty m:val="i"/>
          </m:rPr>
          <m:t>n</m:t>
        </m:r>
      </m:oMath>
      <w:r>
        <w:rPr/>
        <w:t xml:space="preserve"> sur l'entier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alors à l'étape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le pion a une chance sur deux de se trouver en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une chance sur deux de se trouver en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ceci indépendamment des mouvements précédents.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modéliser cette situation, on se place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réelles mutuellement indépendantes dont la loi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également la suite de variables aléatoires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 exercice est de déterminer la loi de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de la façon suivante :</w:t>
      </w:r>
    </w:p>
    <w:p>
      <w:pPr>
        <w:numPr>
          <w:ilvl w:val="0"/>
          <w:numId w:val="2"/>
        </w:numPr>
        <w:spacing w:lineRule="auto"/>
      </w:pPr>
      <w:r>
        <w:rPr/>
        <w:t xml:space="preserve">si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sinon,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L'évènement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) se réalise donc si et seulement si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vide. Finalement,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 - Calcul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p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On fixe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Q23. Que représente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Q24.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Q25. Justifier que si </w:t>
      </w:r>
      <m:oMath>
        <m:r>
          <m:rPr>
            <m:sty m:val="i"/>
          </m:rPr>
          <m:t>n</m:t>
        </m:r>
      </m:oMath>
      <w:r>
        <w:rPr/>
        <w:t xml:space="preserve"> est impair, alors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On admet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de variables aléatoires réelles mutuellement indépendantes.</w:t>
      </w:r>
    </w:p>
    <w:p>
      <w:pPr>
        <w:spacing w:after="220" w:lineRule="auto"/>
      </w:pPr>
      <w:r>
        <w:rPr/>
        <w:t xml:space="preserve">Q26.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suit une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Q27.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donner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exprimer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Q28.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Déduire de la question précédente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m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Fonction génératrice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sz w:val="4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b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somme de cette série entière sur son intervalle de convergence.</w:t>
      </w:r>
      <w:r>
        <w:rPr/>
        <w:br w:type="textWrapping"/>
      </w:r>
      <w:r>
        <w:rPr/>
        <w:t xml:space="preserve">Q29.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Q30. Montrer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Q31. Déterminer un nombre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Loi de la variable aléatoire </w:t>
      </w:r>
      <m:oMath>
        <m:r>
          <m:rPr>
            <m:sty m:val="i"/>
          </m:rPr>
          <w:rPr>
            <w:sz w:val="42"/>
          </w:rPr>
          <m:t>T</m:t>
        </m:r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somme de cette série entière sur son intervalle de convergence.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également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Q32. Calculer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Q33.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admet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Q34. En utilisant un produit de Cauchy et la relation admise ci-dessus,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Q35. En déduire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[, puis calculer le développement en série entière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 en précisant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Q36. En déduire une expression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Q37. En utilisant Q33 et Q35, déterminer la valeur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Interpréter le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Q38.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admet-elle une espérance?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