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209800" cy="2162175"/>
            <wp:effectExtent b="0" l="0" r="0" t="0"/>
            <wp:docPr id="1" name="image-babfba4fdbdbefd546766182596d1e3fdf201c06.jpg"/>
            <a:graphic>
              <a:graphicData uri="http://schemas.openxmlformats.org/drawingml/2006/picture">
                <pic:pic>
                  <pic:nvPicPr>
                    <pic:cNvPr id="1" name="image-babfba4fdbdbefd546766182596d1e3fdf201c06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62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PC</w:t>
      </w:r>
    </w:p>
    <w:p>
      <w:pPr>
        <w:spacing w:line="271" w:before="330" w:lineRule="auto"/>
      </w:pPr>
      <w:r>
        <w:rPr>
          <w:b/>
          <w:sz w:val="42"/>
        </w:rPr>
        <w:t xml:space="preserve">PHYSIQUE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est autorisée - Les deux problèmes sont indépendants</w:t>
      </w:r>
    </w:p>
    <w:p>
      <w:pPr>
        <w:spacing w:line="271" w:before="330" w:lineRule="auto"/>
      </w:pPr>
      <w:r>
        <w:rPr>
          <w:b/>
          <w:sz w:val="42"/>
        </w:rPr>
        <w:t xml:space="preserve">PROBLEME I - ETUDE D'UN TRANSFORMATEUR D'IMPULSIONS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transformateur étudié sert à déclencher la conduction des thyristors dans les montages d'électronique de puissance.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primaire et le secondaire ont chacun le même nombre de spires N. Les caractéristiques de chaque enroulement, inductance propre et résistance, sont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mH</m:t>
        </m:r>
      </m:oMath>
      <w:r>
        <w:rPr/>
        <w:t xml:space="preserve"> et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Ω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deux bobines couplées, si les courants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ont le même sens par rapport aux bornes marquées (bornes homologues - figure 1), l'inductance mutuelle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t xml:space="preserve"> est positive.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848225" cy="2762250"/>
            <wp:effectExtent b="0" l="0" r="0" t="0"/>
            <wp:docPr id="2" name="image-1ea77820df74a35dab164aa6bae602c8c4dd1625.jpg"/>
            <a:graphic>
              <a:graphicData uri="http://schemas.openxmlformats.org/drawingml/2006/picture">
                <pic:pic>
                  <pic:nvPicPr>
                    <pic:cNvPr id="2" name="image-1ea77820df74a35dab164aa6bae602c8c4dd1625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762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1</w:t>
      </w:r>
    </w:p>
    <w:p>
      <w:pPr>
        <w:spacing w:after="220" w:lineRule="auto"/>
      </w:pPr>
      <w:r>
        <w:rPr/>
        <w:t xml:space="preserve">On note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couplage entre les enroulements est parfait, c'est-à-dire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(M étant l'inductance mutuelle).</w:t>
      </w:r>
      <w:r>
        <w:rPr/>
        <w:br w:type="textWrapping"/>
      </w:r>
      <w:r>
        <w:rPr>
          <w:rFonts w:eastAsia="Georgia" w:cs="Georgia" w:ascii="Georgia" w:hAnsi="Georgia"/>
        </w:rPr>
        <w:t xml:space="preserve">Le noyau du transformateur est en ferrite dont on idéalisera la caractéristique d'aimantation par la courbe donnée sur la figure 2.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996473"/>
            <wp:effectExtent b="0" l="0" r="0" t="0"/>
            <wp:docPr id="3" name="image-ce16699bdf11d363065e8598c931655be7c67894.jpg"/>
            <a:graphic>
              <a:graphicData uri="http://schemas.openxmlformats.org/drawingml/2006/picture">
                <pic:pic>
                  <pic:nvPicPr>
                    <pic:cNvPr id="3" name="image-ce16699bdf11d363065e8598c931655be7c67894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4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représente le flux magnétique à travers une section droite du circuit magnétique.</w:t>
      </w:r>
      <w:r>
        <w:rPr/>
        <w:br w:type="textWrapping"/>
      </w:r>
      <w:r>
        <w:rPr/>
        <w:t xml:space="preserve">Les inductances propres </w:t>
      </w:r>
      <m:oMath>
        <m:r>
          <m:rPr>
            <m:sty m:val="i"/>
          </m:rPr>
          <m:t>L</m:t>
        </m:r>
      </m:oMath>
      <w:r>
        <w:rPr/>
        <w:t xml:space="preserve"> et mutuelle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ne sont définies qu'en dehors de la zone de saturation.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1 Etude à vide (is = 0)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notations sont définies sur la figure 3.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621892"/>
            <wp:effectExtent b="0" l="0" r="0" t="0"/>
            <wp:docPr id="4" name="image-6eb30e42e9d95b3352e8a2237728141507500cf2.jpg"/>
            <a:graphic>
              <a:graphicData uri="http://schemas.openxmlformats.org/drawingml/2006/picture">
                <pic:pic>
                  <pic:nvPicPr>
                    <pic:cNvPr id="4" name="image-6eb30e42e9d95b3352e8a2237728141507500cf2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18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 est une tension positive fixe et l'interrupteur k est réalisé par un transistor bipolaire.</w:t>
      </w:r>
      <w:r>
        <w:rPr/>
        <w:br w:type="textWrapping"/>
      </w:r>
      <w:r>
        <w:rPr/>
        <w:t xml:space="preserve">I.1.1 A l'instant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ferme l'interrupteur k . Exprimer la tension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le courant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le flux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la tension secondaire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 V et des caractéristiques du transformateur. On négligera pour cette étude la résistance de l'enroulement et on considérera qu'à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(conditions initiales).</w:t>
      </w:r>
      <w:r>
        <w:rPr/>
        <w:br w:type="textWrapping"/>
      </w:r>
      <w:r>
        <w:rPr>
          <w:rFonts w:eastAsia="Georgia" w:cs="Georgia" w:ascii="Georgia" w:hAnsi="Georgia"/>
        </w:rPr>
        <w:t xml:space="preserve">I.1.2 Le flux croît alors jusqu'à saturation du circuit magnétique.</w:t>
      </w:r>
    </w:p>
    <w:p>
      <w:pPr>
        <w:spacing w:after="220" w:lineRule="auto"/>
      </w:pPr>
      <w:r>
        <w:rPr/>
        <w:t xml:space="preserve">Exprimer le produit (V.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 ) en fonction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nor/>
              </m:rPr>
              <m:t>sat </m:t>
            </m:r>
          </m:sub>
        </m:sSub>
      </m:oMath>
      <w:r>
        <w:rPr/>
        <w:t xml:space="preserve">. Le fabricant donne V.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  <m:r>
          <m:rPr>
            <m:sty m:val="p"/>
          </m:rPr>
          <m:t>.</m:t>
        </m:r>
        <m:r>
          <m:rPr>
            <m:sty m:val="i"/>
          </m:rPr>
          <m:t>μ</m:t>
        </m:r>
        <m:r>
          <m:rPr>
            <m:sty m:val="p"/>
          </m:rPr>
          <m:t>s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 et calculer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nor/>
              </m:rPr>
              <m:t>pmax </m:t>
            </m:r>
          </m:sub>
        </m:sSub>
      </m:oMath>
      <w:r>
        <w:rPr>
          <w:rFonts w:eastAsia="Georgia" w:cs="Georgia" w:ascii="Georgia" w:hAnsi="Georgia"/>
        </w:rPr>
        <w:t xml:space="preserve"> qui correspond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 On veut prévoir ce qui se passerait si l'interrupteur k restait fermé au-delà de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. Quelle serait alors la valeur de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qu'il est nécessaire de tenir compte de r pour calculer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; quelle est la valeur de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I.1.4 A l'instant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, on ouvre l'interrupteur k . La diode D a une tension de seuil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 et une résistance interne négligeable (figure 4).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863194"/>
            <wp:effectExtent b="0" l="0" r="0" t="0"/>
            <wp:docPr id="5" name="image-6b5f1b1c1c08f30ce2fe0ada0ddebaa1949922bc.jpg"/>
            <a:graphic>
              <a:graphicData uri="http://schemas.openxmlformats.org/drawingml/2006/picture">
                <pic:pic>
                  <pic:nvPicPr>
                    <pic:cNvPr id="5" name="image-6b5f1b1c1c08f30ce2fe0ada0ddebaa1949922bc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1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le schéma équivalent du circuit qui permet de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(on prend en considération la résistance de l'enroulement).</w:t>
      </w:r>
      <w:r>
        <w:rPr/>
        <w:br w:type="textWrapping"/>
      </w:r>
      <w:r>
        <w:rPr>
          <w:rFonts w:eastAsia="Georgia" w:cs="Georgia" w:ascii="Georgia" w:hAnsi="Georgia"/>
        </w:rPr>
        <w:t xml:space="preserve">I.1.5. Ecrire la loi des mailles dans ce circuit. En déduire l'expression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I.1.6 A l'instant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courant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 s'annule. Donner l'expression de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Calculer la valeur numérique de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I.1.7 On ajoute une diode zener en série avec D , ce qui a pour effet d'augmenter le seuil de conduction à la valeur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d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i"/>
          </m:rPr>
          <m:t>V</m:t>
        </m:r>
      </m:oMath>
      <w:r>
        <w:rPr/>
        <w:t xml:space="preserve">. Conclure.</w:t>
      </w:r>
      <w:r>
        <w:rPr/>
        <w:br w:type="textWrapping"/>
      </w:r>
      <w:r>
        <w:rPr/>
        <w:t xml:space="preserve">I.1.8 Dans ce cas,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représenter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100</m:t>
        </m:r>
        <m:r>
          <m:rPr>
            <m:sty m:val="i"/>
          </m:rPr>
          <m:t>μ</m:t>
        </m:r>
        <m:r>
          <m:rPr>
            <m:sty m:val="i"/>
          </m:rPr>
          <m:t>s</m:t>
        </m:r>
        <m:r>
          <m:rPr>
            <m:sty m:val="p"/>
          </m:rPr>
          <m:t>]</m:t>
        </m:r>
      </m:oMath>
      <w:r>
        <w:rPr/>
        <w:t xml:space="preserve"> l'allure des courbes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2 Etude en charge pour </w:t>
      </w:r>
      <m:oMath>
        <m:r>
          <m:rPr>
            <m:sty m:val="b"/>
          </m:rPr>
          <w:rPr>
            <w:sz w:val="42"/>
          </w:rPr>
          <m:t>t</m:t>
        </m:r>
        <m:r>
          <m:rPr>
            <m:sty m:val="p"/>
          </m:rPr>
          <w:rPr>
            <w:sz w:val="42"/>
          </w:rPr>
          <m:t>≤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t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montage à étudier est donné dans la figure 5 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385740"/>
            <wp:effectExtent b="0" l="0" r="0" t="0"/>
            <wp:docPr id="6" name="image-95e881a781a286081ad135ab8547c1573e4be182.jpg"/>
            <a:graphic>
              <a:graphicData uri="http://schemas.openxmlformats.org/drawingml/2006/picture">
                <pic:pic>
                  <pic:nvPicPr>
                    <pic:cNvPr id="6" name="image-95e881a781a286081ad135ab8547c1573e4be182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5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5</w:t>
      </w:r>
    </w:p>
    <w:p>
      <w:pPr>
        <w:spacing w:after="220" w:lineRule="auto"/>
      </w:pP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diode de commutation idéale. A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ferme l'interrupteur k .</w:t>
      </w:r>
      <w:r>
        <w:rPr/>
        <w:br w:type="textWrapping"/>
      </w:r>
      <w:r>
        <w:rPr/>
        <w:t xml:space="preserve">I.2.1 Ecrire la loi des mailles pour le primaire et le secondaire du transformateur avec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−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−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I.2.2 Le flux magnétique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étant une fonction continue de t , montrer que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+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+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+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utilisant les équations de I.2.1.</w:t>
      </w:r>
      <w:r>
        <w:rPr/>
        <w:br w:type="textWrapping"/>
      </w:r>
      <w:r>
        <w:rPr>
          <w:rFonts w:eastAsia="Georgia" w:cs="Georgia" w:ascii="Georgia" w:hAnsi="Georgia"/>
        </w:rPr>
        <w:t xml:space="preserve">I.2.3 Ecrire l'équation différentielle satisfaite par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I.2.4 On note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R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L</m:t>
            </m:r>
          </m:e>
        </m:d>
      </m:oMath>
      <w:r>
        <w:rPr>
          <w:rFonts w:eastAsia="Georgia" w:cs="Georgia" w:ascii="Georgia" w:hAnsi="Georgia"/>
        </w:rPr>
        <w:t xml:space="preserve">. En déduire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I.2.5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sty m:val="i"/>
          </m:rPr>
          <m:t>μ</m:t>
        </m:r>
      </m:oMath>
      <w:r>
        <w:rPr/>
        <w:t xml:space="preserve"> s.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I.2.6 L'interrupteur k est ouvert à l'instant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; expliquer le rôle de la diode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t</m:t>
        </m:r>
        <m:r>
          <m:rPr>
            <m:sty m:val="p"/>
          </m:rPr>
          <m:t>≥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en s'appuyant sur le résultat de la question I.1.8 concernant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PROBLEME II - ETUDE DES GUIDES D'ONDE DIELECTRIQUES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développement des communications avec des fibres optiques confère aux guides diélectriques une importance croissante.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guide d'onde diélectrique plan est beaucoup utilisé en optoélectronique pour réaliser des coupleurs, des circuits résonants, etc.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guides diélectriques sont des guides ouverts, pour lesquels la propagation des ondes électromagnétiques monochromatiques a lieu pour une fréquence supérieure à une fréquence de seuil.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l'extérieur du guide plan a lieu la propagation d'une onde de surface, à distribution exponentielle dans une section transversale, onde qui se concentre à la surface de séparation des milieux au fur et à mesure que la fréquence augmente.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nombres d'onde critiques sont fonction de la fréquence de travail.</w:t>
      </w:r>
      <w:r>
        <w:rPr/>
        <w:br w:type="textWrapping"/>
      </w:r>
      <w:r>
        <w:rPr>
          <w:rFonts w:eastAsia="Georgia" w:cs="Georgia" w:ascii="Georgia" w:hAnsi="Georgia"/>
        </w:rPr>
        <w:t xml:space="preserve">Toutes ces propriétés seront illustrées dans ce qui suit.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plaque diélectrique dans l'espace vide (figure 1).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499053"/>
            <wp:effectExtent b="0" l="0" r="0" t="0"/>
            <wp:docPr id="7" name="image-a853b7e633341c260e0fffb04f33ec24425835dc.jpg"/>
            <a:graphic>
              <a:graphicData uri="http://schemas.openxmlformats.org/drawingml/2006/picture">
                <pic:pic>
                  <pic:nvPicPr>
                    <pic:cNvPr id="7" name="image-a853b7e633341c260e0fffb04f33ec24425835dc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90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1</w:t>
      </w:r>
    </w:p>
    <w:p>
      <w:pPr>
        <w:spacing w:after="220" w:lineRule="auto"/>
      </w:pPr>
      <w:r>
        <w:rPr/>
        <w:t xml:space="preserve">La composante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du champ électrique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d'une onde électromagnétique monochromatique de pulsation </w:t>
      </w:r>
      <m:oMath>
        <m:r>
          <m:rPr>
            <m:sty m:val="i"/>
          </m:rPr>
          <m:t>ω</m:t>
        </m:r>
      </m:oMath>
      <w:r>
        <w:rPr/>
        <w:t xml:space="preserve"> se propageant dans la direction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s'écrit généralement sous la forme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z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β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Re</m:t>
          </m:r>
          <m:r>
            <m:rPr>
              <m:sty m:val="p"/>
            </m:rPr>
            <m:t>́</m:t>
          </m:r>
          <m:r>
            <m:rPr>
              <m:sty m:val="p"/>
            </m:rPr>
            <m:t>el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z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</m:oMath>
      </m:oMathPara>
      <w:r>
        <w:rPr/>
        <w:br w:type="textWrapping"/>
      </w:r>
      <w:r>
        <w:rPr/>
        <w:t xml:space="preserve">On note </w:t>
      </w:r>
      <m:oMath>
        <m:bar>
          <m:barPr/>
          <m:e>
            <m:r>
              <m:rPr>
                <m:sty m:val="i"/>
              </m:rPr>
              <m:t>γ</m:t>
            </m:r>
          </m:e>
        </m:ba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i"/>
          </m:rPr>
          <m:t>β</m:t>
        </m:r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m:oMath>
        <m:r>
          <m:rPr>
            <m:sty m:val="i"/>
          </m:rPr>
          <m:t>χ</m:t>
        </m:r>
        <m:r>
          <m:rPr>
            <m:sty m:val="p"/>
          </m:rPr>
          <m:t>=</m:t>
        </m:r>
      </m:oMath>
      <w:r>
        <w:rPr/>
        <w:t xml:space="preserve"> constante de propagation</w:t>
      </w:r>
      <w:r>
        <w:rPr/>
        <w:br w:type="textWrapping"/>
      </w:r>
      <m:oMath>
        <m:r>
          <m:rPr>
            <m:sty m:val="i"/>
          </m:rPr>
          <m:t>α</m:t>
        </m:r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constante d'atténuation</w:t>
      </w:r>
      <w:r>
        <w:rPr/>
        <w:br w:type="textWrapping"/>
      </w:r>
      <m:oMath>
        <m:r>
          <m:rPr>
            <m:sty m:val="i"/>
          </m:rPr>
          <m:t>β</m:t>
        </m:r>
        <m:r>
          <m:rPr>
            <m:sty m:val="p"/>
          </m:rPr>
          <m:t>=</m:t>
        </m:r>
      </m:oMath>
      <w:r>
        <w:rPr/>
        <w:t xml:space="preserve"> constante de phase</w:t>
      </w:r>
      <w:r>
        <w:rPr/>
        <w:br w:type="textWrapping"/>
      </w:r>
      <w:r>
        <w:rPr/>
        <w:t xml:space="preserve">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  <m:r>
              <m:rPr>
                <m:sty m:val="i"/>
              </m:rPr>
              <m:t>z</m:t>
            </m:r>
          </m:sup>
        </m:sSup>
      </m:oMath>
      <w:r>
        <w:rPr/>
        <w:t xml:space="preserve"> est l'image complexe de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,</m:t>
        </m:r>
        <m:r>
          <m:rPr>
            <m:sty m:val="p"/>
          </m:rPr>
          <m:t>z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Pour une onde non atténuée </w:t>
      </w:r>
      <m:oMath>
        <m:r>
          <m:rPr>
            <m:sty m:val="i"/>
          </m:rPr>
          <m:t>χ</m:t>
        </m:r>
        <m:r>
          <m:rPr>
            <m:sty m:val="p"/>
          </m:rPr>
          <m:t>=</m:t>
        </m:r>
        <m:r>
          <m:rPr>
            <m:sty m:val="p"/>
          </m:rPr>
          <m:t>j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1 A partir des équations de Maxwell, déterminer l'équation aux dérivées partielles satisfaite par le champ électrique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et montrer que l'équation différentielle satisfaite par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dans le domaine (1) s'écrit</w:t>
      </w:r>
      <w:r>
        <w:rPr/>
        <w:br w:type="textWrapping"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E</m:t>
                    </m:r>
                  </m:e>
                </m:bar>
              </m:e>
              <m:sub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</m:oMath>
      <w:r>
        <w:rPr/>
        <w:t xml:space="preserve"> nombre d'onde critique</w:t>
      </w:r>
      <w:r>
        <w:rPr/>
        <w:br w:type="textWrapping"/>
      </w:r>
      <w:r>
        <w:rPr/>
        <w:t xml:space="preserve">Expliciter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2 Déterminer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deux constantes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 considérant </w:t>
      </w:r>
      <m:oMath>
        <m:sSubSup>
          <m:sSubSup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 3 Justifier sans calcul que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satisfont chacune à une équation différentielle analogue à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remplacé respectivement par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par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choisit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jK</m:t>
        </m:r>
      </m:oMath>
      <w:r>
        <w:rPr/>
        <w:t xml:space="preserve"> avec </w:t>
      </w:r>
      <m:oMath>
        <m:r>
          <m:rPr>
            <m:sty m:val="p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expressions de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a</m:t>
        </m:r>
      </m:oMath>
      <w:r>
        <w:rPr/>
        <w:t xml:space="preserve"> (domaine 2 ) en fonction d'une constante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i"/>
              </m:rPr>
              <m:t>z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y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(domaine 3 ) en fonction d'une constante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Justifier le choix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4 En considérant les expressions de </w:t>
      </w:r>
      <m:oMath>
        <m:acc>
          <m:accPr>
            <m:chr m:val="⃗"/>
          </m:accPr>
          <m:e>
            <m:r>
              <m:rPr>
                <m:sty m:val="p"/>
              </m:rPr>
              <m:t>rot</m:t>
            </m:r>
          </m:e>
        </m:acc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p"/>
              </m:rPr>
              <m:t>rot</m:t>
            </m:r>
          </m:e>
        </m:acc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, avec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x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p"/>
              </m:rPr>
              <m:t>y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B</m:t>
                </m:r>
              </m:e>
            </m:bar>
          </m:e>
          <m:sub>
            <m:r>
              <m:rPr>
                <m:sty m:val="p"/>
              </m:rPr>
              <m:t>x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;</m:t>
        </m:r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p"/>
              </m:rPr>
              <m:t>y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B</m:t>
                </m:r>
              </m:e>
            </m:bar>
          </m:e>
          <m:sub>
            <m:r>
              <m:rPr>
                <m:sty m:val="p"/>
              </m:rPr>
              <m:t>x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;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p"/>
              </m:rPr>
              <m:t>y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B</m:t>
                </m:r>
              </m:e>
            </m:bar>
          </m:e>
          <m:sub>
            <m:r>
              <m:rPr>
                <m:sty m:val="p"/>
              </m:rPr>
              <m:t>x</m:t>
            </m:r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images complexes des composantes du champ électrique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et du champ magnétique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. On considère les ondes non atténuées suivant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, donc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z</m:t>
            </m:r>
          </m:den>
        </m:f>
        <m:r>
          <m:rPr>
            <m:sty m:val="p"/>
          </m:rPr>
          <m:t>→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i"/>
          </m:rPr>
          <m:t>β</m:t>
        </m:r>
      </m:oMath>
      <w:r>
        <w:rPr/>
        <w:t xml:space="preserve">. On conservera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K comme paramètres de l'onde de pulsation </w:t>
      </w:r>
      <m:oMath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II. 5 Ecrire les conditions de passage en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les composantes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du champ électrique.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II. 6 De la question II.5, déduire le système linéaire vérifié par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Montrer que pour obtenir des valeurs non nulles pour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il est nécessaire que les nombres critiques satisfassent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tg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a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K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on posera </w:t>
      </w:r>
      <m:oMath>
        <m:r>
          <m:rPr>
            <m:sty m:val="p"/>
          </m:rPr>
          <m:t>tg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K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den>
        </m:f>
      </m:oMath>
      <w:r>
        <w:rPr/>
        <w:br w:type="textWrapping"/>
      </w:r>
      <w:r>
        <w:rPr/>
        <w:t xml:space="preserve">II. 7 On note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π</m:t>
                  </m:r>
                </m:e>
              </m:mr>
              <m:m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i"/>
                    </m:rPr>
                    <m:t>π</m:t>
                  </m:r>
                </m:e>
              </m:mr>
            </m:m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q et r doivent satisfaire le système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num>
                              <m:den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λ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0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r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tg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q</m:t>
                        </m:r>
                      </m:num>
                      <m:den>
                        <m:r>
                          <m:rPr>
                            <m:sty m:val="i"/>
                          </m:rPr>
                          <m:t>r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r</m:t>
                            </m:r>
                          </m:sub>
                        </m:sSub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f</m:t>
            </m:r>
          </m:den>
        </m:f>
      </m:oMath>
      <w:r>
        <w:rPr/>
        <w:t xml:space="preserve"> avec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br w:type="textWrapping"/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longueur d'onde dans le vide d'une onde plane monochromatique de fréquence f .</w:t>
      </w:r>
      <w:r>
        <w:rPr/>
        <w:br w:type="textWrapping"/>
      </w:r>
      <w:r>
        <w:rPr/>
        <w:t xml:space="preserve">II. 8 Pour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n</m:t>
        </m:r>
      </m:oMath>
      <w:r>
        <w:rPr/>
        <w:t xml:space="preserve"> (entier impair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), déterminer la valeur de r et en déduire la plus petite fréquence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/>
        <w:t xml:space="preserve"> et la plus grande longueur d'onde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pouvant encore se propager dans le guide, en précisant pour quelle valeur de </w:t>
      </w:r>
      <m:oMath>
        <m:r>
          <m:rPr>
            <m:sty m:val="i"/>
          </m:rPr>
          <m:t>n</m:t>
        </m:r>
      </m:oMath>
      <w:r>
        <w:rPr/>
        <w:t xml:space="preserve"> elles sont obtenues.</w:t>
      </w:r>
      <w:r>
        <w:rPr/>
        <w:br w:type="textWrapping"/>
      </w:r>
      <w:r>
        <w:rPr/>
        <w:t xml:space="preserve">II. 9 Si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rad>
          </m:den>
        </m:f>
      </m:oMath>
      <w:r>
        <w:rPr/>
        <w:t xml:space="preserve">, montrer que la longueur d'onde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β</m:t>
            </m:r>
          </m:den>
        </m:f>
      </m:oMath>
      <w:r>
        <w:rPr>
          <w:rFonts w:eastAsia="Georgia" w:cs="Georgia" w:ascii="Georgia" w:hAnsi="Georgia"/>
        </w:rPr>
        <w:t xml:space="preserve"> d'une onde non atténuée se propageant dans le guide, pour </w:t>
      </w:r>
      <m:oMath>
        <m:r>
          <m:rPr>
            <m:sty m:val="p"/>
          </m:rPr>
          <m:t>f</m:t>
        </m:r>
        <m:r>
          <m:rPr>
            <m:sty m:val="p"/>
          </m:rPr>
          <m:t>&gt;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, s'écrit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0</m:t>
                  </m:r>
                  <m:r>
                    <m:rPr>
                      <m:sty m:val="i"/>
                    </m:rPr>
                    <m:t>d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λ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  <m:r>
                                    <m:rPr>
                                      <m:sty m:val="i"/>
                                    </m:rPr>
                                    <m:t>d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λ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  <m:r>
                                    <m:rPr>
                                      <m:sty m:val="i"/>
                                    </m:rPr>
                                    <m:t>s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r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 10 Utilisant les questions antérieures (II.5, II.6, II.7), déterminer les composantes de </w:t>
      </w:r>
      <m:oMath>
        <m:bar>
          <m:barPr/>
          <m:e>
            <m:r>
              <m:rPr>
                <m:sty m:val="p"/>
              </m:rPr>
              <m:t>E</m:t>
            </m:r>
          </m:e>
        </m:bar>
      </m:oMath>
      <w:r>
        <w:rPr/>
        <w:t xml:space="preserve"> et de </w:t>
      </w:r>
      <m:oMath>
        <m:bar>
          <m:barPr/>
          <m:e>
            <m:r>
              <m:rPr>
                <m:sty m:val="p"/>
              </m:rPr>
              <m:t>B</m:t>
            </m:r>
          </m:e>
        </m:bar>
      </m:oMath>
      <w:r>
        <w:rPr/>
        <w:t xml:space="preserve"> dans les trois domaines, en fonction de la constante que multiplie sin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y</m:t>
        </m:r>
      </m:oMath>
      <w:r>
        <w:rPr/>
        <w:t xml:space="preserve"> dans l'expression de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zl</m:t>
            </m:r>
          </m:sub>
        </m:sSub>
      </m:oMath>
      <w:r>
        <w:rPr/>
        <w:t xml:space="preserve">, de </w:t>
      </w:r>
      <m:oMath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11 Que deviennent ces composantes pour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? Quels types d'ondes se forment dans les domaines (2) et (3)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babfba4fdbdbefd546766182596d1e3fdf201c06.jpg" TargetMode="Internal"/><Relationship Id="rId6" Type="http://schemas.openxmlformats.org/officeDocument/2006/relationships/image" Target="media/image-1ea77820df74a35dab164aa6bae602c8c4dd1625.jpg" TargetMode="Internal"/><Relationship Id="rId7" Type="http://schemas.openxmlformats.org/officeDocument/2006/relationships/image" Target="media/image-ce16699bdf11d363065e8598c931655be7c67894.jpg" TargetMode="Internal"/><Relationship Id="rId8" Type="http://schemas.openxmlformats.org/officeDocument/2006/relationships/image" Target="media/image-6eb30e42e9d95b3352e8a2237728141507500cf2.jpg" TargetMode="Internal"/><Relationship Id="rId9" Type="http://schemas.openxmlformats.org/officeDocument/2006/relationships/image" Target="media/image-6b5f1b1c1c08f30ce2fe0ada0ddebaa1949922bc.jpg" TargetMode="Internal"/><Relationship Id="rId10" Type="http://schemas.openxmlformats.org/officeDocument/2006/relationships/image" Target="media/image-95e881a781a286081ad135ab8547c1573e4be182.jpg" TargetMode="Internal"/><Relationship Id="rId11" Type="http://schemas.openxmlformats.org/officeDocument/2006/relationships/image" Target="media/image-a853b7e633341c260e0fffb04f33ec24425835dc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2025-09-04T21:03:17.205Z</dcterms:created>
  <dcterms:modified xsi:type="dcterms:W3CDTF">2025-09-04T21:03:17.205Z</dcterms:modified>
</cp:coreProperties>
</file>