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5ae6f407cec32e482d8f8832f360e1b576b181e9.jpg"/>
            <a:graphic>
              <a:graphicData uri="http://schemas.openxmlformats.org/drawingml/2006/picture">
                <pic:pic>
                  <pic:nvPicPr>
                    <pic:cNvPr id="1" name="image-5ae6f407cec32e482d8f8832f360e1b576b181e9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le corps </w:t>
      </w:r>
      <m:oMath>
        <m:r>
          <m:rPr>
            <m:scr m:val="double-struck"/>
          </m:rPr>
          <m:t>R</m:t>
        </m:r>
      </m:oMath>
      <w:r>
        <w:rPr/>
        <w:t xml:space="preserve"> ou le corps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K</m:t>
        </m:r>
      </m:oMath>
      <w:r>
        <w:rPr/>
        <w:t xml:space="preserve">-espace vectoriel non nul.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, pour tout sous-espace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F</m:t>
        </m:r>
      </m:oMath>
      <w:r>
        <w:rPr/>
        <w:t xml:space="preserve"> induit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c'est-à-dire défini sur </w:t>
      </w:r>
      <m:oMath>
        <m:r>
          <m:rPr>
            <m:sty m:val="i"/>
          </m:rPr>
          <m:t>F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Pour tout endomorphisme </w:t>
      </w:r>
      <m:oMath>
        <m:r>
          <m:rPr>
            <m:sty m:val="i"/>
          </m:rPr>
          <m:t>f</m:t>
        </m:r>
      </m:oMath>
      <w:r>
        <w:rPr/>
        <w:t xml:space="preserve"> d'un </w:t>
      </w:r>
      <m:oMath>
        <m:r>
          <m:rPr>
            <m:scr m:val="double-struck"/>
          </m:rPr>
          <m:t>K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des puissances de </w:t>
      </w:r>
      <m:oMath>
        <m:r>
          <m:rPr>
            <m:sty m:val="i"/>
          </m:rPr>
          <m:t>f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Id</m:t>
                        </m:r>
                      </m:e>
                      <m:sub>
                        <m:r>
                          <m:rPr>
                            <m:sty m:val="i"/>
                          </m:rPr>
                          <m:t>E</m:t>
                        </m:r>
                      </m:sub>
                    </m:sSub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∘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∘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nor/>
                      </m:rPr>
                      <m:t> dans 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l'espace vectoriel sur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des polynômes à coefficients dans </w:t>
      </w:r>
      <m:oMath>
        <m:r>
          <m:rPr>
            <m:scr m:val="double-struck"/>
          </m:rPr>
          <m:t>K</m:t>
        </m:r>
      </m:oMath>
      <w:r>
        <w:rPr/>
        <w:t xml:space="preserve"> et,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au plus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l'espace des matrices carrées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à éléments dans </w:t>
      </w:r>
      <m:oMath>
        <m:r>
          <m:rPr>
            <m:scr m:val="double-struck"/>
          </m:rPr>
          <m:t>K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l'espace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à éléments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Première partie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f</m:t>
        </m:r>
      </m:oMath>
      <w:r>
        <w:rPr/>
        <w:t xml:space="preserve"> est un endomorphisme d'un </w:t>
      </w:r>
      <m:oMath>
        <m:r>
          <m:rPr>
            <m:scr m:val="double-struck"/>
          </m:rPr>
          <m:t>K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A</m:t>
        </m:r>
      </m:oMath>
      <w:r>
        <w:rPr/>
        <w:t xml:space="preserve"> - Montrer qu'une droite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engendrée par un vecteur </w:t>
      </w:r>
      <m:oMath>
        <m:r>
          <m:rPr>
            <m:sty m:val="i"/>
          </m:rPr>
          <m:t>u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r>
          <m:rPr>
            <m:sty m:val="i"/>
          </m:rPr>
          <m:t>u</m:t>
        </m:r>
      </m:oMath>
      <w:r>
        <w:rPr/>
        <w:t xml:space="preserve"> est un vecteur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I.B -</w:t>
      </w:r>
      <w:r>
        <w:rPr/>
        <w:br w:type="textWrapping"/>
      </w:r>
      <w:r>
        <w:rPr/>
        <w:t xml:space="preserve">I.B.1) Montrer qu'il existe au moins deux sous-espaces de </w:t>
      </w:r>
      <m:oMath>
        <m:r>
          <m:rPr>
            <m:sty m:val="i"/>
          </m:rPr>
          <m:t>E</m:t>
        </m:r>
      </m:oMath>
      <w:r>
        <w:rPr/>
        <w:t xml:space="preserve"> stables par </w:t>
      </w:r>
      <m:oMath>
        <m:r>
          <m:rPr>
            <m:sty m:val="i"/>
          </m:rPr>
          <m:t>f</m:t>
        </m:r>
      </m:oMath>
      <w:r>
        <w:rPr/>
        <w:t xml:space="preserve"> et donner un exemple d'un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qui n'admet que deux sous-espaces stables.</w:t>
      </w:r>
      <w:r>
        <w:rPr/>
        <w:br w:type="textWrapping"/>
      </w:r>
      <w:r>
        <w:rPr/>
        <w:t xml:space="preserve">I.B.2) Montrer que si </w:t>
      </w:r>
      <m:oMath>
        <m:r>
          <m:rPr>
            <m:sty m:val="i"/>
          </m:rPr>
          <m:t>E</m:t>
        </m:r>
      </m:oMath>
      <w:r>
        <w:rPr/>
        <w:t xml:space="preserve"> est de dimension finie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si </w:t>
      </w:r>
      <m:oMath>
        <m:r>
          <m:rPr>
            <m:sty m:val="i"/>
          </m:rPr>
          <m:t>f</m:t>
        </m:r>
      </m:oMath>
      <w:r>
        <w:rPr/>
        <w:t xml:space="preserve"> est non nul et non injectif, alors il existe au moins trois sous-espaces de </w:t>
      </w:r>
      <m:oMath>
        <m:r>
          <m:rPr>
            <m:sty m:val="i"/>
          </m:rPr>
          <m:t>E</m:t>
        </m:r>
      </m:oMath>
      <w:r>
        <w:rPr/>
        <w:t xml:space="preserve"> stables par </w:t>
      </w:r>
      <m:oMath>
        <m:r>
          <m:rPr>
            <m:sty m:val="i"/>
          </m:rPr>
          <m:t>f</m:t>
        </m:r>
      </m:oMath>
      <w:r>
        <w:rPr/>
        <w:t xml:space="preserve"> et au moins quatre lorsque </w:t>
      </w:r>
      <m:oMath>
        <m:r>
          <m:rPr>
            <m:sty m:val="i"/>
          </m:rPr>
          <m:t>n</m:t>
        </m:r>
      </m:oMath>
      <w:r>
        <w:rPr/>
        <w:t xml:space="preserve"> est impair.</w:t>
      </w:r>
      <w:r>
        <w:rPr/>
        <w:br w:type="textWrapping"/>
      </w:r>
      <w:r>
        <w:rPr/>
        <w:t xml:space="preserve">Donner un exemple d'endomorphisme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qui n'admet que trois sous-espaces stables.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C</m:t>
        </m:r>
      </m:oMath>
      <w:r>
        <w:rPr/>
        <w:t xml:space="preserve"> -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Montrer que tout sous-espace engendré par une famille de vecteurs propres de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Préciser l'endomorphisme induit par </w:t>
      </w:r>
      <m:oMath>
        <m:r>
          <m:rPr>
            <m:sty m:val="i"/>
          </m:rPr>
          <m:t>f</m:t>
        </m:r>
      </m:oMath>
      <w:r>
        <w:rPr/>
        <w:t xml:space="preserve"> sur tout sous-espace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I.C.2) Montrer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 sous-espace propre de dimension au moins égale à 2 alors il existe une infinité de droites de </w:t>
      </w:r>
      <m:oMath>
        <m:r>
          <m:rPr>
            <m:sty m:val="i"/>
          </m:rPr>
          <m:t>E</m:t>
        </m:r>
      </m:oMath>
      <w:r>
        <w:rPr/>
        <w:t xml:space="preserve"> stables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I.C.3) Que dire de </w:t>
      </w:r>
      <m:oMath>
        <m:r>
          <m:rPr>
            <m:sty m:val="i"/>
          </m:rPr>
          <m:t>f</m:t>
        </m:r>
      </m:oMath>
      <w:r>
        <w:rPr/>
        <w:t xml:space="preserve"> si tous les sous-espaces de </w:t>
      </w:r>
      <m:oMath>
        <m:r>
          <m:rPr>
            <m:sty m:val="i"/>
          </m:rPr>
          <m:t>E</m:t>
        </m:r>
      </m:oMath>
      <w:r>
        <w:rPr/>
        <w:t xml:space="preserve"> sont stables par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D</m:t>
        </m:r>
      </m:oMath>
      <w:r>
        <w:rPr/>
        <w:t xml:space="preserve"> - Dans cette sous-partie, </w:t>
      </w:r>
      <m:oMath>
        <m:r>
          <m:rPr>
            <m:sty m:val="i"/>
          </m:rPr>
          <m:t>E</m:t>
        </m:r>
      </m:oMath>
      <w:r>
        <w:rPr/>
        <w:t xml:space="preserve"> est un espace de dimension finie.</w:t>
      </w:r>
      <w:r>
        <w:rPr/>
        <w:br w:type="textWrapping"/>
      </w:r>
      <w:r>
        <w:rPr/>
        <w:t xml:space="preserve">I.D.1) Montrer que si </w:t>
      </w:r>
      <m:oMath>
        <m:r>
          <m:rPr>
            <m:sty m:val="i"/>
          </m:rPr>
          <m:t>f</m:t>
        </m:r>
      </m:oMath>
      <w:r>
        <w:rPr/>
        <w:t xml:space="preserve"> est diagonalisable alors tout sous-espace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admet un supplémentaire dans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partir d'une base de </w:t>
      </w:r>
      <m:oMath>
        <m:r>
          <m:rPr>
            <m:sty m:val="i"/>
          </m:rPr>
          <m:t>F</m:t>
        </m:r>
      </m:oMath>
      <w:r>
        <w:rPr/>
        <w:t xml:space="preserve"> et d'une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I.D.2) Montrer que si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 et si tout sous-espace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 supplémentaire dans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Qu'en est-il si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Deuxième partie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sont deux entiers naturels au moins égaux à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est un endomorphisme diagonalisable d'un </w:t>
      </w:r>
      <m:oMath>
        <m:r>
          <m:rPr>
            <m:scr m:val="double-struck"/>
          </m:rPr>
          <m:t>K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/>
        <w:t xml:space="preserve">, qui admet </w:t>
      </w:r>
      <m:oMath>
        <m:r>
          <m:rPr>
            <m:sty m:val="i"/>
          </m:rPr>
          <m:t>p</m:t>
        </m:r>
      </m:oMath>
      <w:r>
        <w:rPr/>
        <w:t xml:space="preserve"> valeurs propres distinctes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et, pour tout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sous-espace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A</m:t>
        </m:r>
      </m:oMath>
      <w:r>
        <w:rPr/>
        <w:t xml:space="preserve"> - Il s'agit ici de montrer qu'un sous-espace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II.A.1) Montrer que tout sous-espace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F</m:t>
        </m:r>
      </m:oMath>
      <w:r>
        <w:rPr/>
        <w:t xml:space="preserve"> un sous-espace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un vecteur non nul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l'existence et l'unicité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II.A.3) Si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non vide et, quitte à renuméroter les valeurs propres (et les sous-espaces propres), on peut supposer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. Ainsi on a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II.A.4) Montrer que pour tout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et donner la matrice de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II.A.5)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II.A.6) En déduire que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F</m:t>
        </m:r>
      </m:oMath>
      <w:r>
        <w:rPr/>
        <w:t xml:space="preserve"> et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Dans cette sous-partie, on se place dans le cas où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Préciser la 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II.B.2) Combien y a-t-il de droites de </w:t>
      </w:r>
      <m:oMath>
        <m:r>
          <m:rPr>
            <m:sty m:val="i"/>
          </m:rPr>
          <m:t>E</m:t>
        </m:r>
      </m:oMath>
      <w:r>
        <w:rPr/>
        <w:t xml:space="preserve"> stables par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II.B.3)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combien y a-t-il de sous-espaces de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k</m:t>
        </m:r>
      </m:oMath>
      <w:r>
        <w:rPr/>
        <w:t xml:space="preserve"> et stables par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II.B.4) Combien y a-t-il de sous-espaces de </w:t>
      </w:r>
      <m:oMath>
        <m:r>
          <m:rPr>
            <m:sty m:val="i"/>
          </m:rPr>
          <m:t>E</m:t>
        </m:r>
      </m:oMath>
      <w:r>
        <w:rPr/>
        <w:t xml:space="preserve"> stables par </w:t>
      </w:r>
      <m:oMath>
        <m:r>
          <m:rPr>
            <m:sty m:val="i"/>
          </m:rPr>
          <m:t>f</m:t>
        </m:r>
      </m:oMath>
      <w:r>
        <w:rPr/>
        <w:t xml:space="preserve"> dans ce cas ? Les donner tous.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Troisième partie</w:t>
      </w:r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On considère l'endomorphisme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 dérivation sur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Vérifier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stable par </w:t>
      </w:r>
      <m:oMath>
        <m:r>
          <m:rPr>
            <m:sty m:val="i"/>
          </m:rPr>
          <m:t>D</m:t>
        </m:r>
      </m:oMath>
      <w:r>
        <w:rPr/>
        <w:t xml:space="preserve"> et donner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l'endomorphisme induit par </w:t>
      </w:r>
      <m:oMath>
        <m:r>
          <m:rPr>
            <m:sty m:val="i"/>
          </m:rPr>
          <m:t>D</m:t>
        </m:r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la base canonique de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III.A.2) Soit </w:t>
      </w:r>
      <m:oMath>
        <m:r>
          <m:rPr>
            <m:sty m:val="i"/>
          </m:rPr>
          <m:t>F</m:t>
        </m:r>
      </m:oMath>
      <w:r>
        <w:rPr/>
        <w:t xml:space="preserve"> un sous-espace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de dimension finie non nulle, stable par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a) Justifier l'existence d'un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d'un polynôme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famille libre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III.A.3) Donner tous les sous-espaces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stables par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B - On considère un endomorphisme </w:t>
      </w:r>
      <m:oMath>
        <m:r>
          <m:rPr>
            <m:sty m:val="i"/>
          </m:rPr>
          <m:t>f</m:t>
        </m:r>
      </m:oMath>
      <w:r>
        <w:rPr/>
        <w:t xml:space="preserve"> d'un </w:t>
      </w:r>
      <m:oMath>
        <m:r>
          <m:rPr>
            <m:scr m:val="double-struck"/>
          </m:rPr>
          <m:t>K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Déterminer l'ensemble des vecteurs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la famille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soit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Dans le cas où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</m:sub>
        </m:sSub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, quelle est la matrice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Déterminer une base de </w:t>
      </w:r>
      <m:oMath>
        <m:r>
          <m:rPr>
            <m:sty m:val="i"/>
          </m:rPr>
          <m:t>E</m:t>
        </m:r>
      </m:oMath>
      <w:r>
        <w:rPr/>
        <w:t xml:space="preserve"> telle que la matrice de </w:t>
      </w:r>
      <m:oMath>
        <m:r>
          <m:rPr>
            <m:sty m:val="i"/>
          </m:rPr>
          <m:t>f</m:t>
        </m:r>
      </m:oMath>
      <w:r>
        <w:rPr/>
        <w:t xml:space="preserve"> dans cette base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III.B.4) Donner tous les sous-espaces de </w:t>
      </w:r>
      <m:oMath>
        <m:r>
          <m:rPr>
            <m:sty m:val="i"/>
          </m:rPr>
          <m:t>E</m:t>
        </m:r>
      </m:oMath>
      <w:r>
        <w:rPr/>
        <w:t xml:space="preserve"> stables par </w:t>
      </w:r>
      <m:oMath>
        <m:r>
          <m:rPr>
            <m:sty m:val="i"/>
          </m:rPr>
          <m:t>f</m:t>
        </m:r>
      </m:oMath>
      <w:r>
        <w:rPr/>
        <w:t xml:space="preserve">. Combien y en a-t-il ? Donner une relation simple entre ces sous-espaces stables et les noyaux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</m:oMath>
      <w:r>
        <w:rPr/>
        <w:t xml:space="preserve"> pour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Quatrième partie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/>
        <w:t xml:space="preserve"> est un entier naturel non nul, </w:t>
      </w:r>
      <m:oMath>
        <m:r>
          <m:rPr>
            <m:sty m:val="i"/>
          </m:rPr>
          <m:t>M</m:t>
        </m:r>
      </m:oMath>
      <w:r>
        <w:rPr/>
        <w:t xml:space="preserve"> est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est l'endomorphisme de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⋅</m:t>
        </m:r>
        <m:r>
          <m:rPr>
            <m:sty m:val="bi"/>
          </m:rPr>
          <m:t>A</m:t>
        </m:r>
        <m:r>
          <m:rPr>
            <m:sty m:val="p"/>
          </m:rPr>
          <m:t>−</m:t>
        </m:r>
      </m:oMath>
      <w:r>
        <w:rPr/>
        <w:t xml:space="preserve"> Si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δ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l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l</m:t>
                  </m:r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la base canonique de </w:t>
      </w:r>
      <m:oMath>
        <m:r>
          <m:rPr>
            <m:sty m:val="i"/>
          </m:rPr>
          <m:t>E</m:t>
        </m:r>
      </m:oMath>
      <w:r>
        <w:rPr/>
        <w:t xml:space="preserve">, quelle est la matrice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IV.B - Montrer que si </w:t>
      </w:r>
      <m:oMath>
        <m:r>
          <m:rPr>
            <m:sty m:val="i"/>
          </m:rPr>
          <m:t>n</m:t>
        </m:r>
      </m:oMath>
      <w:r>
        <w:rPr/>
        <w:t xml:space="preserve"> est impair,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au moins une valeur propre réelle.</w:t>
      </w:r>
      <w:r>
        <w:rPr/>
        <w:br w:type="textWrapping"/>
      </w:r>
      <w:r>
        <w:rPr/>
        <w:t xml:space="preserve">IV. </w:t>
      </w:r>
      <m:oMath>
        <m:r>
          <m:rPr>
            <m:sty m:val="bi"/>
          </m:rPr>
          <m:t>C</m:t>
        </m:r>
      </m:oMath>
      <w:r>
        <w:rPr/>
        <w:t xml:space="preserve"> - Dans cette question,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i"/>
          </m:rPr>
          <m:t>β</m:t>
        </m:r>
      </m:oMath>
      <w:r>
        <w:rPr/>
        <w:t xml:space="preserve">, avec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)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est une valeur propre non réelle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non nul est tel que </w:t>
      </w:r>
      <m:oMath>
        <m:r>
          <m:rPr>
            <m:sty m:val="i"/>
          </m:rPr>
          <m:t>M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on note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avec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(conjugué du nombre complexe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) pour tout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si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on note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</m:m>
          </m:e>
        </m:d>
      </m:oMath>
      <w:r>
        <w:rPr/>
        <w:t xml:space="preserve"> avec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+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i</m:t>
            </m:r>
          </m:den>
        </m:f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−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IV.C.1) Vérifier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dans </w:t>
      </w:r>
      <m:oMath>
        <m:r>
          <m:rPr>
            <m:sty m:val="i"/>
          </m:rPr>
          <m:t>E</m:t>
        </m:r>
      </m:oMath>
      <w:r>
        <w:rPr/>
        <w:t xml:space="preserve"> et montrer que la famille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est libre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IV.C.2) Montrer que le plan vectoriel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et donner la matrice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dans la base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 - Que penser de l'affirmation : « tout endomorphisme d'un espace vectoriel réel de dimension finie admet au moins une droite ou un plan stable »?</w:t>
      </w:r>
      <w:r>
        <w:rPr/>
        <w:br w:type="textWrapping"/>
      </w:r>
      <w:r>
        <w:rPr/>
        <w:t xml:space="preserve">IV.E - Existe-t-il un endomorphisme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n'admettant ni droite ni plan stable ?</w:t>
      </w:r>
      <w:r>
        <w:rPr/>
        <w:br w:type="textWrapping"/>
      </w:r>
      <w:r>
        <w:rPr>
          <w:rFonts w:eastAsia="Georgia" w:cs="Georgia" w:ascii="Georgia" w:hAnsi="Georgia"/>
        </w:rPr>
        <w:t xml:space="preserve">IV.F - Dans cette question on considère le système différentiel linéaire </w:t>
      </w:r>
      <m:oMath>
        <m:r>
          <m:rPr>
            <m:scr m:val="script"/>
          </m:rPr>
          <m:t>S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associé à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appelle trajectoires de </w:t>
      </w:r>
      <m:oMath>
        <m:r>
          <m:rPr>
            <m:scr m:val="script"/>
          </m:rPr>
          <m:t>S</m:t>
        </m:r>
      </m:oMath>
      <w:r>
        <w:rPr/>
        <w:t xml:space="preserve"> les arcs de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paramétrés par les solutions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. On veut déterminer les trajectoires rectilignes et les trajectoires planes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IV.F.1) Construire une matrice </w:t>
      </w:r>
      <m:oMath>
        <m:r>
          <m:rPr>
            <m:sty m:val="i"/>
          </m:rPr>
          <m:t>P</m:t>
        </m:r>
      </m:oMath>
      <w:r>
        <w:rPr/>
        <w:t xml:space="preserve"> inversible et une matrice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γ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dans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déterminer un plan </w:t>
      </w:r>
      <m:oMath>
        <m:r>
          <m:rPr>
            <m:sty m:val="i"/>
          </m:rPr>
          <m:t>F</m:t>
        </m:r>
      </m:oMath>
      <w:r>
        <w:rPr/>
        <w:t xml:space="preserve"> et une droite </w:t>
      </w:r>
      <m:oMath>
        <m:r>
          <m:rPr>
            <m:sty m:val="i"/>
          </m:rPr>
          <m:t>G</m:t>
        </m:r>
      </m:oMath>
      <w:r>
        <w:rPr/>
        <w:t xml:space="preserve"> stables par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supplémentaires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IV.F.2) Déterminer l'unique solution du problème de Cauchy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U</m:t>
                  </m:r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lorsque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IV.F.3) Pour tout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considère le problème de Cauchy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b</m:t>
                  </m:r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l'unique solution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; montrer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solutions d'une même équation différentielle linéaire homogène du second ordre à coefficients constants et ainsi en déduire </w:t>
      </w:r>
      <m:oMath>
        <m:r>
          <m:rPr>
            <m:sty m:val="i"/>
          </m:rPr>
          <m:t>φ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IV.F.4) Déterminer les trajectoires rectilignes et les trajectoires planes du système différentiel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Cinquième partie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espace vectoriel réel de dimension </w:t>
      </w:r>
      <m:oMath>
        <m:r>
          <m:rPr>
            <m:sty m:val="i"/>
          </m:rPr>
          <m:t>n</m:t>
        </m:r>
      </m:oMath>
      <w:r>
        <w:rPr/>
        <w:t xml:space="preserve"> muni d'une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on note </w:t>
      </w:r>
      <m:oMath>
        <m:r>
          <m:rPr>
            <m:sty m:val="i"/>
          </m:rPr>
          <m:t>A</m:t>
        </m:r>
      </m:oMath>
      <w:r>
        <w:rPr/>
        <w:t xml:space="preserve"> sa matrice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m:oMathPara>
        <m:oMathParaPr>
          <m:jc m:val="left"/>
        </m:oMathParaPr>
        <m:oMath>
          <m:r>
            <m:rPr>
              <m:sty m:val="bi"/>
            </m:rPr>
            <w:rPr>
              <w:sz w:val="42"/>
            </w:rPr>
            <m:t>V</m:t>
          </m:r>
          <m:r>
            <m:rPr>
              <m:sty m:val="p"/>
            </m:rPr>
            <w:rPr>
              <w:sz w:val="42"/>
            </w:rPr>
            <m:t>.</m:t>
          </m:r>
          <m:r>
            <m:rPr>
              <m:sty m:val="bi"/>
            </m:rPr>
            <w:rPr>
              <w:sz w:val="42"/>
            </w:rPr>
            <m:t>A</m:t>
          </m:r>
          <m:r>
            <m:rPr>
              <m:sty m:val="p"/>
            </m:rPr>
            <w:rPr>
              <w:sz w:val="42"/>
            </w:rPr>
            <m:t>−</m:t>
          </m:r>
        </m:oMath>
      </m:oMathPara>
    </w:p>
    <w:p>
      <w:pPr>
        <w:spacing w:after="220" w:lineRule="auto"/>
      </w:pPr>
      <w:r>
        <w:rPr/>
        <w:t xml:space="preserve">V.A.1) Montrer qu'il existe un unique produit scalaire sur </w:t>
      </w:r>
      <m:oMath>
        <m:r>
          <m:rPr>
            <m:sty m:val="i"/>
          </m:rPr>
          <m:t>E</m:t>
        </m:r>
      </m:oMath>
      <w:r>
        <w:rPr/>
        <w:t xml:space="preserve"> pour lequel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orthonormée.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produit scalaire est noté de manière usuelle par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</m:oMath>
      <w:r>
        <w:rPr/>
        <w:t xml:space="preserve"> ou plus simplement </w:t>
      </w:r>
      <m:oMath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v</m:t>
        </m:r>
      </m:oMath>
      <w:r>
        <w:rPr/>
        <w:t xml:space="preserve"> pour tout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V.A.2)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représentés par les matrices colonnes respectives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, quelle relation simple existe-t-il entre </w:t>
      </w:r>
      <m:oMath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v</m:t>
        </m:r>
      </m:oMath>
      <w:r>
        <w:rPr/>
        <w:t xml:space="preserve"> et le produit matriciel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(où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la transposée de </w:t>
      </w:r>
      <m:oMath>
        <m:r>
          <m:rPr>
            <m:sty m:val="i"/>
          </m:rPr>
          <m:t>U</m:t>
        </m:r>
      </m:oMath>
      <w:r>
        <w:rPr/>
        <w:t xml:space="preserve"> ) ?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Soit </w:t>
      </w:r>
      <m:oMath>
        <m:r>
          <m:rPr>
            <m:sty m:val="i"/>
          </m:rPr>
          <m:t>H</m:t>
        </m:r>
      </m:oMath>
      <w:r>
        <w:rPr/>
        <w:t xml:space="preserve"> un hyperplan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 supplémentaire orthogonal.</w:t>
      </w:r>
      <w:r>
        <w:rPr/>
        <w:br w:type="textWrapping"/>
      </w:r>
      <w:r>
        <w:rPr/>
        <w:t xml:space="preserve">Si (u) est une base de </w:t>
      </w:r>
      <m:oMath>
        <m:r>
          <m:rPr>
            <m:sty m:val="i"/>
          </m:rPr>
          <m:t>D</m:t>
        </m:r>
      </m:oMath>
      <w:r>
        <w:rPr/>
        <w:t xml:space="preserve"> et si </w:t>
      </w:r>
      <m:oMath>
        <m:r>
          <m:rPr>
            <m:sty m:val="i"/>
          </m:rPr>
          <m:t>U</m:t>
        </m:r>
      </m:oMath>
      <w:r>
        <w:rPr/>
        <w:t xml:space="preserve"> est la matrice colonne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, montrer que </w:t>
      </w:r>
      <m:oMath>
        <m:r>
          <m:rPr>
            <m:sty m:val="i"/>
          </m:rPr>
          <m:t>H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vecteur propre de la transposée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>
          <w:rFonts w:eastAsia="Georgia" w:cs="Georgia" w:ascii="Georgia" w:hAnsi="Georgia"/>
        </w:rPr>
        <w:t xml:space="preserve"> - Déterminer ainsi le(s) plan(s) stable(s) de </w:t>
      </w:r>
      <m:oMath>
        <m:r>
          <m:rPr>
            <m:sty m:val="i"/>
          </m:rPr>
          <m:t>f</m:t>
        </m:r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la matrice considérée en IV.F.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D</m:t>
        </m:r>
      </m:oMath>
      <w:r>
        <w:rPr/>
        <w:t xml:space="preserve"> - Dans cette question,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espace vectoriel réel de dimension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V.D.1) Montrer que si </w:t>
      </w:r>
      <m:oMath>
        <m:r>
          <m:rPr>
            <m:sty m:val="i"/>
          </m:rPr>
          <m:t>f</m:t>
        </m:r>
      </m:oMath>
      <w:r>
        <w:rPr/>
        <w:t xml:space="preserve"> est diagonalisable alors il existe </w:t>
      </w:r>
      <m:oMath>
        <m:r>
          <m:rPr>
            <m:sty m:val="i"/>
          </m:rPr>
          <m:t>n</m:t>
        </m:r>
      </m:oMath>
      <w:r>
        <w:rPr/>
        <w:t xml:space="preserve"> hyperplans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, tous stables par </w:t>
      </w:r>
      <m:oMath>
        <m:r>
          <m:rPr>
            <m:sty m:val="i"/>
          </m:rPr>
          <m:t>f</m:t>
        </m:r>
      </m:oMath>
      <w:r>
        <w:rPr/>
        <w:t xml:space="preserve"> tels que </w:t>
      </w:r>
      <m:oMath>
        <m:sSubSup>
          <m:sSubSupPr/>
          <m:e>
            <m:r>
              <m:rPr>
                <m:sty m:val="p"/>
              </m:rPr>
              <m:t>⋂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V.D.2)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pour lequel il existe </w:t>
      </w:r>
      <m:oMath>
        <m:r>
          <m:rPr>
            <m:sty m:val="i"/>
          </m:rPr>
          <m:t>n</m:t>
        </m:r>
      </m:oMath>
      <w:r>
        <w:rPr/>
        <w:t xml:space="preserve"> hyperplans de </w:t>
      </w:r>
      <m:oMath>
        <m:r>
          <m:rPr>
            <m:sty m:val="i"/>
          </m:rPr>
          <m:t>E</m:t>
        </m:r>
      </m:oMath>
      <w:r>
        <w:rPr/>
        <w:t xml:space="preserve"> stables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d'intersection réduite au vecteur nul est-il nécessairement diagonalisable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5ae6f407cec32e482d8f8832f360e1b576b181e9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2025-08-29T16:04:40.956Z</dcterms:created>
  <dcterms:modified xsi:type="dcterms:W3CDTF">2025-08-29T16:04:40.956Z</dcterms:modified>
</cp:coreProperties>
</file>