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Réduction de sous-algèbres de </w:t>
      </w:r>
      <m:oMath>
        <m:r>
          <m:rPr>
            <m:scr m:val="script"/>
          </m:rPr>
          <w:rPr>
            <w:sz w:val="42"/>
          </w:rPr>
          <m:t>L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K</m:t>
        </m:r>
      </m:oMath>
      <w:r>
        <w:rPr/>
        <w:t xml:space="preserve">-espace vectoriel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carrées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et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la matrice, dans la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de l'endomorphisme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matrice transposée de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dit qu'un sous-ensemble </w:t>
      </w:r>
      <m:oMath>
        <m:r>
          <m:rPr>
            <m:scr m:val="script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cr m:val="script"/>
          </m:rPr>
          <m:t>A</m:t>
        </m:r>
      </m:oMath>
      <w:r>
        <w:rPr/>
        <w:t xml:space="preserve"> est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stable pour la composition, c'est-à-dire tel que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quels que soient les éléments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cr m:val="script"/>
          </m:rPr>
          <m:t>A</m:t>
        </m:r>
      </m:oMath>
      <w:r>
        <w:rPr/>
        <w:t xml:space="preserve">. (Remarquer qu'on ne demande pas que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cr m:val="script"/>
          </m:rPr>
          <m:t>A</m:t>
        </m:r>
      </m:oMath>
      <w:r>
        <w:rPr/>
        <w:t xml:space="preserve">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sous-algèbre </w:t>
      </w:r>
      <m:oMath>
        <m:r>
          <m:rPr>
            <m:scr m:val="script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commutative si pour tous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sous-algèbre </w:t>
      </w:r>
      <m:oMath>
        <m:r>
          <m:rPr>
            <m:scr m:val="script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dite diagonalisable (respectivement trigonalisable) s'il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diagonale (respectivement triangulaire supérieure) pour tout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partie </w:t>
      </w:r>
      <m:oMath>
        <m:r>
          <m:rPr>
            <m:scr m:val="script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cr m:val="script"/>
          </m:rPr>
          <m:t>A</m:t>
        </m:r>
      </m:oMath>
      <w:r>
        <w:rPr/>
        <w:t xml:space="preserve"> est un sous-espace vectoriel stable pour le produit matriciel. Elle est dite commutative si, pour toutes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Une sous-algèbre </w:t>
      </w:r>
      <m:oMath>
        <m:r>
          <m:rPr>
            <m:scr m:val="script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diagonalisable (respectivement trigonalisable) s'il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script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diagonale (respectivement triangulaire supérieure).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script"/>
          </m:rPr>
          <m:t>B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, l'application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bijection qui envoie une sous-algèbre (respectivement commutative, diagonalisable, trigonalisable)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(respectivement commutative, diagonalisable, trigonalisable).</w:t>
      </w:r>
    </w:p>
    <w:p>
      <w:pPr>
        <w:spacing w:after="220" w:lineRule="auto"/>
      </w:pPr>
      <w:r>
        <w:rPr/>
        <w:t xml:space="preserve">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strict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différent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(respectivement antisymétriques). On désigne par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Sup>
          <m:sSubSup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)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triangulaires supérieures. (respectivement des matrices triangulaires supérieures à coefficients diagonaux nuls).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Exemples de sous-algèbres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Exemples de sous-algèbres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Q 1. Les sous-ensembles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sont-ils des sous-algèbres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Q 2. Les sous-ensembles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sont-ils des sous-algèbres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Q 3.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Les sous-ensembles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sont-ils des sous-algèbres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Exemples de sous-algèbres de </w:t>
      </w:r>
      <m:oMath>
        <m:r>
          <m:rPr>
            <m:scr m:val="script"/>
          </m:rPr>
          <w:rPr>
            <w:sz w:val="42"/>
          </w:rPr>
          <m:t>L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l'ensemble des endomorphismes de </w:t>
      </w:r>
      <m:oMath>
        <m:r>
          <m:rPr>
            <m:sty m:val="i"/>
          </m:rPr>
          <m:t>E</m:t>
        </m:r>
      </m:oMath>
      <w:r>
        <w:rPr/>
        <w:t xml:space="preserve"> qui stabilisent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4. Montrer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5. Montrer que </w:t>
      </w:r>
      <m:oMath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i"/>
          </m:rPr>
          <m:t>n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laquelle la matrice de tout élément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triangulaire par blocs.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6. Déterminer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Exemples de sous-algèbres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diagonalisables et non diagonalisables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7. Montrer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8. Montrer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une sous-algèbre diagonalisable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9.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est diagonalisable sur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sous-algèbre diagonalisable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Une sous-algèbre commutative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Dans cette partie,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Ainsi,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A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la forme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canoniquement associée à l'endomorphisme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où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 Calcul des puissances de </w:t>
      </w:r>
      <m:oMath>
        <m:r>
          <m:rPr>
            <m:sty m:val="i"/>
          </m:rPr>
          <w:rPr>
            <w:sz w:val="42"/>
          </w:rPr>
          <m:t>J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Préciser les matrices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(On pourra distinguer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Q 11. Préciser les matrices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12. Quel est le lien entre la matrice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les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II.B - Une base de </w:t>
      </w:r>
      <m:oMath>
        <m:r>
          <m:rPr>
            <m:scr m:val="script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Q 13.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est une base de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14.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/>
        <w:t xml:space="preserve"> commute avec </w:t>
      </w:r>
      <m:oMath>
        <m:r>
          <m:rPr>
            <m:sty m:val="i"/>
          </m:rPr>
          <m:t>J</m:t>
        </m:r>
      </m:oMath>
      <w:r>
        <w:rPr/>
        <w:t xml:space="preserve"> si et seulement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commute avec tout élément de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15. Montrer que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une sous-algèbre commutative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Diagonalisation de </w:t>
      </w:r>
      <m:oMath>
        <m:r>
          <m:rPr>
            <m:sty m:val="i"/>
          </m:rPr>
          <w:rPr>
            <w:sz w:val="42"/>
          </w:rPr>
          <m:t>J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Déterminer le polynôme caractéristique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Q 17. Montrer que </w:t>
      </w:r>
      <m:oMath>
        <m:r>
          <m:rPr>
            <m:sty m:val="i"/>
          </m:rPr>
          <m:t>J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18. La matrice </w:t>
      </w:r>
      <m:oMath>
        <m:r>
          <m:rPr>
            <m:sty m:val="i"/>
          </m:rPr>
          <m:t>J</m:t>
        </m:r>
      </m:oMath>
      <w:r>
        <w:rPr/>
        <w:t xml:space="preserve"> est-elle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 19. Déterminer les valeurs propres complexes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les espaces propres associés.</w:t>
      </w:r>
    </w:p>
    <w:p>
      <w:pPr>
        <w:spacing w:line="271" w:before="330" w:lineRule="auto"/>
      </w:pPr>
      <w:r>
        <w:rPr>
          <w:b/>
          <w:sz w:val="42"/>
        </w:rPr>
        <w:t xml:space="preserve">II.D - Diagonalisation de </w:t>
      </w:r>
      <m:oMath>
        <m:r>
          <m:rPr>
            <m:scr m:val="script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Q 20. Le sous-ensemble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est-il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Q 21.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que, 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est diagonale.</w:t>
      </w:r>
      <w:r>
        <w:rPr/>
        <w:br w:type="textWrapping"/>
      </w: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polynôme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22. Quelles sont les valeurs propres complexes de la matrice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Sous-algèbres strictes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de dimension maximale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montrer dans cette partie que la dimension maximale d'une sous-algèbre stricte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strictement incluse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d</m:t>
        </m:r>
      </m:oMath>
      <w:r>
        <w:rPr/>
        <w:t xml:space="preserve"> sa dimension. On a donc </w:t>
      </w:r>
      <m:oMath>
        <m:r>
          <m:rPr>
            <m:sty m:val="i"/>
          </m:rPr>
          <m:t>d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III.A -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La trace de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Montrer que l'application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par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/>
        <w:t xml:space="preserve"> 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l'orthogonal de </w:t>
      </w:r>
      <m:oMath>
        <m:r>
          <m:rPr>
            <m:scr m:val="script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r</m:t>
        </m:r>
      </m:oMath>
      <w:r>
        <w:rPr/>
        <w:t xml:space="preserve"> sa dimension.</w:t>
      </w:r>
      <w:r>
        <w:rPr/>
        <w:br w:type="textWrapping"/>
      </w:r>
      <w:r>
        <w:rPr/>
        <w:t xml:space="preserve">Q 24. Quelle relation a-t-on entre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Jusqu'à la fin de cette partie III, on fixe une base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25.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A</m:t>
        </m:r>
      </m:oMath>
      <w:r>
        <w:rPr/>
        <w:t xml:space="preserve"> si et seulement si,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26. Montrer que pour toute matrice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et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Conclusion</w:t>
      </w:r>
    </w:p>
    <w:p>
      <w:pPr>
        <w:spacing w:after="220" w:lineRule="auto"/>
      </w:pPr>
      <w:r>
        <w:rPr/>
        <w:t xml:space="preserve">Soit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27. Montrer que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même dimension que </w:t>
      </w:r>
      <m:oMath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coefficients réels. On rappelle qu'à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associé canoniquement l'endomorphisme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28.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stable par les endomorphismes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canoniquement associés aux éléments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 29. Montrer que </w:t>
      </w:r>
      <m:oMath>
        <m:r>
          <m:rPr>
            <m:sty m:val="i"/>
          </m:rPr>
          <m:t>d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Réduction d'une algèbre nilpotente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constituée d'endomorphismes nilpotents. On admet dans cette partie le théorème ci-dessous, qui sera démontré dans la partie V.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Théorème de Burnside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Si les seuls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stables par tous les éléments de </w:t>
      </w:r>
      <m:oMath>
        <m:r>
          <m:rPr>
            <m:scr m:val="script"/>
          </m:rPr>
          <m:t>A</m:t>
        </m:r>
      </m:oMath>
      <w:r>
        <w:rPr/>
        <w:t xml:space="preserve"> sont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, alors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par récurrence forte sur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que si tous les éléments de </w:t>
      </w:r>
      <m:oMath>
        <m:r>
          <m:rPr>
            <m:scr m:val="script"/>
          </m:rPr>
          <m:t>A</m:t>
        </m:r>
      </m:oMath>
      <w:r>
        <w:rPr/>
        <w:t xml:space="preserve"> sont nilpotents, alors </w:t>
      </w:r>
      <m:oMath>
        <m:r>
          <m:rPr>
            <m:scr m:val="script"/>
          </m:rPr>
          <m:t>A</m:t>
        </m:r>
      </m:oMath>
      <w:r>
        <w:rPr/>
        <w:t xml:space="preserve"> est trigonalisable.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Montrer que le résultat est vrai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que le résultat est vrai pour tout entier naturel </w:t>
      </w:r>
      <m:oMath>
        <m:r>
          <m:rPr>
            <m:sty m:val="i"/>
          </m:rPr>
          <m:t>d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31. Montrer qu'il existe un sous-espace vectoriel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distinct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stable par tous les éléments de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fixe dans la suite un tel sous-espace vectoriel et on note </w:t>
      </w:r>
      <m:oMath>
        <m:r>
          <m:rPr>
            <m:sty m:val="i"/>
          </m:rPr>
          <m:t>r</m:t>
        </m:r>
      </m:oMath>
      <w:r>
        <w:rPr/>
        <w:t xml:space="preserve"> sa dimension. Soit aussi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Mat</m:t>
              </m:r>
            </m:e>
            <m:sub>
              <m:r>
                <m:rPr>
                  <m:scr m:val="script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33. Montrer que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constituée de matrices nilpotentes et que </w:t>
      </w:r>
      <m:oMath>
        <m:r>
          <m:rPr>
            <m:sty m:val="p"/>
          </m:rPr>
          <m:t>{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constituée de matrices nilpotentes.</w:t>
      </w:r>
    </w:p>
    <w:p>
      <w:pPr>
        <w:spacing w:after="220" w:lineRule="auto"/>
      </w:pPr>
      <w:r>
        <w:rPr/>
        <w:t xml:space="preserve">Q 34. Montrer que </w:t>
      </w:r>
      <m:oMath>
        <m:r>
          <m:rPr>
            <m:scr m:val="script"/>
          </m:rPr>
          <m:t>A</m:t>
        </m:r>
      </m:oMath>
      <w:r>
        <w:rPr/>
        <w:t xml:space="preserve"> est trigonalisable.</w:t>
      </w:r>
      <w:r>
        <w:rPr/>
        <w:br w:type="textWrapping"/>
      </w:r>
      <w:r>
        <w:rPr/>
        <w:t xml:space="preserve">Q 35. Montrer qu'il existe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laquelle les matrices des éléments de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bSup>
          <m:sSubSup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Le théorème de Burnside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dans cette partie le théorème de Burnside énoncé dans la partie IV.</w:t>
      </w:r>
      <w:r>
        <w:rPr/>
        <w:br w:type="textWrapping"/>
      </w:r>
      <w:r>
        <w:rPr/>
        <w:t xml:space="preserve">On fixe un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dira qu'une sous-algèbre </w:t>
      </w:r>
      <m:oMath>
        <m:r>
          <m:rPr>
            <m:scr m:val="script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irréductible si les seuls sous-espaces vectoriels stables par tous les éléments de </w:t>
      </w:r>
      <m:oMath>
        <m:r>
          <m:rPr>
            <m:scr m:val="script"/>
          </m:rPr>
          <m:t>A</m:t>
        </m:r>
      </m:oMath>
      <w:r>
        <w:rPr/>
        <w:t xml:space="preserve"> sont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une sous-algèbre irréductible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Il s'agit donc de montrer que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V.A - Recherche d'un élément de rang 1</w:t>
      </w:r>
    </w:p>
    <w:p>
      <w:pPr>
        <w:spacing w:after="220" w:lineRule="auto"/>
      </w:pPr>
      <w:r>
        <w:rPr/>
        <w:t xml:space="preserve">Q 36.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non nul.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dans </w:t>
      </w:r>
      <m:oMath>
        <m:r>
          <m:rPr>
            <m:sty m:val="i"/>
          </m:rPr>
          <m:t>E</m:t>
        </m:r>
      </m:oMath>
      <w:r>
        <w:rPr/>
        <w:t xml:space="preserve"> le sous-espace vectoriel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37.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de rang supérieur ou égal à 2 .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r>
            <m:rPr>
              <m:sty m:val="p"/>
            </m:rPr>
            <m:t>rg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∘</m:t>
          </m:r>
          <m:r>
            <m:rPr>
              <m:sty m:val="i"/>
            </m:rPr>
            <m:t>u</m:t>
          </m:r>
          <m:r>
            <m:rPr>
              <m:sty m:val="p"/>
            </m:rPr>
            <m:t>∘</m:t>
          </m:r>
          <m:r>
            <m:rPr>
              <m:sty m:val="i"/>
            </m:rPr>
            <m:t>v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rg</m:t>
          </m:r>
          <m:r>
            <m:rPr>
              <m:sty m:val="i"/>
            </m:rPr>
            <m:t>v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Considérer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tels que la famille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soit libre, justifier l'existence de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considérer l'endomorphisme induit par </w:t>
      </w:r>
      <m:oMath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En déduire l'existence d'un élément de rang 1 dans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V.B - Conclusion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de rang 1 . On peut donc choisir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(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soit une base de </w:t>
      </w:r>
      <m:oMath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39. Montrer qu'il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de rang 1 tels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40.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