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400300" cy="2324100"/>
            <wp:effectExtent b="0" l="0" r="0" t="0"/>
            <wp:docPr id="1" name="image-961199115e5a24ac3b3bfeb91de5201a057ef36b.jpg"/>
            <a:graphic>
              <a:graphicData uri="http://schemas.openxmlformats.org/drawingml/2006/picture">
                <pic:pic>
                  <pic:nvPicPr>
                    <pic:cNvPr id="1" name="image-961199115e5a24ac3b3bfeb91de5201a057ef36b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324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sujet comporte quatre parties, qui peuvent être traitées indépendamment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La partie I étudie deux façons d'approcher le réel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La partie II généralise la méthode de Héron d'Alexandrie étudiée en sous-partie I.B au cadre des matrices symétriques positives.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La partie III traite le cas général de la méthode de Newton numérique réelle.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La partie IV s'inspire de la méthode de Newton abordée en partie III pour établir l'existence de la décomposition de Jordan-Chevalley-Dunford, par une approche algorithmique et en donne une application à la détermination de la racine carrée de certaines matrices.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Dans tout le sujet, </w:t>
      </w:r>
      <m:oMath>
        <m:r>
          <m:rPr>
            <m:scr m:val="double-struck"/>
          </m:rPr>
          <m:t>K</m:t>
        </m:r>
      </m:oMath>
      <w:r>
        <w:rPr>
          <w:rFonts w:eastAsia="Georgia" w:cs="Georgia" w:ascii="Georgia" w:hAnsi="Georgia"/>
        </w:rPr>
        <w:t xml:space="preserve"> désigne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est un entier naturel non nul.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de taille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K</m:t>
        </m:r>
      </m:oMath>
      <w:r>
        <w:rPr/>
        <w:t xml:space="preserve">; on note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la matrice identité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T</m:t>
            </m:r>
          </m:sup>
        </m:sSup>
      </m:oMath>
      <w:r>
        <w:rPr>
          <w:rFonts w:eastAsia="Georgia" w:cs="Georgia" w:ascii="Georgia" w:hAnsi="Georgia"/>
        </w:rPr>
        <w:t xml:space="preserve"> la transposée d'une matrice </w:t>
      </w:r>
      <m:oMath>
        <m:r>
          <m:rPr>
            <m:sty m:val="i"/>
          </m:rPr>
          <m:t>P</m:t>
        </m:r>
      </m:oMath>
      <w:r>
        <w:rPr/>
        <w:t xml:space="preserve">. On note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appartenant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note </w:t>
      </w:r>
      <m:oMath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le sous-ensemble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constitué des matrices orthogonales, c'est-à-dire des matrices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P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Pour toute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pour tous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q</m:t>
        </m:r>
      </m:oMath>
      <w:r>
        <w:rPr/>
        <w:t xml:space="preserve">, on note </w:t>
      </w:r>
      <m:oMath>
        <m:r>
          <m:rPr>
            <m:sty m:val="p"/>
          </m:rPr>
          <m:t>[</m:t>
        </m:r>
        <m:r>
          <m:rPr>
            <m:sty m:val="i"/>
          </m:rPr>
          <m:t>M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le coefficient d'indice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K</m:t>
        </m:r>
      </m:oMath>
      <w:r>
        <w:rPr/>
        <w:t xml:space="preserve">, on note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q</m:t>
                </m:r>
              </m:sub>
            </m:sSub>
          </m:e>
        </m:d>
      </m:oMath>
      <w:r>
        <w:rPr/>
        <w:t xml:space="preserve"> la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telle que, pour tous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q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[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p"/>
                </m:rPr>
                <m:t>]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j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sinon.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munit l'ensemble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d'une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. On rappelle que, par l'équivalence des normes en dimension finie, la notion de convergence d'une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valeurs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ne dépend pas du choix de la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. On pourra alors utiliser librement et sans démonstration dans tout le sujet les deux résultats suivants : pour toute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à valeurs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pour toute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,</w:t>
      </w:r>
    </w:p>
    <w:p>
      <w:pPr>
        <w:numPr>
          <w:ilvl w:val="0"/>
          <w:numId w:val="2"/>
        </w:numPr>
        <w:spacing w:lineRule="auto"/>
      </w:pPr>
      <w:r>
        <w:rPr/>
        <w:t xml:space="preserve">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r>
          <m:rPr>
            <m:sty m:val="i"/>
          </m:rPr>
          <m:t>M</m:t>
        </m:r>
      </m:oMath>
      <w:r>
        <w:rPr/>
        <w:t xml:space="preserve"> si et seulement si, pour tous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q</m:t>
        </m:r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r>
          <m:rPr>
            <m:sty m:val="p"/>
          </m:rPr>
          <m:t>[</m:t>
        </m:r>
        <m:r>
          <m:rPr>
            <m:sty m:val="i"/>
          </m:rPr>
          <m:t>M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K</m:t>
        </m:r>
        <m:r>
          <m:rPr>
            <m:sty m:val="p"/>
          </m:rPr>
          <m:t>)</m:t>
        </m:r>
      </m:oMath>
      <w:r>
        <w:rPr/>
        <w:t xml:space="preserve"> et si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r>
          <m:rPr>
            <m:sty m:val="i"/>
          </m:rPr>
          <m:t>M</m:t>
        </m:r>
      </m:oMath>
      <w:r>
        <w:rPr/>
        <w:t xml:space="preserve">, alors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i"/>
                  </m:rPr>
                  <m:t>A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convergent respectivement vers </w:t>
      </w:r>
      <m:oMath>
        <m:r>
          <m:rPr>
            <m:sty m:val="i"/>
          </m:rPr>
          <m:t>A</m:t>
        </m:r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 Quelques approximations de </w:t>
      </w:r>
      <m:oMath>
        <m:rad>
          <m:radPr>
            <m:degHide m:val="1"/>
            <m:ctrlPr>
              <w:rPr>
                <w:rFonts w:ascii="Cambria Math" w:hAnsi="Cambria Math"/>
                <w:sz w:val="42"/>
              </w:rPr>
            </m:ctrlPr>
          </m:radPr>
          <m:deg/>
          <m:e>
            <m:r>
              <m:rPr>
                <m:sty m:val="p"/>
              </m:rPr>
              <w:rPr>
                <w:sz w:val="42"/>
              </w:rPr>
              <m:t>2</m:t>
            </m:r>
          </m:e>
        </m:rad>
      </m:oMath>
      <w:r>
        <w:rPr>
          <w:b/>
          <w:sz w:val="42"/>
        </w:rPr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Via un développement en série entière.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⋯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Q1. Montrer que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vaut: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∉</m:t>
                    </m:r>
                    <m:r>
                      <m:rPr>
                        <m:scr m:val="double-struck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  <m:r>
                      <m:rPr>
                        <m:nor/>
                      </m:rPr>
                      <m:t> sinon.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2. Donner, sans justification supplémentaire, l'expression de la fonction somme de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Q 3.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 Montrer que,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</m:e>
          </m:ra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4. Déterminer un équivalent simple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déduire la nature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5. Montrer que la série entière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en déduire la valeur de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6. Montrer que</w:t>
      </w:r>
    </w:p>
    <w:p>
      <w:pPr>
        <w:spacing w:after="220" w:lineRule="auto"/>
      </w:pPr>
      <m:oMathPara>
        <m:oMath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</m:e>
          </m:ra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+</m:t>
          </m:r>
          <m:limLow>
            <m:limLowPr/>
            <m:e>
              <m:r>
                <m:rPr>
                  <m:sty m:val="i"/>
                </m:rPr>
                <m:t>O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3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I.B - Via la méthode de Héron d'Alexandrie.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. On définit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a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a</m:t>
                            </m:r>
                          </m:num>
                          <m:den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c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a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7. Montrer, par récurrence sur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bien défini et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Q 8.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donner une expression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/>
        <w:t xml:space="preserve"> faisant intervenir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En déduire que,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⩾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a</m:t>
            </m:r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Q 9. 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a</m:t>
            </m:r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Q 10. Calculer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À l'aide de la question Q 8,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⩽</m:t>
          </m:r>
          <m:r>
            <m:rPr>
              <m:sty m:val="p"/>
            </m:rPr>
            <m:t>8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32</m:t>
                      </m:r>
                    </m:den>
                  </m:f>
                </m:e>
              </m:d>
            </m:e>
            <m:sup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</w:t>
      </w:r>
    </w:p>
    <w:p>
      <w:pPr>
        <w:spacing w:after="220" w:lineRule="auto"/>
      </w:pPr>
      <m:oMathPara>
        <m:oMath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</m:e>
          </m:ra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limLow>
            <m:limLowPr/>
            <m:e>
              <m:r>
                <m:rPr>
                  <m:sty m:val="i"/>
                </m:rPr>
                <m:t>O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32</m:t>
                          </m:r>
                        </m:den>
                      </m:f>
                    </m:e>
                  </m:d>
                </m:e>
                <m:sup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I. </w:t>
      </w:r>
      <m:oMath>
        <m:r>
          <m:rPr>
            <m:sty m:val="i"/>
          </m:rPr>
          <m:t>C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Comparaison des différentes approximations de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:</m:t>
        </m:r>
      </m:oMath>
      <w:r>
        <w:rPr/>
        <w:t xml:space="preserve"> vitesses de convergence.</w:t>
      </w:r>
    </w:p>
    <w:p>
      <w:pPr>
        <w:spacing w:after="220" w:lineRule="auto"/>
      </w:pPr>
      <w:r>
        <w:rPr/>
        <w:t xml:space="preserve">Q 11. Parmi les deux suites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32</m:t>
                        </m:r>
                      </m:den>
                    </m:f>
                  </m:e>
                </m:d>
              </m:e>
              <m:sup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sup>
            </m:sSup>
          </m:e>
        </m:d>
      </m:oMath>
      <w:r>
        <w:rPr>
          <w:rFonts w:eastAsia="Georgia" w:cs="Georgia" w:ascii="Georgia" w:hAnsi="Georgia"/>
        </w:rPr>
        <w:t xml:space="preserve">, déterminer celle qui converge le plus vite vers zéro. Dans la question suivante, on s'interdit d'utiliser une valeur approchée de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</m:oMath>
      <w:r>
        <w:rPr>
          <w:rFonts w:eastAsia="Georgia" w:cs="Georgia" w:ascii="Georgia" w:hAnsi="Georgia"/>
        </w:rPr>
        <w:t xml:space="preserve"> stockée dans Python. En particulier, on s'interdit l'utilisation de </w:t>
      </w:r>
      <m:oMath>
        <m:r>
          <m:rPr>
            <m:sty m:val="p"/>
          </m:rPr>
          <m:t>2</m:t>
        </m:r>
        <m:r>
          <m:rPr>
            <m:sty m:val="p"/>
          </m:rPr>
          <m:t>∗</m:t>
        </m:r>
        <m:r>
          <m:rPr>
            <m:sty m:val="p"/>
          </m:rPr>
          <m:t>∗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, math.sqrt(2) ou numpy.sqrt(2).</w:t>
      </w:r>
      <w:r>
        <w:rPr/>
        <w:br w:type="textWrapping"/>
      </w:r>
      <w:r>
        <w:rPr>
          <w:rFonts w:eastAsia="Georgia" w:cs="Georgia" w:ascii="Georgia" w:hAnsi="Georgia"/>
        </w:rPr>
        <w:t xml:space="preserve">Q 12. Écrire une suite d'instructions en Python permettant, grâce à la méthode de la question </w:t>
      </w:r>
      <m:oMath>
        <m:r>
          <m:rPr>
            <m:sty m:val="i"/>
          </m:rPr>
          <m:t>Q</m:t>
        </m:r>
        <m:r>
          <m:rPr>
            <m:sty m:val="p"/>
          </m:rPr>
          <m:t>10</m:t>
        </m:r>
      </m:oMath>
      <w:r>
        <w:rPr/>
        <w:t xml:space="preserve">, d'obtenir une approximation de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</m:oMath>
      <w:r>
        <w:rPr>
          <w:rFonts w:eastAsia="Georgia" w:cs="Georgia" w:ascii="Georgia" w:hAnsi="Georgia"/>
        </w:rPr>
        <w:t xml:space="preserve"> avec 10 décimales correctes.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Racine carrée d'une matrice symétrique positive.</w:t>
      </w:r>
    </w:p>
    <w:p>
      <w:pPr>
        <w:spacing w:after="220" w:lineRule="auto"/>
      </w:pPr>
      <w:r>
        <w:rPr/>
        <w:t xml:space="preserve">On note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q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symétriques positives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c'est-à-dire des matrices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T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pour toute matrice colonne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toute cette partie, étant donnée 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appelle racine carrée de </w:t>
      </w:r>
      <m:oMath>
        <m:r>
          <m:rPr>
            <m:sty m:val="i"/>
          </m:rPr>
          <m:t>M</m:t>
        </m:r>
      </m:oMath>
      <w:r>
        <w:rPr/>
        <w:t xml:space="preserve"> toute matrice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Racines carrées de la matrice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I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13. Rappeler sans démonstration la description des matrices de </w:t>
      </w:r>
      <m:oMath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m:oMathPara>
        <m:oMath>
          <m:r>
            <m:rPr>
              <m:nor/>
            </m:rPr>
            <m:t> On décrira leurs coefficients en fonction d'un paramètre </m:t>
          </m:r>
          <m:r>
            <m:rPr>
              <m:sty m:val="i"/>
            </m:rPr>
            <m:t>θ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14. Déterminer les racines carrées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Que peut-on conclure quant au nombre de racines carrées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Existence et unicité d'une racine carrée symétrique positive.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15. Rappeler sans démonstration la condition nécessaire et suffisante portant sur le spectre d'une matrice symétrique pour qu'elle soit positive.</w:t>
      </w:r>
      <w:r>
        <w:rPr/>
        <w:br w:type="textWrapping"/>
      </w:r>
      <w:r>
        <w:rPr/>
        <w:t xml:space="preserve">Q 16.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q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Déterminer une matrice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q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Q 17. Montrer que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est la seule racine carrée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appartenant à </w:t>
      </w:r>
      <m:oMath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q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note alors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M</m:t>
            </m:r>
          </m:e>
        </m:rad>
      </m:oMath>
      <w:r>
        <w:rPr>
          <w:rFonts w:eastAsia="Georgia" w:cs="Georgia" w:ascii="Georgia" w:hAnsi="Georgia"/>
        </w:rPr>
        <w:t xml:space="preserve"> l'unique racine carrée symétrique positive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 - Une méthode de Héron d'Alexandrie matricielle.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q</m:t>
            </m:r>
          </m:sub>
          <m:sup>
            <m:r>
              <m:rPr>
                <m:sty m:val="p"/>
              </m:rPr>
              <m:t>+</m:t>
            </m:r>
          </m:sup>
        </m:sSubSup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/>
        <w:t xml:space="preserve"> les valeurs propres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comptées avec multiplicité. On rappelle que, d'après le théorème spectral, il existe une matrice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diag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q</m:t>
                  </m:r>
                </m:sub>
              </m:sSub>
            </m:e>
          </m:d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rappelle de plus que, pour tout réel </w:t>
      </w:r>
      <m:oMath>
        <m:r>
          <m:rPr>
            <m:sty m:val="i"/>
          </m:rPr>
          <m:t>a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en sous-partie I.B, est à valeurs strictement positives et converge vers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a</m:t>
            </m:r>
          </m:e>
        </m:rad>
      </m:oMath>
      <w:r>
        <w:rPr/>
        <w:t xml:space="preserve">. On pose alors: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q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M</m:t>
                        </m:r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bSup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18. Montrer, par récurrence sur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bien définie et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diag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q</m:t>
                      </m:r>
                    </m:sub>
                  </m:sSub>
                </m:e>
              </m:d>
            </m:e>
          </m:d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19.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M</m:t>
            </m:r>
          </m:e>
        </m:ra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Méthode de Newton numérique.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I</m:t>
        </m:r>
      </m:oMath>
      <w:r>
        <w:rPr/>
        <w:t xml:space="preserve"> un intervalle ouvert non vide de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ne s'annule pas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 - Convergence de la méthode de Newton.</w:t>
      </w:r>
    </w:p>
    <w:p>
      <w:pPr>
        <w:spacing w:after="220" w:lineRule="auto"/>
      </w:pPr>
      <w:r>
        <w:rPr/>
        <w:t xml:space="preserve">Q 20. Que dire du nombre du nombre de points d'annulation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 ?</w:t>
      </w:r>
      <w:r>
        <w:rPr/>
        <w:br w:type="textWrapping"/>
      </w:r>
      <w:r>
        <w:rPr/>
        <w:t xml:space="preserve">On suppose qu'il existe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tel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Pour tout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i"/>
          </m:rPr>
          <m:t>c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+</m:t>
        </m:r>
        <m:r>
          <m:rPr>
            <m:sty m:val="i"/>
          </m:rPr>
          <m:t>r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une suite telle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f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c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</m:e>
                        </m:d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f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c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</m:e>
                        </m:d>
                      </m:den>
                    </m:f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L'objectif de cette sous-partie III.A est de montrer qu'il existe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⊂</m:t>
        </m:r>
        <m:r>
          <m:rPr>
            <m:sty m:val="i"/>
          </m:rPr>
          <m:t>I</m:t>
        </m:r>
      </m:oMath>
      <w:r>
        <w:rPr/>
        <w:t xml:space="preserve"> et tel que, si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, alors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Q 21. Soit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⊂</m:t>
        </m:r>
        <m:r>
          <m:rPr>
            <m:sty m:val="i"/>
          </m:rPr>
          <m:t>I</m:t>
        </m:r>
      </m:oMath>
      <w:r>
        <w:rPr/>
        <w:t xml:space="preserve">. Justifier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sont bien définis et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num>
          <m:den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Q 22. Justifier qu'il existe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r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Dans la suite de cette sous-partie III.A, on fixe </w:t>
      </w:r>
      <m:oMath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r>
          <m:rPr>
            <m:sty m:val="i"/>
          </m:rPr>
          <m:t>r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Q 23. On suppose que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. À l'aide de l'inégalité de Taylor-Lagrange, montrer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c</m:t>
              </m:r>
            </m:e>
          </m:d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r</m:t>
              </m:r>
            </m:sub>
          </m:sSub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c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puis en déduire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24. Montrer que, si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/>
        <w:t xml:space="preserve">, alors,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c</m:t>
            </m:r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K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c</m:t>
                        </m:r>
                      </m:e>
                    </m:d>
                  </m:e>
                </m:d>
              </m:e>
              <m:sup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sup>
            </m:sSup>
          </m:num>
          <m:den>
            <m:sSub>
              <m:sSubPr/>
              <m:e>
                <m:r>
                  <m:rPr>
                    <m:sty m:val="i"/>
                  </m:rPr>
                  <m:t>K</m:t>
                </m:r>
              </m:e>
              <m:sub>
                <m:r>
                  <m:rPr>
                    <m:sty m:val="i"/>
                  </m:rPr>
                  <m:t>r</m:t>
                </m:r>
              </m:sub>
            </m:sSub>
          </m:den>
        </m:f>
      </m:oMath>
      <w:r>
        <w:rPr/>
        <w:t xml:space="preserve"> et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Une implémentation en Python.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25. On désigne dans cette question par df la fonction Python représentant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. Écrire une fonction Python newton ( </w:t>
      </w:r>
      <m:oMath>
        <m:r>
          <m:rPr>
            <m:sty m:val="p"/>
          </m:rPr>
          <m:t>c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f</m:t>
        </m:r>
        <m:r>
          <m:rPr>
            <m:sty m:val="p"/>
          </m:rPr>
          <m:t>,</m:t>
        </m:r>
        <m:r>
          <m:rPr>
            <m:sty m:val="p"/>
          </m:rPr>
          <m:t>df</m:t>
        </m:r>
      </m:oMath>
      <w:r>
        <w:rPr>
          <w:rFonts w:eastAsia="Georgia" w:cs="Georgia" w:ascii="Georgia" w:hAnsi="Georgia"/>
        </w:rPr>
        <w:t xml:space="preserve"> ) prenant en arguments le réel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les fonctions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renvoyant, si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converge, une valeur approchée de </w:t>
      </w:r>
      <m:oMath>
        <m:r>
          <m:rPr>
            <m:sty m:val="i"/>
          </m:rPr>
          <m:t>c</m:t>
        </m:r>
      </m:oMath>
      <w:r>
        <w:rPr/>
        <w:t xml:space="preserve"> et la valeur None 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diverge.</w:t>
      </w:r>
      <w:r>
        <w:rPr/>
        <w:br w:type="textWrapping"/>
      </w:r>
      <w:r>
        <w:rPr/>
        <w:t xml:space="preserve">On pourra convenir ici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si on trouve un </w:t>
      </w:r>
      <m:oMath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p"/>
          </m:rPr>
          <m:t>50</m:t>
        </m:r>
      </m:oMath>
      <w:r>
        <w:rPr/>
        <w:t xml:space="preserve">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  <m:r>
          <m:rPr>
            <m:sty m:val="p"/>
          </m:rPr>
          <m:t>&lt;</m:t>
        </m:r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10</m:t>
            </m:r>
          </m:sup>
        </m:sSup>
      </m:oMath>
      <w:r>
        <w:rPr/>
        <w:t xml:space="preserve">, et qu'elle diverge sinon.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Décomposition de Jordan-Chevalley-Dunford et calcul de racine carrée.</w:t>
      </w:r>
    </w:p>
    <w:p>
      <w:pPr>
        <w:spacing w:after="220" w:lineRule="auto"/>
      </w:pPr>
      <w:r>
        <w:rPr/>
        <w:t xml:space="preserve">On dit qu'une matrice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est nilpotente s'il existe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Dans toute cette partie IV, on fixe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les valeurs propres deux à deux distinctes de </w:t>
      </w:r>
      <m:oMath>
        <m:r>
          <m:rPr>
            <m:sty m:val="i"/>
          </m:rPr>
          <m:t>M</m:t>
        </m:r>
      </m:oMath>
      <w:r>
        <w:rPr/>
        <w:t xml:space="preserve"> (avec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). On définit alors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s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le polynôme dérivé de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 polynôme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note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et on pose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C</m:t>
          </m:r>
          <m:r>
            <m:rPr>
              <m:sty m:val="p"/>
            </m:rPr>
            <m:t>[</m:t>
          </m:r>
          <m:r>
            <m:rPr>
              <m:sty m:val="i"/>
            </m:rPr>
            <m:t>M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Q</m:t>
          </m:r>
          <m:r>
            <m:rPr>
              <m:sty m:val="p"/>
            </m:rPr>
            <m:t>∈</m:t>
          </m:r>
          <m:r>
            <m:rPr>
              <m:scr m:val="double-struck"/>
            </m:rPr>
            <m:t>C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admet alors et on pourra utiliser librement que :</w:t>
      </w:r>
    </w:p>
    <w:p>
      <w:pPr>
        <w:numPr>
          <w:ilvl w:val="0"/>
          <w:numId w:val="3"/>
        </w:numPr>
        <w:spacing w:lineRule="auto"/>
      </w:pP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M</m:t>
        </m:r>
        <m:r>
          <m:rPr>
            <m:sty m:val="p"/>
          </m:rPr>
          <m:t>]</m:t>
        </m:r>
      </m:oMath>
      <w:r>
        <w:rPr/>
        <w:t xml:space="preserve">, alors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commutent, et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appartiennent à </w:t>
      </w:r>
      <m:oMath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M</m:t>
        </m:r>
        <m:r>
          <m:rPr>
            <m:sty m:val="p"/>
          </m:rPr>
          <m:t>]</m:t>
        </m:r>
      </m:oMath>
      <w:r>
        <w:rPr/>
        <w:t xml:space="preserve">;</w:t>
      </w:r>
    </w:p>
    <w:p>
      <w:pPr>
        <w:numPr>
          <w:ilvl w:val="0"/>
          <w:numId w:val="3"/>
        </w:numPr>
        <w:spacing w:lineRule="auto"/>
      </w:pPr>
      <w:r>
        <w:rPr/>
        <w:t xml:space="preserve">si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M</m:t>
        </m:r>
        <m:r>
          <m:rPr>
            <m:sty m:val="p"/>
          </m:rPr>
          <m:t>]</m:t>
        </m:r>
      </m:oMath>
      <w:r>
        <w:rPr/>
        <w:t xml:space="preserve">, alors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M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IV.A - Une méthode de Newton matricielle.</w:t>
      </w:r>
    </w:p>
    <w:p>
      <w:pPr>
        <w:spacing w:after="220" w:lineRule="auto"/>
      </w:pPr>
      <w:r>
        <w:rPr/>
        <w:t xml:space="preserve">Q 26. Montrer que, pour toute racine complexe </w:t>
      </w:r>
      <m:oMath>
        <m:r>
          <m:rPr>
            <m:sty m:val="i"/>
          </m:rPr>
          <m:t>μ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la matrice </w:t>
      </w:r>
      <m:oMath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μ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q</m:t>
            </m:r>
          </m:sub>
        </m:sSub>
      </m:oMath>
      <w:r>
        <w:rPr>
          <w:rFonts w:eastAsia="Georgia" w:cs="Georgia" w:ascii="Georgia" w:hAnsi="Georgia"/>
        </w:rPr>
        <w:t xml:space="preserve"> est inversible. En déduire que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est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Q 27. Montrer que le polynôme caractéristique </w:t>
      </w:r>
      <m:oMath>
        <m:sSub>
          <m:sSubPr/>
          <m:e>
            <m:r>
              <m:rPr>
                <m:sty m:val="i"/>
              </m:rPr>
              <m:t>χ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M</m:t>
        </m:r>
      </m:oMath>
      <w:r>
        <w:rPr/>
        <w:t xml:space="preserve"> divise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q</m:t>
            </m:r>
          </m:sup>
        </m:sSup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nilpotente. Grâce à ces résultats, on peut définir la suite de matrices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en posant: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M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P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M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e>
                    </m:d>
                    <m:sSup>
                      <m:sSup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sSup>
                      <m:sSup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M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admet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:</w:t>
      </w:r>
    </w:p>
    <w:p>
      <w:pPr>
        <w:numPr>
          <w:ilvl w:val="0"/>
          <w:numId w:val="4"/>
        </w:numPr>
        <w:spacing w:lineRule="auto"/>
      </w:pP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bien définie et appartient à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;</w:t>
      </w:r>
    </w:p>
    <w:p>
      <w:pPr>
        <w:numPr>
          <w:ilvl w:val="0"/>
          <w:numId w:val="4"/>
        </w:numPr>
        <w:spacing w:lineRule="auto"/>
      </w:pPr>
      <w:r>
        <w:rPr/>
        <w:t xml:space="preserve">il existe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[</m:t>
        </m:r>
        <m:r>
          <m:rPr>
            <m:sty m:val="i"/>
          </m:rPr>
          <m:t>M</m:t>
        </m:r>
        <m:r>
          <m:rPr>
            <m:sty m:val="p"/>
          </m:rPr>
          <m:t>]</m:t>
        </m:r>
      </m:oMath>
      <w:r>
        <w:rPr/>
        <w:t xml:space="preserve"> telle que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p>
        </m:sSup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;</w:t>
      </w:r>
    </w:p>
    <w:p>
      <w:pPr>
        <w:numPr>
          <w:ilvl w:val="0"/>
          <w:numId w:val="4"/>
        </w:numPr>
        <w:spacing w:lineRule="auto"/>
      </w:pPr>
      <w:r>
        <w:rPr/>
        <w:t xml:space="preserve">la matrice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 inversible.</w:t>
      </w:r>
    </w:p>
    <w:p>
      <w:pPr>
        <w:spacing w:after="220" w:lineRule="auto"/>
      </w:pPr>
      <w:r>
        <w:rPr/>
        <w:t xml:space="preserve">Q 28.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stationnaire.</w:t>
      </w:r>
      <w:r>
        <w:rPr/>
        <w:br w:type="textWrapping"/>
      </w:r>
      <w:r>
        <w:rPr/>
        <w:t xml:space="preserve">Q 29.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les matrices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commutent.</w:t>
      </w:r>
      <w:r>
        <w:rPr/>
        <w:br w:type="textWrapping"/>
      </w:r>
      <w:r>
        <w:rPr/>
        <w:t xml:space="preserve">Q 30. On note </w:t>
      </w:r>
      <m:oMath>
        <m:r>
          <m:rPr>
            <m:sty m:val="i"/>
          </m:rPr>
          <m:t>A</m:t>
        </m:r>
      </m:oMath>
      <w:r>
        <w:rPr/>
        <w:t xml:space="preserve"> la limite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 Montrer que </w:t>
      </w:r>
      <m:oMath>
        <m:r>
          <m:rPr>
            <m:sty m:val="i"/>
          </m:rPr>
          <m:t>A</m:t>
        </m:r>
      </m:oMath>
      <w:r>
        <w:rPr/>
        <w:t xml:space="preserve"> est diagonalisable.</w:t>
      </w:r>
      <w:r>
        <w:rPr/>
        <w:br w:type="textWrapping"/>
      </w:r>
      <w:r>
        <w:rPr/>
        <w:t xml:space="preserve">Q 31. On pose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/>
        <w:t xml:space="preserve">. Justifier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commutent et que </w:t>
      </w:r>
      <m:oMath>
        <m:r>
          <m:rPr>
            <m:sty m:val="i"/>
          </m:rPr>
          <m:t>N</m:t>
        </m:r>
      </m:oMath>
      <w:r>
        <w:rPr/>
        <w:t xml:space="preserve"> est nilpotente.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IV.B - Un calcul de racine carrée pour certaines matrices réelles trigonalisables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32. En utilisant le développement limité en 0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</m:e>
        </m:rad>
      </m:oMath>
      <w:r>
        <w:rPr>
          <w:rFonts w:eastAsia="Georgia" w:cs="Georgia" w:ascii="Georgia" w:hAnsi="Georgia"/>
        </w:rPr>
        <w:t xml:space="preserve">, montrer qu'il existe un polynôme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q</m:t>
            </m:r>
          </m:sup>
        </m:sSup>
      </m:oMath>
      <w:r>
        <w:rPr/>
        <w:t xml:space="preserve"> divise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33. En déduire l'expression d'une racine carrée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N</m:t>
        </m:r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est une matrice nilpotente.</w:t>
      </w:r>
      <w:r>
        <w:rPr/>
        <w:br w:type="textWrapping"/>
      </w:r>
      <w:r>
        <w:rPr/>
        <w:t xml:space="preserve">Pour les questions suivantes, on suppose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à coefficients réels et trigonalisable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que le spectre de </w:t>
      </w:r>
      <m:oMath>
        <m:r>
          <m:rPr>
            <m:sty m:val="i"/>
          </m:rPr>
          <m:t>M</m:t>
        </m:r>
      </m:oMath>
      <w:r>
        <w:rPr/>
        <w:t xml:space="preserve"> est inclus dans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alors les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introduites dans la sous-partie IV.A.</w:t>
      </w:r>
      <w:r>
        <w:rPr/>
        <w:br w:type="textWrapping"/>
      </w:r>
      <w:r>
        <w:rPr/>
        <w:t xml:space="preserve">Q 34. Justifier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sont à coefficients réels et que </w:t>
      </w:r>
      <m:oMath>
        <m:r>
          <m:rPr>
            <m:sty m:val="i"/>
          </m:rPr>
          <m:t>A</m:t>
        </m:r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35. Montrer que le spectre de </w:t>
      </w:r>
      <m:oMath>
        <m:r>
          <m:rPr>
            <m:sty m:val="i"/>
          </m:rPr>
          <m:t>A</m:t>
        </m:r>
      </m:oMath>
      <w:r>
        <w:rPr/>
        <w:t xml:space="preserve"> est inclus dans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36. Justifier que la méthode de Héron d'Alexandrie de la sous-partie II.C peut être appliquée à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afin d'obtenir une racine carrée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En déduire l'expression d'une racine carrée de </w:t>
      </w:r>
      <m:oMath>
        <m:r>
          <m:rPr>
            <m:sty m:val="i"/>
          </m:rPr>
          <m:t>M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961199115e5a24ac3b3bfeb91de5201a057ef36b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2025-08-29T16:04:46.108Z</dcterms:created>
  <dcterms:modified xsi:type="dcterms:W3CDTF">2025-08-29T16:04:46.108Z</dcterms:modified>
</cp:coreProperties>
</file>