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Stockage d'énergie par pompage thermique (procédé SEPT)</w:t>
      </w:r>
    </w:p>
    <w:p>
      <w:pPr>
        <w:spacing w:after="220" w:lineRule="auto"/>
      </w:pP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r>
        <w:rPr/>
        <w:br w:type="textWrapping"/>
      </w:r>
      <w:r>
        <w:rPr>
          <w:rFonts w:eastAsia="Georgia" w:cs="Georgia" w:ascii="Georgia" w:hAnsi="Georgia"/>
        </w:rPr>
        <w:t xml:space="preserve">Dans le contexte actuel, la problématique de la gestion des ressources énergétiques est devenue un enjeu économique majeur. Il est particulièrement important de disposer de moyens de stockage d'énergie qui permettent une meilleure utilisation des sources d'énergie maitrisables comme les centrales thermiques, mais aussi des sources intermittentes comme les éoliennes ou les centrales solaires. Dans ce contexte et devant les défis posés par la protection de l'environnement, les moyens de stockage existants risquent de devenir insuffisants pour intégrer davantage d'énergies intermittentes dans la production électrique. Cette limitation explique un intérêt récent pour les technologies de stockage.</w:t>
      </w:r>
      <w:r>
        <w:rPr/>
        <w:br w:type="textWrapping"/>
      </w:r>
      <w:r>
        <w:rPr>
          <w:rFonts w:eastAsia="Georgia" w:cs="Georgia" w:ascii="Georgia" w:hAnsi="Georgia"/>
        </w:rPr>
        <w:t xml:space="preserve">Ce sujet concerne un nouveau procédé de stockage d'énergie à échelle industrielle, le procédé SEPT (Stockage d'Électricité par Pompage Thermique), breveté en 2007. L'énergie est stockée en modifiant, à l'aide d'une machine thermique, la température de deux échangeurs de grande taille appelés regénérateurs. La machine peut fonctionner en pompe à chaleur ou en moteur thermique.</w:t>
      </w:r>
    </w:p>
    <w:p>
      <w:pPr>
        <w:spacing w:line="271" w:before="330" w:lineRule="auto"/>
      </w:pPr>
      <w:r>
        <w:rPr>
          <w:rFonts w:eastAsia="Georgia" w:cs="Georgia" w:ascii="Georgia" w:hAnsi="Georgia"/>
          <w:b/>
          <w:sz w:val="42"/>
        </w:rPr>
        <w:t xml:space="preserve">I Analyse thermodynamique du procédé SEPT</w:t>
      </w:r>
    </w:p>
    <w:p>
      <w:pPr>
        <w:spacing w:after="220" w:lineRule="auto"/>
      </w:pPr>
      <w:r>
        <w:rPr>
          <w:rFonts w:eastAsia="Georgia" w:cs="Georgia" w:ascii="Georgia" w:hAnsi="Georgia"/>
        </w:rPr>
        <w:t xml:space="preserve">La machine est constituée de deux turbomachines, pouvant fonctionner en compresseur ou en turbine et assurant la circulation d'un gaz caloporteur (de l'argon) entre deux enceintes. Les enceintes contiennent un solide divisé (céramique réfractaire, galets de basalte...) qui échange de l'énergie thermique avec le gaz caloporteur. La machine comprend également un convertisseur électromécanique réversible pouvant fonctionner en moteur ou en générateur. On passe de la phase de stockage à celle de déstockage en changeant le sens de circulation du fluide caloporteur (figures 1 et 2 ).</w:t>
      </w:r>
      <w:r>
        <w:rPr/>
        <w:br w:type="textWrapping"/>
      </w:r>
      <w:r>
        <w:rPr>
          <w:rFonts w:eastAsia="Georgia" w:cs="Georgia" w:ascii="Georgia" w:hAnsi="Georgia"/>
        </w:rPr>
        <w:t xml:space="preserve">En mode stockage d'énergie (figure 1), le cycle fonctionne en pompe à chaleur, consommant de l'énergie d'origine électrique pour transférer de l'énergie thermique depuis une enceinte basse pression B vers une enceinte haute pression H. Ces enceintes sont des régénérateurs (échangeurs thermiques gaz-solide), au travers desquels passe le gaz caloporteur, entrainé par une paire de turbomachines reliées à un moteur électrique.</w:t>
      </w:r>
    </w:p>
    <w:p>
      <w:pPr>
        <w:spacing w:lineRule="auto"/>
        <w:jc w:val="center"/>
      </w:pPr>
      <w:r>
        <w:rPr/>
        <w:drawing>
          <wp:inline distB="0" distL="0" distR="0" distT="0">
            <wp:extent cx="5486400" cy="3924690"/>
            <wp:effectExtent b="0" l="0" r="0" t="0"/>
            <wp:docPr id="1" name="image-a92e0b89c489be1aab661a07506a09b6075b8230.jpg"/>
            <a:graphic>
              <a:graphicData uri="http://schemas.openxmlformats.org/drawingml/2006/picture">
                <pic:pic>
                  <pic:nvPicPr>
                    <pic:cNvPr id="1" name="image-a92e0b89c489be1aab661a07506a09b6075b8230.jpg" descr=""/>
                    <pic:cNvPicPr/>
                  </pic:nvPicPr>
                  <pic:blipFill>
                    <a:blip r:embed="rId5" cstate="print"/>
                    <a:srcRect b="0" l="0" r="0" t="0"/>
                    <a:stretch>
                      <a:fillRect/>
                    </a:stretch>
                  </pic:blipFill>
                  <pic:spPr>
                    <a:xfrm>
                      <a:off x="0" y="0"/>
                      <a:ext cx="5486400" cy="3924690"/>
                    </a:xfrm>
                    <a:prstGeom prst="rect"/>
                  </pic:spPr>
                </pic:pic>
              </a:graphicData>
            </a:graphic>
          </wp:inline>
        </w:drawing>
      </w:r>
    </w:p>
    <w:p>
      <w:pPr>
        <w:spacing w:lineRule="auto"/>
      </w:pPr>
      <w:r>
        <w:rPr>
          <w:rFonts w:eastAsia="Georgia" w:cs="Georgia" w:ascii="Georgia" w:hAnsi="Georgia"/>
        </w:rPr>
        <w:t xml:space="preserve">Figure 1 Fonctionnement en mode stockage d'énergie</w:t>
      </w:r>
    </w:p>
    <w:p>
      <w:pPr>
        <w:spacing w:line="271" w:before="330" w:lineRule="auto"/>
      </w:pPr>
      <w:r>
        <w:rPr>
          <w:rFonts w:eastAsia="Georgia" w:cs="Georgia" w:ascii="Georgia" w:hAnsi="Georgia"/>
          <w:b/>
          <w:sz w:val="42"/>
        </w:rPr>
        <w:t xml:space="preserve">I.A - Schématisation simplifiée du procédé</w:t>
      </w:r>
    </w:p>
    <w:p>
      <w:pPr>
        <w:spacing w:after="220" w:lineRule="auto"/>
      </w:pPr>
      <w:r>
        <w:rPr>
          <w:rFonts w:eastAsia="Georgia" w:cs="Georgia" w:ascii="Georgia" w:hAnsi="Georgia"/>
        </w:rPr>
        <w:t xml:space="preserve">On schématise le dispositif de façon très simplifiée en considérant que les enceintes basse et haute pression sont des sources de chaleur, de températures respectives </w:t>
      </w:r>
      <m:oMath>
        <m:sSub>
          <m:sSubPr/>
          <m:e>
            <m:r>
              <m:rPr>
                <m:sty m:val="i"/>
              </m:rPr>
              <m:t>T</m:t>
            </m:r>
          </m:e>
          <m:sub>
            <m:r>
              <m:rPr>
                <m:sty m:val="i"/>
              </m:rPr>
              <m:t>B</m:t>
            </m:r>
          </m:sub>
        </m:sSub>
      </m:oMath>
      <w:r>
        <w:rPr/>
        <w:t xml:space="preserve"> et </w:t>
      </w:r>
      <m:oMath>
        <m:sSub>
          <m:sSubPr/>
          <m:e>
            <m:r>
              <m:rPr>
                <m:sty m:val="i"/>
              </m:rPr>
              <m:t>T</m:t>
            </m:r>
          </m:e>
          <m:sub>
            <m:r>
              <m:rPr>
                <m:sty m:val="i"/>
              </m:rPr>
              <m:t>H</m:t>
            </m:r>
          </m:sub>
        </m:sSub>
      </m:oMath>
      <w:r>
        <w:rPr/>
        <w:t xml:space="preserve"> uniformes et constantes, avec </w:t>
      </w:r>
      <m:oMath>
        <m:sSub>
          <m:sSubPr/>
          <m:e>
            <m:r>
              <m:rPr>
                <m:sty m:val="i"/>
              </m:rPr>
              <m:t>T</m:t>
            </m:r>
          </m:e>
          <m:sub>
            <m:r>
              <m:rPr>
                <m:sty m:val="i"/>
              </m:rPr>
              <m:t>H</m:t>
            </m:r>
          </m:sub>
        </m:sSub>
        <m:r>
          <m:rPr>
            <m:sty m:val="p"/>
          </m:rPr>
          <m:t>&gt;</m:t>
        </m:r>
        <m:sSub>
          <m:sSubPr/>
          <m:e>
            <m:r>
              <m:rPr>
                <m:sty m:val="i"/>
              </m:rPr>
              <m:t>T</m:t>
            </m:r>
          </m:e>
          <m:sub>
            <m:r>
              <m:rPr>
                <m:sty m:val="i"/>
              </m:rPr>
              <m:t>B</m:t>
            </m:r>
          </m:sub>
        </m:sSub>
      </m:oMath>
      <w:r>
        <w:rPr/>
        <w:t xml:space="preserve">. Le cycle des transformations subies par le gaz caloporteur est alors un cycle ditherme.</w:t>
      </w:r>
      <w:r>
        <w:rPr/>
        <w:br w:type="textWrapping"/>
      </w:r>
      <w:r>
        <w:rPr>
          <w:rFonts w:eastAsia="Georgia" w:cs="Georgia" w:ascii="Georgia" w:hAnsi="Georgia"/>
        </w:rPr>
        <w:t xml:space="preserve">Q 1. En phase de stockage, la machine fonctionne comme une pompe à chaleur. Définir le coefficient de performance d'une telle machine et déterminer sa valeur maximale, en précisant à quelles conditions cette valeur maximale est atteinte (théorème de Carnot).</w:t>
      </w:r>
      <w:r>
        <w:rPr/>
        <w:br w:type="textWrapping"/>
      </w:r>
      <w:r>
        <w:rPr>
          <w:rFonts w:eastAsia="Georgia" w:cs="Georgia" w:ascii="Georgia" w:hAnsi="Georgia"/>
        </w:rPr>
        <w:t xml:space="preserve">Q 2. En phase de déstockage (figure 2), la machine fonctionne comme un moteur thermique. Définir l'efficacité de ce moteur et déterminer sa valeur maximale en précisant dans quelles conditions cette valeur maximale est atteinte.</w:t>
      </w:r>
    </w:p>
    <w:p>
      <w:pPr>
        <w:spacing w:lineRule="auto"/>
        <w:jc w:val="center"/>
      </w:pPr>
      <w:r>
        <w:rPr/>
        <w:drawing>
          <wp:inline distB="0" distL="0" distR="0" distT="0">
            <wp:extent cx="5486400" cy="3935564"/>
            <wp:effectExtent b="0" l="0" r="0" t="0"/>
            <wp:docPr id="2" name="image-91d35f74bb32bd284caf5d9620ec714551c8a7af.jpg"/>
            <a:graphic>
              <a:graphicData uri="http://schemas.openxmlformats.org/drawingml/2006/picture">
                <pic:pic>
                  <pic:nvPicPr>
                    <pic:cNvPr id="2" name="image-91d35f74bb32bd284caf5d9620ec714551c8a7af.jpg" descr=""/>
                    <pic:cNvPicPr/>
                  </pic:nvPicPr>
                  <pic:blipFill>
                    <a:blip r:embed="rId6" cstate="print"/>
                    <a:srcRect b="0" l="0" r="0" t="0"/>
                    <a:stretch>
                      <a:fillRect/>
                    </a:stretch>
                  </pic:blipFill>
                  <pic:spPr>
                    <a:xfrm>
                      <a:off x="0" y="0"/>
                      <a:ext cx="5486400" cy="3935564"/>
                    </a:xfrm>
                    <a:prstGeom prst="rect"/>
                  </pic:spPr>
                </pic:pic>
              </a:graphicData>
            </a:graphic>
          </wp:inline>
        </w:drawing>
      </w:r>
    </w:p>
    <w:p>
      <w:pPr>
        <w:spacing w:lineRule="auto"/>
      </w:pPr>
      <w:r>
        <w:rPr>
          <w:rFonts w:eastAsia="Georgia" w:cs="Georgia" w:ascii="Georgia" w:hAnsi="Georgia"/>
        </w:rPr>
        <w:t xml:space="preserve">Figure 2 Fonctionnement en mode production d'énergie</w:t>
      </w:r>
    </w:p>
    <w:p>
      <w:pPr>
        <w:spacing w:after="220" w:lineRule="auto"/>
      </w:pPr>
      <w:r>
        <w:rPr>
          <w:rFonts w:eastAsia="Georgia" w:cs="Georgia" w:ascii="Georgia" w:hAnsi="Georgia"/>
        </w:rPr>
        <w:t xml:space="preserve">Q 3. Montrer que, dans les conditions de validité du théorème de Carnot, l'énergie stockée peut être intégralement récupérée.</w:t>
      </w:r>
      <w:r>
        <w:rPr/>
        <w:br w:type="textWrapping"/>
      </w:r>
      <w:r>
        <w:rPr/>
        <w:t xml:space="preserve">Q 4. Dans un diagramme </w:t>
      </w:r>
      <m:oMath>
        <m:r>
          <m:rPr>
            <m:sty m:val="p"/>
          </m:rPr>
          <m:t>(</m:t>
        </m:r>
        <m:r>
          <m:rPr>
            <m:sty m:val="i"/>
          </m:rPr>
          <m:t>T</m:t>
        </m:r>
        <m:r>
          <m:rPr>
            <m:sty m:val="p"/>
          </m:rPr>
          <m:t>,</m:t>
        </m:r>
        <m:r>
          <m:rPr>
            <m:sty m:val="i"/>
          </m:rPr>
          <m:t>s</m:t>
        </m:r>
        <m:r>
          <m:rPr>
            <m:sty m:val="p"/>
          </m:rPr>
          <m:t>)</m:t>
        </m:r>
      </m:oMath>
      <w:r>
        <w:rPr>
          <w:rFonts w:eastAsia="Georgia" w:cs="Georgia" w:ascii="Georgia" w:hAnsi="Georgia"/>
        </w:rPr>
        <w:t xml:space="preserve">, représenter les cycles de Carnot pour les phases de stockage et de déstockage.</w:t>
      </w:r>
    </w:p>
    <w:p>
      <w:pPr>
        <w:spacing w:line="271" w:before="330" w:lineRule="auto"/>
      </w:pPr>
      <w:r>
        <w:rPr>
          <w:rFonts w:eastAsia="Georgia" w:cs="Georgia" w:ascii="Georgia" w:hAnsi="Georgia"/>
          <w:b/>
          <w:sz w:val="42"/>
        </w:rPr>
        <w:t xml:space="preserve">I.B - Étude de la phase de stockage</w:t>
      </w:r>
    </w:p>
    <w:p>
      <w:pPr>
        <w:spacing w:after="220" w:lineRule="auto"/>
      </w:pPr>
      <w:r>
        <w:rPr>
          <w:rFonts w:eastAsia="Georgia" w:cs="Georgia" w:ascii="Georgia" w:hAnsi="Georgia"/>
        </w:rPr>
        <w:t xml:space="preserve">On s'intéresse désormais à une modélisation plus réaliste de la machine dans laquelle on tient compte des inhomogénéités de température dans les enceintes. Celles-ci sont tellement grandes que l'on peut considérer que leur température est indépendante du temps.</w:t>
      </w:r>
      <w:r>
        <w:rPr/>
        <w:br w:type="textWrapping"/>
      </w:r>
      <w:r>
        <w:rPr>
          <w:rFonts w:eastAsia="Georgia" w:cs="Georgia" w:ascii="Georgia" w:hAnsi="Georgia"/>
        </w:rPr>
        <w:t xml:space="preserve">Le gaz pénètre dans l'enceinte H à la température </w:t>
      </w:r>
      <m:oMath>
        <m:sSub>
          <m:sSubPr/>
          <m:e>
            <m:r>
              <m:rPr>
                <m:sty m:val="i"/>
              </m:rPr>
              <m:t>T</m:t>
            </m:r>
          </m:e>
          <m:sub>
            <m:r>
              <m:rPr>
                <m:sty m:val="p"/>
              </m:rPr>
              <m:t>1</m:t>
            </m:r>
          </m:sub>
        </m:sSub>
        <m:r>
          <m:rPr>
            <m:sty m:val="p"/>
          </m:rPr>
          <m:t>=</m:t>
        </m:r>
        <m:r>
          <m:rPr>
            <m:sty m:val="p"/>
          </m:rPr>
          <m:t>1273</m:t>
        </m:r>
        <m:r>
          <m:rPr>
            <m:nor/>
          </m:rPr>
          <m:t xml:space="preserve"> </m:t>
        </m:r>
        <m:r>
          <m:rPr>
            <m:sty m:val="p"/>
          </m:rPr>
          <m:t>K</m:t>
        </m:r>
      </m:oMath>
      <w:r>
        <w:rPr>
          <w:rFonts w:eastAsia="Georgia" w:cs="Georgia" w:ascii="Georgia" w:hAnsi="Georgia"/>
        </w:rPr>
        <w:t xml:space="preserve"> et en sort à la température </w:t>
      </w:r>
      <m:oMath>
        <m:sSub>
          <m:sSubPr/>
          <m:e>
            <m:r>
              <m:rPr>
                <m:sty m:val="i"/>
              </m:rPr>
              <m:t>T</m:t>
            </m:r>
          </m:e>
          <m:sub>
            <m:r>
              <m:rPr>
                <m:sty m:val="p"/>
              </m:rPr>
              <m:t>0</m:t>
            </m:r>
            <m:r>
              <m:rPr>
                <m:sty m:val="i"/>
              </m:rPr>
              <m:t>n</m:t>
            </m:r>
          </m:sub>
        </m:sSub>
        <m:r>
          <m:rPr>
            <m:sty m:val="p"/>
          </m:rPr>
          <m:t>=</m:t>
        </m:r>
        <m:r>
          <m:rPr>
            <m:sty m:val="p"/>
          </m:rPr>
          <m:t>293</m:t>
        </m:r>
        <m:r>
          <m:rPr>
            <m:nor/>
          </m:rPr>
          <m:t xml:space="preserve"> </m:t>
        </m:r>
        <m:r>
          <m:rPr>
            <m:sty m:val="p"/>
          </m:rPr>
          <m:t>K</m:t>
        </m:r>
      </m:oMath>
      <w:r>
        <w:rPr>
          <w:rFonts w:eastAsia="Georgia" w:cs="Georgia" w:ascii="Georgia" w:hAnsi="Georgia"/>
        </w:rPr>
        <w:t xml:space="preserve">. Après décompression dans la turbine, il pénètre dans l'enceinte B à la température </w:t>
      </w:r>
      <m:oMath>
        <m:sSub>
          <m:sSubPr/>
          <m:e>
            <m:r>
              <m:rPr>
                <m:sty m:val="i"/>
              </m:rPr>
              <m:t>T</m:t>
            </m:r>
          </m:e>
          <m:sub>
            <m:r>
              <m:rPr>
                <m:sty m:val="p"/>
              </m:rPr>
              <m:t>3</m:t>
            </m:r>
          </m:sub>
        </m:sSub>
        <m:r>
          <m:rPr>
            <m:sty m:val="p"/>
          </m:rPr>
          <m:t>=</m:t>
        </m:r>
        <m:r>
          <m:rPr>
            <m:sty m:val="p"/>
          </m:rPr>
          <m:t>203</m:t>
        </m:r>
        <m:r>
          <m:rPr>
            <m:nor/>
          </m:rPr>
          <m:t xml:space="preserve"> </m:t>
        </m:r>
        <m:r>
          <m:rPr>
            <m:sty m:val="p"/>
          </m:rPr>
          <m:t>K</m:t>
        </m:r>
      </m:oMath>
      <w:r>
        <w:rPr>
          <w:rFonts w:eastAsia="Georgia" w:cs="Georgia" w:ascii="Georgia" w:hAnsi="Georgia"/>
        </w:rPr>
        <w:t xml:space="preserve"> et en sort à la température </w:t>
      </w:r>
      <m:oMath>
        <m:sSub>
          <m:sSubPr/>
          <m:e>
            <m:r>
              <m:rPr>
                <m:sty m:val="i"/>
              </m:rPr>
              <m:t>T</m:t>
            </m:r>
          </m:e>
          <m:sub>
            <m:r>
              <m:rPr>
                <m:sty m:val="p"/>
              </m:rPr>
              <m:t>2</m:t>
            </m:r>
            <m:r>
              <m:rPr>
                <m:sty m:val="i"/>
              </m:rPr>
              <m:t>n</m:t>
            </m:r>
          </m:sub>
        </m:sSub>
        <m:r>
          <m:rPr>
            <m:sty m:val="p"/>
          </m:rPr>
          <m:t>=</m:t>
        </m:r>
        <m:r>
          <m:rPr>
            <m:sty m:val="p"/>
          </m:rPr>
          <m:t>773</m:t>
        </m:r>
        <m:r>
          <m:rPr>
            <m:nor/>
          </m:rPr>
          <m:t xml:space="preserve"> </m:t>
        </m:r>
        <m:r>
          <m:rPr>
            <m:sty m:val="p"/>
          </m:rPr>
          <m:t>K</m:t>
        </m:r>
      </m:oMath>
      <w:r>
        <w:rPr/>
        <w:t xml:space="preserve">.</w:t>
      </w:r>
      <w:r>
        <w:rPr/>
        <w:br w:type="textWrapping"/>
      </w:r>
      <w:r>
        <w:rPr>
          <w:rFonts w:eastAsia="Georgia" w:cs="Georgia" w:ascii="Georgia" w:hAnsi="Georgia"/>
        </w:rPr>
        <w:t xml:space="preserve">Les irréversibilités dues aux turbomachines ont un impact important sur le rendement du stockage. Le gaz neutre utilisé est de l'argon assimilé à un gaz parfait, de coefficient isentropique </w:t>
      </w:r>
      <m:oMath>
        <m:r>
          <m:rPr>
            <m:sty m:val="i"/>
          </m:rPr>
          <m:t>γ</m:t>
        </m:r>
        <m:r>
          <m:rPr>
            <m:sty m:val="p"/>
          </m:rPr>
          <m:t>=</m:t>
        </m:r>
        <m:r>
          <m:rPr>
            <m:sty m:val="p"/>
          </m:rPr>
          <m:t>1</m:t>
        </m:r>
        <m:r>
          <m:rPr>
            <m:sty m:val="p"/>
          </m:rPr>
          <m:t>,</m:t>
        </m:r>
        <m:r>
          <m:rPr>
            <m:sty m:val="p"/>
          </m:rPr>
          <m:t>67</m:t>
        </m:r>
      </m:oMath>
      <w:r>
        <w:rPr/>
        <w:t xml:space="preserve">, de masse molaire </w:t>
      </w:r>
      <m:oMath>
        <m:r>
          <m:rPr>
            <m:sty m:val="p"/>
          </m:rPr>
          <m:t>40</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et de capacité thermique massique </w:t>
      </w:r>
      <m:oMath>
        <m:sSub>
          <m:sSubPr/>
          <m:e>
            <m:r>
              <m:rPr>
                <m:sty m:val="i"/>
              </m:rPr>
              <m:t>c</m:t>
            </m:r>
          </m:e>
          <m:sub>
            <m:r>
              <m:rPr>
                <m:sty m:val="i"/>
              </m:rPr>
              <m:t>p</m:t>
            </m:r>
          </m:sub>
        </m:sSub>
      </m:oMath>
      <w:r>
        <w:rPr>
          <w:rFonts w:eastAsia="Georgia" w:cs="Georgia" w:ascii="Georgia" w:hAnsi="Georgia"/>
        </w:rPr>
        <w:t xml:space="preserve">. Il décrit un cycle de Brayton constitué d'une évolution isobare dans chaque enceinte ( B et H ) reliées par deux transformations adiabatiques lorsque le gaz traverse le compresseur et la turbine (figure 3).</w:t>
      </w:r>
      <w:r>
        <w:rPr/>
        <w:br w:type="textWrapping"/>
      </w:r>
      <w:r>
        <w:rPr>
          <w:rFonts w:eastAsia="Georgia" w:cs="Georgia" w:ascii="Georgia" w:hAnsi="Georgia"/>
        </w:rPr>
        <w:t xml:space="preserve">Q 5. Reproduire schématiquement le cycle isentropique de la figure 3 en identifiant les éléments traversés par le fluide dans chaque étape du cycle.</w:t>
      </w:r>
      <w:r>
        <w:rPr/>
        <w:br w:type="textWrapping"/>
      </w:r>
      <w:r>
        <w:rPr/>
        <w:t xml:space="preserve">On note </w:t>
      </w:r>
      <m:oMath>
        <m:sSub>
          <m:sSubPr/>
          <m:e>
            <m:r>
              <m:rPr>
                <m:sty m:val="i"/>
              </m:rPr>
              <m:t>w</m:t>
            </m:r>
          </m:e>
          <m:sub>
            <m:r>
              <m:rPr>
                <m:sty m:val="i"/>
              </m:rPr>
              <m:t>c</m:t>
            </m:r>
          </m:sub>
        </m:sSub>
      </m:oMath>
      <w:r>
        <w:rPr>
          <w:rFonts w:eastAsia="Georgia" w:cs="Georgia" w:ascii="Georgia" w:hAnsi="Georgia"/>
        </w:rPr>
        <w:t xml:space="preserve"> le travail massique réellement échangé par le fluide avec les parties mobiles du compresseur et </w:t>
      </w:r>
      <m:oMath>
        <m:sSub>
          <m:sSubPr/>
          <m:e>
            <m:r>
              <m:rPr>
                <m:sty m:val="i"/>
              </m:rPr>
              <m:t>w</m:t>
            </m:r>
          </m:e>
          <m:sub>
            <m:r>
              <m:rPr>
                <m:sty m:val="i"/>
              </m:rPr>
              <m:t>c</m:t>
            </m:r>
          </m:sub>
        </m:sSub>
      </m:oMath>
      <w:r>
        <w:rPr>
          <w:rFonts w:eastAsia="Georgia" w:cs="Georgia" w:ascii="Georgia" w:hAnsi="Georgia"/>
        </w:rPr>
        <w:t xml:space="preserve"> is le travail idéal correspondant en supposant la compression isentropique. De même, on note </w:t>
      </w:r>
      <m:oMath>
        <m:sSub>
          <m:sSubPr/>
          <m:e>
            <m:r>
              <m:rPr>
                <m:sty m:val="i"/>
              </m:rPr>
              <m:t>w</m:t>
            </m:r>
          </m:e>
          <m:sub>
            <m:r>
              <m:rPr>
                <m:sty m:val="i"/>
              </m:rPr>
              <m:t>t</m:t>
            </m:r>
          </m:sub>
        </m:sSub>
      </m:oMath>
      <w:r>
        <w:rPr>
          <w:rFonts w:eastAsia="Georgia" w:cs="Georgia" w:ascii="Georgia" w:hAnsi="Georgia"/>
        </w:rPr>
        <w:t xml:space="preserve"> le travail massique réellement échangé par le fluide avec les parties mobiles de la turbine et </w:t>
      </w:r>
      <m:oMath>
        <m:sSub>
          <m:sSubPr/>
          <m:e>
            <m:r>
              <m:rPr>
                <m:sty m:val="i"/>
              </m:rPr>
              <m:t>w</m:t>
            </m:r>
          </m:e>
          <m:sub>
            <m:r>
              <m:rPr>
                <m:sty m:val="i"/>
              </m:rPr>
              <m:t>t</m:t>
            </m:r>
            <m:r>
              <m:rPr>
                <m:nor/>
              </m:rPr>
              <m:t> is </m:t>
            </m:r>
          </m:sub>
        </m:sSub>
      </m:oMath>
      <w:r>
        <w:rPr>
          <w:rFonts w:eastAsia="Georgia" w:cs="Georgia" w:ascii="Georgia" w:hAnsi="Georgia"/>
        </w:rPr>
        <w:t xml:space="preserve"> ce travail idéal dans les conditions isentropiques. On définit le rendement par rapport à l'isentropique du compresseur et de la turbine par</w:t>
      </w:r>
    </w:p>
    <w:p>
      <w:pPr>
        <w:spacing w:after="220" w:lineRule="auto"/>
      </w:pPr>
      <m:oMathPara>
        <m:oMath>
          <m:sSub>
            <m:sSubPr/>
            <m:e>
              <m:r>
                <m:rPr>
                  <m:sty m:val="i"/>
                </m:rPr>
                <m:t>η</m:t>
              </m:r>
            </m:e>
            <m:sub>
              <m:r>
                <m:rPr>
                  <m:sty m:val="i"/>
                </m:rPr>
                <m:t>c</m:t>
              </m:r>
              <m:r>
                <m:rPr>
                  <m:sty m:val="i"/>
                </m:rPr>
                <m:t>s</m:t>
              </m:r>
            </m:sub>
          </m:sSub>
          <m:r>
            <m:rPr>
              <m:sty m:val="p"/>
            </m:rPr>
            <m:t>=</m:t>
          </m:r>
          <m:f>
            <m:fPr>
              <m:ctrlPr>
                <w:rPr>
                  <w:rFonts w:ascii="Cambria Math" w:hAnsi="Cambria Math"/>
                </w:rPr>
              </m:ctrlPr>
            </m:fPr>
            <m:num>
              <m:sSub>
                <m:sSubPr/>
                <m:e>
                  <m:r>
                    <m:rPr>
                      <m:sty m:val="i"/>
                    </m:rPr>
                    <m:t>w</m:t>
                  </m:r>
                </m:e>
                <m:sub>
                  <m:r>
                    <m:rPr>
                      <m:sty m:val="i"/>
                    </m:rPr>
                    <m:t>c</m:t>
                  </m:r>
                  <m:r>
                    <m:rPr>
                      <m:nor/>
                    </m:rPr>
                    <m:t> is </m:t>
                  </m:r>
                </m:sub>
              </m:sSub>
            </m:num>
            <m:den>
              <m:sSub>
                <m:sSubPr/>
                <m:e>
                  <m:r>
                    <m:rPr>
                      <m:sty m:val="i"/>
                    </m:rPr>
                    <m:t>w</m:t>
                  </m:r>
                </m:e>
                <m:sub>
                  <m:r>
                    <m:rPr>
                      <m:sty m:val="i"/>
                    </m:rPr>
                    <m:t>c</m:t>
                  </m:r>
                </m:sub>
              </m:sSub>
            </m:den>
          </m:f>
          <m:r>
            <m:rPr>
              <m:sty m:val="p"/>
            </m:rPr>
            <m:t xml:space="preserve"> </m:t>
          </m:r>
          <m:r>
            <m:rPr>
              <m:nor/>
            </m:rPr>
            <m:t> et </m:t>
          </m:r>
          <m:r>
            <m:rPr>
              <m:sty m:val="p"/>
            </m:rPr>
            <m:t xml:space="preserve"> </m:t>
          </m:r>
          <m:sSub>
            <m:sSubPr/>
            <m:e>
              <m:r>
                <m:rPr>
                  <m:sty m:val="i"/>
                </m:rPr>
                <m:t>η</m:t>
              </m:r>
            </m:e>
            <m:sub>
              <m:r>
                <m:rPr>
                  <m:sty m:val="i"/>
                </m:rPr>
                <m:t>t</m:t>
              </m:r>
              <m:r>
                <m:rPr>
                  <m:sty m:val="i"/>
                </m:rPr>
                <m:t>s</m:t>
              </m:r>
            </m:sub>
          </m:sSub>
          <m:r>
            <m:rPr>
              <m:sty m:val="p"/>
            </m:rPr>
            <m:t>=</m:t>
          </m:r>
          <m:f>
            <m:fPr>
              <m:ctrlPr>
                <w:rPr>
                  <w:rFonts w:ascii="Cambria Math" w:hAnsi="Cambria Math"/>
                </w:rPr>
              </m:ctrlPr>
            </m:fPr>
            <m:num>
              <m:sSub>
                <m:sSubPr/>
                <m:e>
                  <m:r>
                    <m:rPr>
                      <m:sty m:val="i"/>
                    </m:rPr>
                    <m:t>w</m:t>
                  </m:r>
                </m:e>
                <m:sub>
                  <m:r>
                    <m:rPr>
                      <m:sty m:val="i"/>
                    </m:rPr>
                    <m:t>t</m:t>
                  </m:r>
                </m:sub>
              </m:sSub>
            </m:num>
            <m:den>
              <m:sSub>
                <m:sSubPr/>
                <m:e>
                  <m:r>
                    <m:rPr>
                      <m:sty m:val="i"/>
                    </m:rPr>
                    <m:t>w</m:t>
                  </m:r>
                </m:e>
                <m:sub>
                  <m:r>
                    <m:rPr>
                      <m:sty m:val="i"/>
                    </m:rPr>
                    <m:t>t</m:t>
                  </m:r>
                  <m:r>
                    <m:rPr>
                      <m:nor/>
                    </m:rPr>
                    <m:t> is </m:t>
                  </m:r>
                </m:sub>
              </m:sSub>
            </m:den>
          </m:f>
          <m:r>
            <m:rPr>
              <m:sty m:val="p"/>
            </m:rPr>
            <m:t>.</m:t>
          </m:r>
        </m:oMath>
      </m:oMathPara>
    </w:p>
    <w:p>
      <w:pPr>
        <w:spacing w:after="220" w:lineRule="auto"/>
      </w:pPr>
      <w:r>
        <w:rPr/>
        <w:t xml:space="preserve">Q 6. Comparer </w:t>
      </w:r>
      <m:oMath>
        <m:sSub>
          <m:sSubPr/>
          <m:e>
            <m:r>
              <m:rPr>
                <m:sty m:val="i"/>
              </m:rPr>
              <m:t>T</m:t>
            </m:r>
          </m:e>
          <m:sub>
            <m:r>
              <m:rPr>
                <m:sty m:val="p"/>
              </m:rPr>
              <m:t>1</m:t>
            </m:r>
          </m:sub>
        </m:sSub>
      </m:oMath>
      <w:r>
        <w:rPr>
          <w:rFonts w:eastAsia="Georgia" w:cs="Georgia" w:ascii="Georgia" w:hAnsi="Georgia"/>
        </w:rPr>
        <w:t xml:space="preserve">, la température réelle en sortie de compresseur et </w:t>
      </w:r>
      <m:oMath>
        <m:sSub>
          <m:sSubPr/>
          <m:e>
            <m:r>
              <m:rPr>
                <m:sty m:val="i"/>
              </m:rPr>
              <m:t>T</m:t>
            </m:r>
          </m:e>
          <m:sub>
            <m:r>
              <m:rPr>
                <m:sty m:val="p"/>
              </m:rPr>
              <m:t>1</m:t>
            </m:r>
            <m:r>
              <m:rPr>
                <m:nor/>
              </m:rPr>
              <m:t> is </m:t>
            </m:r>
          </m:sub>
        </m:sSub>
      </m:oMath>
      <w:r>
        <w:rPr>
          <w:rFonts w:eastAsia="Georgia" w:cs="Georgia" w:ascii="Georgia" w:hAnsi="Georgia"/>
        </w:rPr>
        <w:t xml:space="preserve"> cette température dans les conditions isentropiques. Justifier.</w:t>
      </w:r>
    </w:p>
    <w:p>
      <w:pPr>
        <w:spacing w:lineRule="auto"/>
        <w:jc w:val="center"/>
      </w:pPr>
      <w:r>
        <w:rPr/>
        <w:drawing>
          <wp:inline distB="0" distL="0" distR="0" distT="0">
            <wp:extent cx="5486400" cy="3942345"/>
            <wp:effectExtent b="0" l="0" r="0" t="0"/>
            <wp:docPr id="3" name="image-c8bfc7f5e128d288a2516d95f91d05338006f427.jpg"/>
            <a:graphic>
              <a:graphicData uri="http://schemas.openxmlformats.org/drawingml/2006/picture">
                <pic:pic>
                  <pic:nvPicPr>
                    <pic:cNvPr id="3" name="image-c8bfc7f5e128d288a2516d95f91d05338006f427.jpg" descr=""/>
                    <pic:cNvPicPr/>
                  </pic:nvPicPr>
                  <pic:blipFill>
                    <a:blip r:embed="rId7" cstate="print"/>
                    <a:srcRect b="0" l="0" r="0" t="0"/>
                    <a:stretch>
                      <a:fillRect/>
                    </a:stretch>
                  </pic:blipFill>
                  <pic:spPr>
                    <a:xfrm>
                      <a:off x="0" y="0"/>
                      <a:ext cx="5486400" cy="3942345"/>
                    </a:xfrm>
                    <a:prstGeom prst="rect"/>
                  </pic:spPr>
                </pic:pic>
              </a:graphicData>
            </a:graphic>
          </wp:inline>
        </w:drawing>
      </w:r>
    </w:p>
    <w:p>
      <w:pPr>
        <w:spacing w:lineRule="auto"/>
      </w:pPr>
      <w:r>
        <w:rPr/>
        <w:t xml:space="preserve">Figure 3</w:t>
      </w:r>
    </w:p>
    <w:p>
      <w:pPr>
        <w:spacing w:after="220" w:lineRule="auto"/>
      </w:pPr>
      <w:r>
        <w:rPr/>
        <w:t xml:space="preserve">Q 7. On note </w:t>
      </w:r>
      <m:oMath>
        <m:sSub>
          <m:sSubPr/>
          <m:e>
            <m:r>
              <m:rPr>
                <m:sty m:val="i"/>
              </m:rPr>
              <m:t>h</m:t>
            </m:r>
          </m:e>
          <m:sub>
            <m:r>
              <m:rPr>
                <m:sty m:val="i"/>
              </m:rPr>
              <m:t>e</m:t>
            </m:r>
            <m:r>
              <m:rPr>
                <m:sty m:val="i"/>
              </m:rPr>
              <m:t>t</m:t>
            </m:r>
          </m:sub>
        </m:sSub>
        <m:r>
          <m:rPr>
            <m:sty m:val="p"/>
          </m:rPr>
          <m:t>,</m:t>
        </m:r>
        <m:sSub>
          <m:sSubPr/>
          <m:e>
            <m:r>
              <m:rPr>
                <m:sty m:val="i"/>
              </m:rPr>
              <m:t>h</m:t>
            </m:r>
          </m:e>
          <m:sub>
            <m:r>
              <m:rPr>
                <m:sty m:val="i"/>
              </m:rPr>
              <m:t>s</m:t>
            </m:r>
            <m:r>
              <m:rPr>
                <m:sty m:val="i"/>
              </m:rPr>
              <m:t>t</m:t>
            </m:r>
          </m:sub>
        </m:sSub>
        <m:r>
          <m:rPr>
            <m:sty m:val="p"/>
          </m:rPr>
          <m:t>,</m:t>
        </m:r>
        <m:sSub>
          <m:sSubPr/>
          <m:e>
            <m:r>
              <m:rPr>
                <m:sty m:val="i"/>
              </m:rPr>
              <m:t>h</m:t>
            </m:r>
          </m:e>
          <m:sub>
            <m:r>
              <m:rPr>
                <m:sty m:val="i"/>
              </m:rPr>
              <m:t>e</m:t>
            </m:r>
            <m:r>
              <m:rPr>
                <m:sty m:val="i"/>
              </m:rPr>
              <m:t>c</m:t>
            </m:r>
          </m:sub>
        </m:sSub>
      </m:oMath>
      <w:r>
        <w:rPr/>
        <w:t xml:space="preserve"> et </w:t>
      </w:r>
      <m:oMath>
        <m:sSub>
          <m:sSubPr/>
          <m:e>
            <m:r>
              <m:rPr>
                <m:sty m:val="i"/>
              </m:rPr>
              <m:t>h</m:t>
            </m:r>
          </m:e>
          <m:sub>
            <m:r>
              <m:rPr>
                <m:sty m:val="i"/>
              </m:rPr>
              <m:t>s</m:t>
            </m:r>
            <m:r>
              <m:rPr>
                <m:sty m:val="i"/>
              </m:rPr>
              <m:t>c</m:t>
            </m:r>
          </m:sub>
        </m:sSub>
      </m:oMath>
      <w:r>
        <w:rPr>
          <w:rFonts w:eastAsia="Georgia" w:cs="Georgia" w:ascii="Georgia" w:hAnsi="Georgia"/>
        </w:rPr>
        <w:t xml:space="preserve"> les enthalpies massiques réelles du fluide en entrée et sortie de la turbine et du compresseur et </w:t>
      </w:r>
      <m:oMath>
        <m:sSub>
          <m:sSubPr/>
          <m:e>
            <m:r>
              <m:rPr>
                <m:sty m:val="i"/>
              </m:rPr>
              <m:t>h</m:t>
            </m:r>
          </m:e>
          <m:sub>
            <m:r>
              <m:rPr>
                <m:sty m:val="i"/>
              </m:rPr>
              <m:t>s</m:t>
            </m:r>
            <m:r>
              <m:rPr>
                <m:sty m:val="i"/>
              </m:rPr>
              <m:t>t</m:t>
            </m:r>
            <m:r>
              <m:rPr>
                <m:nor/>
              </m:rPr>
              <m:t> is </m:t>
            </m:r>
          </m:sub>
        </m:sSub>
      </m:oMath>
      <w:r>
        <w:rPr/>
        <w:t xml:space="preserve"> et </w:t>
      </w:r>
      <m:oMath>
        <m:sSub>
          <m:sSubPr/>
          <m:e>
            <m:r>
              <m:rPr>
                <m:sty m:val="i"/>
              </m:rPr>
              <m:t>h</m:t>
            </m:r>
          </m:e>
          <m:sub>
            <m:r>
              <m:rPr>
                <m:sty m:val="i"/>
              </m:rPr>
              <m:t>s</m:t>
            </m:r>
            <m:r>
              <m:rPr>
                <m:sty m:val="i"/>
              </m:rPr>
              <m:t>c</m:t>
            </m:r>
            <m:r>
              <m:rPr>
                <m:nor/>
              </m:rPr>
              <m:t> is </m:t>
            </m:r>
          </m:sub>
        </m:sSub>
      </m:oMath>
      <w:r>
        <w:rPr/>
        <w:t xml:space="preserve"> les enthalpies massiques du fluide en sortie de la turbine et du compresseur en supposant les conditions isentropiques. Montrer que</w:t>
      </w:r>
    </w:p>
    <w:p>
      <w:pPr>
        <w:spacing w:after="220" w:lineRule="auto"/>
      </w:pPr>
      <m:oMathPara>
        <m:oMath>
          <m:sSub>
            <m:sSubPr/>
            <m:e>
              <m:r>
                <m:rPr>
                  <m:sty m:val="i"/>
                </m:rPr>
                <m:t>η</m:t>
              </m:r>
            </m:e>
            <m:sub>
              <m:r>
                <m:rPr>
                  <m:sty m:val="i"/>
                </m:rPr>
                <m:t>c</m:t>
              </m:r>
              <m:r>
                <m:rPr>
                  <m:sty m:val="i"/>
                </m:rPr>
                <m:t>s</m:t>
              </m:r>
            </m:sub>
          </m:sSub>
          <m:r>
            <m:rPr>
              <m:sty m:val="p"/>
            </m:rPr>
            <m:t>=</m:t>
          </m:r>
          <m:f>
            <m:fPr>
              <m:ctrlPr>
                <w:rPr>
                  <w:rFonts w:ascii="Cambria Math" w:hAnsi="Cambria Math"/>
                </w:rPr>
              </m:ctrlPr>
            </m:fPr>
            <m:num>
              <m:sSub>
                <m:sSubPr/>
                <m:e>
                  <m:r>
                    <m:rPr>
                      <m:sty m:val="i"/>
                    </m:rPr>
                    <m:t>h</m:t>
                  </m:r>
                </m:e>
                <m:sub>
                  <m:r>
                    <m:rPr>
                      <m:sty m:val="i"/>
                    </m:rPr>
                    <m:t>s</m:t>
                  </m:r>
                  <m:r>
                    <m:rPr>
                      <m:sty m:val="i"/>
                    </m:rPr>
                    <m:t>c</m:t>
                  </m:r>
                  <m:r>
                    <m:rPr>
                      <m:sty m:val="p"/>
                    </m:rPr>
                    <m:t>is</m:t>
                  </m:r>
                </m:sub>
              </m:sSub>
              <m:r>
                <m:rPr>
                  <m:sty m:val="p"/>
                </m:rPr>
                <m:t>−</m:t>
              </m:r>
              <m:sSub>
                <m:sSubPr/>
                <m:e>
                  <m:r>
                    <m:rPr>
                      <m:sty m:val="i"/>
                    </m:rPr>
                    <m:t>h</m:t>
                  </m:r>
                </m:e>
                <m:sub>
                  <m:r>
                    <m:rPr>
                      <m:sty m:val="i"/>
                    </m:rPr>
                    <m:t>e</m:t>
                  </m:r>
                  <m:r>
                    <m:rPr>
                      <m:sty m:val="i"/>
                    </m:rPr>
                    <m:t>c</m:t>
                  </m:r>
                </m:sub>
              </m:sSub>
            </m:num>
            <m:den>
              <m:sSub>
                <m:sSubPr/>
                <m:e>
                  <m:r>
                    <m:rPr>
                      <m:sty m:val="i"/>
                    </m:rPr>
                    <m:t>h</m:t>
                  </m:r>
                </m:e>
                <m:sub>
                  <m:r>
                    <m:rPr>
                      <m:sty m:val="i"/>
                    </m:rPr>
                    <m:t>s</m:t>
                  </m:r>
                  <m:r>
                    <m:rPr>
                      <m:sty m:val="i"/>
                    </m:rPr>
                    <m:t>c</m:t>
                  </m:r>
                </m:sub>
              </m:sSub>
              <m:r>
                <m:rPr>
                  <m:sty m:val="p"/>
                </m:rPr>
                <m:t>−</m:t>
              </m:r>
              <m:sSub>
                <m:sSubPr/>
                <m:e>
                  <m:r>
                    <m:rPr>
                      <m:sty m:val="i"/>
                    </m:rPr>
                    <m:t>h</m:t>
                  </m:r>
                </m:e>
                <m:sub>
                  <m:r>
                    <m:rPr>
                      <m:sty m:val="i"/>
                    </m:rPr>
                    <m:t>e</m:t>
                  </m:r>
                  <m:r>
                    <m:rPr>
                      <m:sty m:val="i"/>
                    </m:rPr>
                    <m:t>c</m:t>
                  </m:r>
                </m:sub>
              </m:sSub>
            </m:den>
          </m:f>
          <m:r>
            <m:rPr>
              <m:sty m:val="p"/>
            </m:rPr>
            <m:t xml:space="preserve"> </m:t>
          </m:r>
          <m:r>
            <m:rPr>
              <m:nor/>
            </m:rPr>
            <m:t> et </m:t>
          </m:r>
          <m:r>
            <m:rPr>
              <m:sty m:val="p"/>
            </m:rPr>
            <m:t xml:space="preserve"> </m:t>
          </m:r>
          <m:sSub>
            <m:sSubPr/>
            <m:e>
              <m:r>
                <m:rPr>
                  <m:sty m:val="i"/>
                </m:rPr>
                <m:t>η</m:t>
              </m:r>
            </m:e>
            <m:sub>
              <m:r>
                <m:rPr>
                  <m:sty m:val="i"/>
                </m:rPr>
                <m:t>t</m:t>
              </m:r>
              <m:r>
                <m:rPr>
                  <m:sty m:val="i"/>
                </m:rPr>
                <m:t>s</m:t>
              </m:r>
            </m:sub>
          </m:sSub>
          <m:r>
            <m:rPr>
              <m:sty m:val="p"/>
            </m:rPr>
            <m:t>=</m:t>
          </m:r>
          <m:f>
            <m:fPr>
              <m:ctrlPr>
                <w:rPr>
                  <w:rFonts w:ascii="Cambria Math" w:hAnsi="Cambria Math"/>
                </w:rPr>
              </m:ctrlPr>
            </m:fPr>
            <m:num>
              <m:sSub>
                <m:sSubPr/>
                <m:e>
                  <m:r>
                    <m:rPr>
                      <m:sty m:val="i"/>
                    </m:rPr>
                    <m:t>h</m:t>
                  </m:r>
                </m:e>
                <m:sub>
                  <m:r>
                    <m:rPr>
                      <m:sty m:val="i"/>
                    </m:rPr>
                    <m:t>e</m:t>
                  </m:r>
                  <m:r>
                    <m:rPr>
                      <m:sty m:val="i"/>
                    </m:rPr>
                    <m:t>t</m:t>
                  </m:r>
                </m:sub>
              </m:sSub>
              <m:r>
                <m:rPr>
                  <m:sty m:val="p"/>
                </m:rPr>
                <m:t>−</m:t>
              </m:r>
              <m:sSub>
                <m:sSubPr/>
                <m:e>
                  <m:r>
                    <m:rPr>
                      <m:sty m:val="i"/>
                    </m:rPr>
                    <m:t>h</m:t>
                  </m:r>
                </m:e>
                <m:sub>
                  <m:r>
                    <m:rPr>
                      <m:sty m:val="i"/>
                    </m:rPr>
                    <m:t>s</m:t>
                  </m:r>
                  <m:r>
                    <m:rPr>
                      <m:sty m:val="i"/>
                    </m:rPr>
                    <m:t>t</m:t>
                  </m:r>
                </m:sub>
              </m:sSub>
            </m:num>
            <m:den>
              <m:sSub>
                <m:sSubPr/>
                <m:e>
                  <m:r>
                    <m:rPr>
                      <m:sty m:val="i"/>
                    </m:rPr>
                    <m:t>h</m:t>
                  </m:r>
                </m:e>
                <m:sub>
                  <m:r>
                    <m:rPr>
                      <m:sty m:val="i"/>
                    </m:rPr>
                    <m:t>e</m:t>
                  </m:r>
                  <m:r>
                    <m:rPr>
                      <m:sty m:val="i"/>
                    </m:rPr>
                    <m:t>t</m:t>
                  </m:r>
                </m:sub>
              </m:sSub>
              <m:r>
                <m:rPr>
                  <m:sty m:val="p"/>
                </m:rPr>
                <m:t>−</m:t>
              </m:r>
              <m:sSub>
                <m:sSubPr/>
                <m:e>
                  <m:r>
                    <m:rPr>
                      <m:sty m:val="i"/>
                    </m:rPr>
                    <m:t>h</m:t>
                  </m:r>
                </m:e>
                <m:sub>
                  <m:r>
                    <m:rPr>
                      <m:sty m:val="i"/>
                    </m:rPr>
                    <m:t>s</m:t>
                  </m:r>
                  <m:r>
                    <m:rPr>
                      <m:sty m:val="i"/>
                    </m:rPr>
                    <m:t>t</m:t>
                  </m:r>
                  <m:r>
                    <m:rPr>
                      <m:sty m:val="p"/>
                    </m:rPr>
                    <m:t>is</m:t>
                  </m:r>
                </m:sub>
              </m:sSub>
            </m:den>
          </m:f>
          <m:r>
            <m:rPr>
              <m:sty m:val="p"/>
            </m:rPr>
            <m:t>.</m:t>
          </m:r>
        </m:oMath>
      </m:oMathPara>
    </w:p>
    <w:p>
      <w:pPr>
        <w:spacing w:after="220" w:lineRule="auto"/>
      </w:pPr>
      <w:r>
        <w:rPr>
          <w:rFonts w:eastAsia="Georgia" w:cs="Georgia" w:ascii="Georgia" w:hAnsi="Georgia"/>
        </w:rPr>
        <w:t xml:space="preserve">L'objectif de la suite de cette partie est de montrer la nécessité de deux paires de turbomachines (celles en stockage ne peuvent pas être utilisées en déstockage) et de déterminer le rendement théorique du procédé SEPT.</w:t>
      </w:r>
      <w:r>
        <w:rPr/>
        <w:br w:type="textWrapping"/>
      </w:r>
      <w:r>
        <w:rPr/>
        <w:t xml:space="preserve">On note </w:t>
      </w:r>
      <m:oMath>
        <m:r>
          <m:rPr>
            <m:sty m:val="p"/>
          </m:rPr>
          <m:t>Ψ</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P</m:t>
                        </m:r>
                      </m:e>
                      <m:sub>
                        <m:r>
                          <m:rPr>
                            <m:sty m:val="i"/>
                          </m:rPr>
                          <m:t>H</m:t>
                        </m:r>
                      </m:sub>
                    </m:sSub>
                  </m:num>
                  <m:den>
                    <m:sSub>
                      <m:sSubPr/>
                      <m:e>
                        <m:r>
                          <m:rPr>
                            <m:sty m:val="i"/>
                          </m:rPr>
                          <m:t>P</m:t>
                        </m:r>
                      </m:e>
                      <m:sub>
                        <m:r>
                          <m:rPr>
                            <m:sty m:val="i"/>
                          </m:rPr>
                          <m:t>B</m:t>
                        </m:r>
                      </m:sub>
                    </m:sSub>
                  </m:den>
                </m:f>
              </m:e>
            </m:d>
          </m:e>
          <m:sup>
            <m:r>
              <m:rPr>
                <m:sty m:val="p"/>
              </m:rPr>
              <m:t>1</m:t>
            </m:r>
            <m:r>
              <m:rPr>
                <m:sty m:val="p"/>
              </m:rPr>
              <m:t>−</m:t>
            </m:r>
            <m:r>
              <m:rPr>
                <m:sty m:val="p"/>
              </m:rPr>
              <m:t>1</m:t>
            </m:r>
            <m:r>
              <m:rPr>
                <m:sty m:val="p"/>
              </m:rPr>
              <m:t>/</m:t>
            </m:r>
            <m:r>
              <m:rPr>
                <m:sty m:val="i"/>
              </m:rPr>
              <m:t>γ</m:t>
            </m:r>
          </m:sup>
        </m:sSup>
      </m:oMath>
      <w:r>
        <w:rPr/>
        <w:t xml:space="preserve">.</w:t>
      </w:r>
      <w:r>
        <w:rPr/>
        <w:br w:type="textWrapping"/>
      </w:r>
      <w:r>
        <w:rPr>
          <w:rFonts w:eastAsia="Georgia" w:cs="Georgia" w:ascii="Georgia" w:hAnsi="Georgia"/>
        </w:rPr>
        <w:t xml:space="preserve">Q 8. En utilisant les rendements par rapport à l'isentropique des deux turbomachines lors du stockage, exprimer les températures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t xml:space="preserve"> en fonction de </w:t>
      </w:r>
      <m:oMath>
        <m:sSub>
          <m:sSubPr/>
          <m:e>
            <m:r>
              <m:rPr>
                <m:sty m:val="i"/>
              </m:rPr>
              <m:t>T</m:t>
            </m:r>
          </m:e>
          <m:sub>
            <m:r>
              <m:rPr>
                <m:sty m:val="p"/>
              </m:rPr>
              <m:t>0</m:t>
            </m:r>
            <m:r>
              <m:rPr>
                <m:sty m:val="i"/>
              </m:rPr>
              <m:t>n</m:t>
            </m:r>
          </m:sub>
        </m:sSub>
        <m:r>
          <m:rPr>
            <m:sty m:val="p"/>
          </m:rPr>
          <m:t>,</m:t>
        </m:r>
        <m:sSub>
          <m:sSubPr/>
          <m:e>
            <m:r>
              <m:rPr>
                <m:sty m:val="i"/>
              </m:rPr>
              <m:t>T</m:t>
            </m:r>
          </m:e>
          <m:sub>
            <m:r>
              <m:rPr>
                <m:sty m:val="p"/>
              </m:rPr>
              <m:t>2</m:t>
            </m:r>
            <m:r>
              <m:rPr>
                <m:sty m:val="i"/>
              </m:rPr>
              <m:t>n</m:t>
            </m:r>
          </m:sub>
        </m:sSub>
        <m:r>
          <m:rPr>
            <m:sty m:val="p"/>
          </m:rPr>
          <m:t>,</m:t>
        </m:r>
        <m:r>
          <m:rPr>
            <m:sty m:val="p"/>
          </m:rPr>
          <m:t>Ψ</m:t>
        </m:r>
        <m:r>
          <m:rPr>
            <m:sty m:val="p"/>
          </m:rPr>
          <m:t>,</m:t>
        </m:r>
        <m:sSub>
          <m:sSubPr/>
          <m:e>
            <m:r>
              <m:rPr>
                <m:sty m:val="i"/>
              </m:rPr>
              <m:t>η</m:t>
            </m:r>
          </m:e>
          <m:sub>
            <m:r>
              <m:rPr>
                <m:sty m:val="i"/>
              </m:rPr>
              <m:t>c</m:t>
            </m:r>
            <m:r>
              <m:rPr>
                <m:sty m:val="i"/>
              </m:rPr>
              <m:t>s</m:t>
            </m:r>
          </m:sub>
        </m:sSub>
      </m:oMath>
      <w:r>
        <w:rPr/>
        <w:t xml:space="preserve"> et </w:t>
      </w:r>
      <m:oMath>
        <m:sSub>
          <m:sSubPr/>
          <m:e>
            <m:r>
              <m:rPr>
                <m:sty m:val="i"/>
              </m:rPr>
              <m:t>η</m:t>
            </m:r>
          </m:e>
          <m:sub>
            <m:r>
              <m:rPr>
                <m:sty m:val="i"/>
              </m:rPr>
              <m:t>t</m:t>
            </m:r>
            <m:r>
              <m:rPr>
                <m:sty m:val="i"/>
              </m:rPr>
              <m:t>s</m:t>
            </m:r>
          </m:sub>
        </m:sSub>
      </m:oMath>
      <w:r>
        <w:rPr/>
        <w:t xml:space="preserve">.</w:t>
      </w:r>
      <w:r>
        <w:rPr/>
        <w:br w:type="textWrapping"/>
      </w:r>
      <w:r>
        <w:rPr>
          <w:rFonts w:eastAsia="Georgia" w:cs="Georgia" w:ascii="Georgia" w:hAnsi="Georgia"/>
        </w:rPr>
        <w:t xml:space="preserve">On définit l'énergie massique </w:t>
      </w:r>
      <m:oMath>
        <m:sSub>
          <m:sSubPr/>
          <m:e>
            <m:r>
              <m:rPr>
                <m:sty m:val="i"/>
              </m:rPr>
              <m:t>e</m:t>
            </m:r>
          </m:e>
          <m:sub>
            <m:r>
              <m:rPr>
                <m:sty m:val="i"/>
              </m:rPr>
              <m:t>s</m:t>
            </m:r>
          </m:sub>
        </m:sSub>
      </m:oMath>
      <w:r>
        <w:rPr/>
        <w:t xml:space="preserve"> mise en jeu lors du stockage par </w:t>
      </w:r>
      <m:oMath>
        <m:sSub>
          <m:sSubPr/>
          <m:e>
            <m:r>
              <m:rPr>
                <m:sty m:val="i"/>
              </m:rPr>
              <m:t>e</m:t>
            </m:r>
          </m:e>
          <m:sub>
            <m:r>
              <m:rPr>
                <m:sty m:val="i"/>
              </m:rPr>
              <m:t>s</m:t>
            </m:r>
          </m:sub>
        </m:sSub>
        <m:r>
          <m:rPr>
            <m:sty m:val="p"/>
          </m:rPr>
          <m:t>=</m:t>
        </m:r>
        <m:sSub>
          <m:sSubPr/>
          <m:e>
            <m:r>
              <m:rPr>
                <m:sty m:val="i"/>
              </m:rPr>
              <m:t>c</m:t>
            </m:r>
          </m:e>
          <m:sub>
            <m:r>
              <m:rPr>
                <m:sty m:val="i"/>
              </m:rPr>
              <m:t>p</m:t>
            </m:r>
          </m:sub>
        </m:sSub>
        <m:d>
          <m:dPr>
            <m:begChr m:val="("/>
            <m:endChr m:val=")"/>
            <m:ctrlPr>
              <w:rPr>
                <w:rFonts w:ascii="Cambria Math" w:hAnsi="Cambria Math"/>
              </w:rPr>
            </m:ctrlPr>
          </m:dPr>
          <m:e>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p"/>
                      </m:rPr>
                      <m:t>2</m:t>
                    </m:r>
                    <m:r>
                      <m:rPr>
                        <m:sty m:val="i"/>
                      </m:rPr>
                      <m:t>n</m:t>
                    </m:r>
                  </m:sub>
                </m:sSub>
              </m:e>
            </m:d>
            <m:r>
              <m:rPr>
                <m:sty m:val="p"/>
              </m:rPr>
              <m:t>+</m:t>
            </m:r>
            <m:d>
              <m:dPr>
                <m:begChr m:val="("/>
                <m:endChr m:val=")"/>
                <m:ctrlPr>
                  <w:rPr>
                    <w:rFonts w:ascii="Cambria Math" w:hAnsi="Cambria Math"/>
                  </w:rPr>
                </m:ctrlPr>
              </m:dPr>
              <m:e>
                <m:sSub>
                  <m:sSubPr/>
                  <m:e>
                    <m:r>
                      <m:rPr>
                        <m:sty m:val="i"/>
                      </m:rPr>
                      <m:t>T</m:t>
                    </m:r>
                  </m:e>
                  <m:sub>
                    <m:r>
                      <m:rPr>
                        <m:sty m:val="p"/>
                      </m:rPr>
                      <m:t>3</m:t>
                    </m:r>
                  </m:sub>
                </m:sSub>
                <m:r>
                  <m:rPr>
                    <m:sty m:val="p"/>
                  </m:rPr>
                  <m:t>−</m:t>
                </m:r>
                <m:sSub>
                  <m:sSubPr/>
                  <m:e>
                    <m:r>
                      <m:rPr>
                        <m:sty m:val="i"/>
                      </m:rPr>
                      <m:t>T</m:t>
                    </m:r>
                  </m:e>
                  <m:sub>
                    <m:r>
                      <m:rPr>
                        <m:sty m:val="p"/>
                      </m:rPr>
                      <m:t>0</m:t>
                    </m:r>
                    <m:r>
                      <m:rPr>
                        <m:sty m:val="i"/>
                      </m:rPr>
                      <m:t>n</m:t>
                    </m:r>
                  </m:sub>
                </m:sSub>
              </m:e>
            </m:d>
          </m:e>
        </m:d>
      </m:oMath>
      <w:r>
        <w:rPr/>
        <w:t xml:space="preserve">.</w:t>
      </w:r>
      <w:r>
        <w:rPr/>
        <w:br w:type="textWrapping"/>
      </w:r>
      <w:r>
        <w:rPr/>
        <w:t xml:space="preserve">Q 9. Justifier cette expression.</w:t>
      </w:r>
      <w:r>
        <w:rPr/>
        <w:br w:type="textWrapping"/>
      </w:r>
      <w:r>
        <w:rPr/>
        <w:t xml:space="preserve">Q 10. Exprimer </w:t>
      </w:r>
      <m:oMath>
        <m:sSub>
          <m:sSubPr/>
          <m:e>
            <m:r>
              <m:rPr>
                <m:sty m:val="i"/>
              </m:rPr>
              <m:t>e</m:t>
            </m:r>
          </m:e>
          <m:sub>
            <m:r>
              <m:rPr>
                <m:sty m:val="i"/>
              </m:rPr>
              <m:t>s</m:t>
            </m:r>
          </m:sub>
        </m:sSub>
      </m:oMath>
      <w:r>
        <w:rPr/>
        <w:t xml:space="preserve"> en fonction de </w:t>
      </w:r>
      <m:oMath>
        <m:sSub>
          <m:sSubPr/>
          <m:e>
            <m:r>
              <m:rPr>
                <m:sty m:val="i"/>
              </m:rPr>
              <m:t>T</m:t>
            </m:r>
          </m:e>
          <m:sub>
            <m:r>
              <m:rPr>
                <m:sty m:val="p"/>
              </m:rPr>
              <m:t>0</m:t>
            </m:r>
            <m:r>
              <m:rPr>
                <m:sty m:val="i"/>
              </m:rPr>
              <m:t>n</m:t>
            </m:r>
          </m:sub>
        </m:sSub>
        <m:r>
          <m:rPr>
            <m:sty m:val="p"/>
          </m:rPr>
          <m:t>,</m:t>
        </m:r>
        <m:sSub>
          <m:sSubPr/>
          <m:e>
            <m:r>
              <m:rPr>
                <m:sty m:val="i"/>
              </m:rPr>
              <m:t>T</m:t>
            </m:r>
          </m:e>
          <m:sub>
            <m:r>
              <m:rPr>
                <m:sty m:val="p"/>
              </m:rPr>
              <m:t>2</m:t>
            </m:r>
            <m:r>
              <m:rPr>
                <m:sty m:val="i"/>
              </m:rPr>
              <m:t>n</m:t>
            </m:r>
          </m:sub>
        </m:sSub>
        <m:r>
          <m:rPr>
            <m:sty m:val="p"/>
          </m:rPr>
          <m:t>,</m:t>
        </m:r>
        <m:r>
          <m:rPr>
            <m:sty m:val="p"/>
          </m:rPr>
          <m:t>Ψ</m:t>
        </m:r>
        <m:r>
          <m:rPr>
            <m:sty m:val="p"/>
          </m:rPr>
          <m:t>,</m:t>
        </m:r>
        <m:sSub>
          <m:sSubPr/>
          <m:e>
            <m:r>
              <m:rPr>
                <m:sty m:val="i"/>
              </m:rPr>
              <m:t>η</m:t>
            </m:r>
          </m:e>
          <m:sub>
            <m:r>
              <m:rPr>
                <m:sty m:val="i"/>
              </m:rPr>
              <m:t>c</m:t>
            </m:r>
            <m:r>
              <m:rPr>
                <m:sty m:val="i"/>
              </m:rPr>
              <m:t>s</m:t>
            </m:r>
          </m:sub>
        </m:sSub>
      </m:oMath>
      <w:r>
        <w:rPr/>
        <w:t xml:space="preserve"> et </w:t>
      </w:r>
      <m:oMath>
        <m:sSub>
          <m:sSubPr/>
          <m:e>
            <m:r>
              <m:rPr>
                <m:sty m:val="i"/>
              </m:rPr>
              <m:t>η</m:t>
            </m:r>
          </m:e>
          <m:sub>
            <m:r>
              <m:rPr>
                <m:sty m:val="i"/>
              </m:rPr>
              <m:t>t</m:t>
            </m:r>
            <m:r>
              <m:rPr>
                <m:sty m:val="i"/>
              </m:rPr>
              <m:t>s</m:t>
            </m:r>
          </m:sub>
        </m:sSub>
      </m:oMath>
      <w:r>
        <w:rPr/>
        <w:t xml:space="preserve">.</w:t>
      </w:r>
      <w:r>
        <w:rPr/>
        <w:br w:type="textWrapping"/>
      </w:r>
      <w:r>
        <w:rPr>
          <w:rFonts w:eastAsia="Georgia" w:cs="Georgia" w:ascii="Georgia" w:hAnsi="Georgia"/>
        </w:rPr>
        <w:t xml:space="preserve">Q 11. Calculer la valeur numérique de </w:t>
      </w:r>
      <m:oMath>
        <m:sSub>
          <m:sSubPr/>
          <m:e>
            <m:r>
              <m:rPr>
                <m:sty m:val="i"/>
              </m:rPr>
              <m:t>e</m:t>
            </m:r>
          </m:e>
          <m:sub>
            <m:r>
              <m:rPr>
                <m:sty m:val="i"/>
              </m:rPr>
              <m:t>s</m:t>
            </m:r>
          </m:sub>
        </m:sSub>
      </m:oMath>
      <w:r>
        <w:rPr/>
        <w:t xml:space="preserve"> avec </w:t>
      </w:r>
      <m:oMath>
        <m:sSub>
          <m:sSubPr/>
          <m:e>
            <m:r>
              <m:rPr>
                <m:sty m:val="i"/>
              </m:rPr>
              <m:t>T</m:t>
            </m:r>
          </m:e>
          <m:sub>
            <m:r>
              <m:rPr>
                <m:sty m:val="p"/>
              </m:rPr>
              <m:t>0</m:t>
            </m:r>
            <m:r>
              <m:rPr>
                <m:sty m:val="i"/>
              </m:rPr>
              <m:t>n</m:t>
            </m:r>
          </m:sub>
        </m:sSub>
        <m:r>
          <m:rPr>
            <m:sty m:val="p"/>
          </m:rPr>
          <m:t>=</m:t>
        </m:r>
        <m:r>
          <m:rPr>
            <m:sty m:val="p"/>
          </m:rPr>
          <m:t>293</m:t>
        </m:r>
        <m:r>
          <m:rPr>
            <m:nor/>
          </m:rPr>
          <m:t xml:space="preserve"> </m:t>
        </m:r>
        <m:r>
          <m:rPr>
            <m:sty m:val="p"/>
          </m:rPr>
          <m:t>K</m:t>
        </m:r>
        <m:r>
          <m:rPr>
            <m:sty m:val="p"/>
          </m:rPr>
          <m:t>,</m:t>
        </m:r>
        <m:sSub>
          <m:sSubPr/>
          <m:e>
            <m:r>
              <m:rPr>
                <m:sty m:val="i"/>
              </m:rPr>
              <m:t>T</m:t>
            </m:r>
          </m:e>
          <m:sub>
            <m:r>
              <m:rPr>
                <m:sty m:val="p"/>
              </m:rPr>
              <m:t>2</m:t>
            </m:r>
            <m:r>
              <m:rPr>
                <m:sty m:val="i"/>
              </m:rPr>
              <m:t>n</m:t>
            </m:r>
          </m:sub>
        </m:sSub>
        <m:r>
          <m:rPr>
            <m:sty m:val="p"/>
          </m:rPr>
          <m:t>=</m:t>
        </m:r>
        <m:r>
          <m:rPr>
            <m:sty m:val="p"/>
          </m:rPr>
          <m:t>773</m:t>
        </m:r>
        <m:r>
          <m:rPr>
            <m:nor/>
          </m:rPr>
          <m:t xml:space="preserve"> </m:t>
        </m:r>
        <m:r>
          <m:rPr>
            <m:sty m:val="p"/>
          </m:rPr>
          <m:t>K</m:t>
        </m:r>
        <m:r>
          <m:rPr>
            <m:sty m:val="p"/>
          </m:rPr>
          <m:t>,</m:t>
        </m:r>
        <m:sSub>
          <m:sSubPr/>
          <m:e>
            <m:r>
              <m:rPr>
                <m:sty m:val="i"/>
              </m:rPr>
              <m:t>η</m:t>
            </m:r>
          </m:e>
          <m:sub>
            <m:r>
              <m:rPr>
                <m:sty m:val="i"/>
              </m:rPr>
              <m:t>c</m:t>
            </m:r>
            <m:r>
              <m:rPr>
                <m:sty m:val="i"/>
              </m:rPr>
              <m:t>s</m:t>
            </m:r>
          </m:sub>
        </m:sSub>
        <m:r>
          <m:rPr>
            <m:sty m:val="p"/>
          </m:rPr>
          <m:t>=</m:t>
        </m:r>
        <m:sSub>
          <m:sSubPr/>
          <m:e>
            <m:r>
              <m:rPr>
                <m:sty m:val="i"/>
              </m:rPr>
              <m:t>η</m:t>
            </m:r>
          </m:e>
          <m:sub>
            <m:r>
              <m:rPr>
                <m:sty m:val="i"/>
              </m:rPr>
              <m:t>t</m:t>
            </m:r>
            <m:r>
              <m:rPr>
                <m:sty m:val="i"/>
              </m:rPr>
              <m:t>s</m:t>
            </m:r>
          </m:sub>
        </m:sSub>
        <m:r>
          <m:rPr>
            <m:sty m:val="p"/>
          </m:rPr>
          <m:t>=</m:t>
        </m:r>
        <m:r>
          <m:rPr>
            <m:sty m:val="p"/>
          </m:rPr>
          <m:t>0</m:t>
        </m:r>
        <m:r>
          <m:rPr>
            <m:sty m:val="p"/>
          </m:rPr>
          <m:t>,</m:t>
        </m:r>
        <m:r>
          <m:rPr>
            <m:sty m:val="p"/>
          </m:rPr>
          <m:t>96</m:t>
        </m:r>
      </m:oMath>
      <w:r>
        <w:rPr/>
        <w:t xml:space="preserve"> et </w:t>
      </w:r>
      <m:oMath>
        <m:r>
          <m:rPr>
            <m:sty m:val="p"/>
          </m:rPr>
          <m:t>Ψ</m:t>
        </m:r>
        <m:r>
          <m:rPr>
            <m:sty m:val="p"/>
          </m:rPr>
          <m:t>=</m:t>
        </m:r>
        <m:r>
          <m:rPr>
            <m:sty m:val="p"/>
          </m:rPr>
          <m:t>1</m:t>
        </m:r>
        <m:r>
          <m:rPr>
            <m:sty m:val="p"/>
          </m:rPr>
          <m:t>,</m:t>
        </m:r>
        <m:r>
          <m:rPr>
            <m:sty m:val="p"/>
          </m:rPr>
          <m:t>55</m:t>
        </m:r>
      </m:oMath>
      <w:r>
        <w:rPr/>
        <w:t xml:space="preserve">.</w:t>
      </w:r>
    </w:p>
    <w:p>
      <w:pPr>
        <w:spacing w:line="271" w:before="330" w:lineRule="auto"/>
      </w:pPr>
      <w:r>
        <w:rPr>
          <w:rFonts w:eastAsia="Georgia" w:cs="Georgia" w:ascii="Georgia" w:hAnsi="Georgia"/>
          <w:b/>
          <w:sz w:val="42"/>
        </w:rPr>
        <w:t xml:space="preserve">I.C - Positionnement du procédé SEPT par rapport aux autres modes de stockage</w:t>
      </w:r>
    </w:p>
    <w:p>
      <w:pPr>
        <w:spacing w:after="220" w:lineRule="auto"/>
      </w:pPr>
      <w:r>
        <w:rPr>
          <w:rFonts w:eastAsia="Georgia" w:cs="Georgia" w:ascii="Georgia" w:hAnsi="Georgia"/>
        </w:rPr>
        <w:t xml:space="preserve">Parmi les autres modes de stockage d'énergie, on peut citer l'hydraulique gravitaire, l'air comprimé électriquement (procédé CAES), les batteries, le stockage magnétique d'énergie (procédé SMES) ou encore le stockage d'hydrogène (utilisable par exemple dans les piles à combustibles). La figure 4 positionne ces divers modes de stockage en termes de puissance et de capacité énergétique.</w:t>
      </w:r>
      <w:r>
        <w:rPr/>
        <w:br w:type="textWrapping"/>
      </w:r>
      <w:r>
        <w:rPr>
          <w:rFonts w:eastAsia="Georgia" w:cs="Georgia" w:ascii="Georgia" w:hAnsi="Georgia"/>
        </w:rPr>
        <w:t xml:space="preserve">Q 12. Comparer le procédé SEPT aux autres méthodes de stockage d'énergies présentées dans la figure 4.</w:t>
      </w:r>
      <w:r>
        <w:rPr/>
        <w:br w:type="textWrapping"/>
      </w:r>
      <w:r>
        <w:rPr>
          <w:rFonts w:eastAsia="Georgia" w:cs="Georgia" w:ascii="Georgia" w:hAnsi="Georgia"/>
        </w:rPr>
        <w:t xml:space="preserve">Q 13. Déterminer un ordre de grandeur du debit massique d'argon dans une installation SEPT typique.</w:t>
      </w:r>
      <w:r>
        <w:rPr/>
        <w:br w:type="textWrapping"/>
      </w:r>
      <w:r>
        <w:rPr>
          <w:rFonts w:eastAsia="Georgia" w:cs="Georgia" w:ascii="Georgia" w:hAnsi="Georgia"/>
        </w:rPr>
        <w:t xml:space="preserve">La porosité </w:t>
      </w:r>
      <m:oMath>
        <m:r>
          <m:rPr>
            <m:sty m:val="i"/>
          </m:rPr>
          <m:t>ε</m:t>
        </m:r>
      </m:oMath>
      <w:r>
        <w:rPr>
          <w:rFonts w:eastAsia="Georgia" w:cs="Georgia" w:ascii="Georgia" w:hAnsi="Georgia"/>
        </w:rPr>
        <w:t xml:space="preserve">, dont l'influence sur le stockage sera étudiée ultérieurement, correspond au rapport du volume occupé par le fluide sur le volume total de l'enceinte. Le projet SETHER de l'agence nationale de la recherche prévoit la réalisation d'un prototype d'installation SEPT pour laquelle le volume total des enceintes de 10 mètres de hauteur serait </w:t>
      </w:r>
      <m:oMath>
        <m:sSub>
          <m:sSubPr/>
          <m:e>
            <m:r>
              <m:rPr>
                <m:sty m:val="i"/>
              </m:rPr>
              <m:t>V</m:t>
            </m:r>
          </m:e>
          <m:sub>
            <m:r>
              <m:rPr>
                <m:sty m:val="i"/>
              </m:rPr>
              <m:t>e</m:t>
            </m:r>
          </m:sub>
        </m:sSub>
        <m:r>
          <m:rPr>
            <m:sty m:val="p"/>
          </m:rPr>
          <m:t>=</m:t>
        </m:r>
        <m:r>
          <m:rPr>
            <m:sty m:val="p"/>
          </m:rPr>
          <m:t>20000</m:t>
        </m:r>
        <m:sSup>
          <m:sSupPr/>
          <m:e>
            <m:r>
              <m:rPr>
                <m:nor/>
              </m:rPr>
              <m:t xml:space="preserve"> </m:t>
            </m:r>
            <m:r>
              <m:rPr>
                <m:sty m:val="p"/>
              </m:rPr>
              <m:t>m</m:t>
            </m:r>
          </m:e>
          <m:sup>
            <m:r>
              <m:rPr>
                <m:sty m:val="p"/>
              </m:rPr>
              <m:t>3</m:t>
            </m:r>
          </m:sup>
        </m:sSup>
      </m:oMath>
      <w:r>
        <w:rPr/>
        <w:t xml:space="preserve">.</w:t>
      </w:r>
      <w:r>
        <w:rPr/>
        <w:br w:type="textWrapping"/>
      </w:r>
      <w:r>
        <w:rPr/>
        <w:t xml:space="preserve">Q 14. En prenant pour masse volumique de l'argon </w:t>
      </w:r>
      <m:oMath>
        <m:sSub>
          <m:sSubPr/>
          <m:e>
            <m:r>
              <m:rPr>
                <m:sty m:val="i"/>
              </m:rPr>
              <m:t>ρ</m:t>
            </m:r>
          </m:e>
          <m:sub>
            <m:r>
              <m:rPr>
                <m:sty m:val="p"/>
              </m:rPr>
              <m:t>Ar</m:t>
            </m:r>
          </m:sub>
        </m:sSub>
        <m:r>
          <m:rPr>
            <m:sty m:val="p"/>
          </m:rPr>
          <m:t>=</m:t>
        </m:r>
        <m:r>
          <m:rPr>
            <m:sty m:val="p"/>
          </m:rPr>
          <m:t>1</m:t>
        </m:r>
        <m:r>
          <m:rPr>
            <m:sty m:val="p"/>
          </m:rPr>
          <m:t>,</m:t>
        </m:r>
        <m:r>
          <m:rPr>
            <m:sty m:val="p"/>
          </m:rPr>
          <m:t>8</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et une porosité </w:t>
      </w:r>
      <m:oMath>
        <m:r>
          <m:rPr>
            <m:sty m:val="i"/>
          </m:rPr>
          <m:t>ε</m:t>
        </m:r>
        <m:r>
          <m:rPr>
            <m:sty m:val="p"/>
          </m:rPr>
          <m:t>=</m:t>
        </m:r>
        <m:r>
          <m:rPr>
            <m:sty m:val="p"/>
          </m:rPr>
          <m:t>40</m:t>
        </m:r>
        <m:r>
          <m:rPr>
            <m:sty m:val="p"/>
          </m:rPr>
          <m:t>%</m:t>
        </m:r>
      </m:oMath>
      <w:r>
        <w:rPr>
          <w:rFonts w:eastAsia="Georgia" w:cs="Georgia" w:ascii="Georgia" w:hAnsi="Georgia"/>
        </w:rPr>
        <w:t xml:space="preserve">, déterminer la masse totale d'argon dans cette installation, en négligeant la masse d'argon contenue dans les canalisations qui relient les enceintes entre elles.</w:t>
      </w:r>
    </w:p>
    <w:p>
      <w:pPr>
        <w:spacing w:lineRule="auto"/>
        <w:jc w:val="center"/>
      </w:pPr>
      <w:r>
        <w:rPr/>
        <w:drawing>
          <wp:inline distB="0" distL="0" distR="0" distT="0">
            <wp:extent cx="5486400" cy="3723355"/>
            <wp:effectExtent b="0" l="0" r="0" t="0"/>
            <wp:docPr id="4" name="image-3b0e6e09a0c15b8d4126bead7101045bd80b9618.jpg"/>
            <a:graphic>
              <a:graphicData uri="http://schemas.openxmlformats.org/drawingml/2006/picture">
                <pic:pic>
                  <pic:nvPicPr>
                    <pic:cNvPr id="4" name="image-3b0e6e09a0c15b8d4126bead7101045bd80b9618.jpg" descr=""/>
                    <pic:cNvPicPr/>
                  </pic:nvPicPr>
                  <pic:blipFill>
                    <a:blip r:embed="rId8" cstate="print"/>
                    <a:srcRect b="0" l="0" r="0" t="0"/>
                    <a:stretch>
                      <a:fillRect/>
                    </a:stretch>
                  </pic:blipFill>
                  <pic:spPr>
                    <a:xfrm>
                      <a:off x="0" y="0"/>
                      <a:ext cx="5486400" cy="3723355"/>
                    </a:xfrm>
                    <a:prstGeom prst="rect"/>
                  </pic:spPr>
                </pic:pic>
              </a:graphicData>
            </a:graphic>
          </wp:inline>
        </w:drawing>
      </w:r>
    </w:p>
    <w:p>
      <w:pPr>
        <w:spacing w:lineRule="auto"/>
      </w:pPr>
      <w:r>
        <w:rPr/>
        <w:t xml:space="preserve">Figure 4</w:t>
      </w:r>
    </w:p>
    <w:p>
      <w:pPr>
        <w:spacing w:after="220" w:lineRule="auto"/>
      </w:pPr>
      <w:r>
        <w:rPr>
          <w:rFonts w:eastAsia="Georgia" w:cs="Georgia" w:ascii="Georgia" w:hAnsi="Georgia"/>
        </w:rPr>
        <w:t xml:space="preserve">Q 15. Déterminer un ordre de grandeur de l'énergie massique que peut stocker une batterie automobile d'une masse de 10 kg et d'une capacité de </w:t>
      </w:r>
      <m:oMath>
        <m:r>
          <m:rPr>
            <m:sty m:val="p"/>
          </m:rPr>
          <m:t>50</m:t>
        </m:r>
        <m:r>
          <m:rPr>
            <m:nor/>
          </m:rPr>
          <m:t xml:space="preserve"> </m:t>
        </m:r>
        <m:r>
          <m:rPr>
            <m:sty m:val="p"/>
          </m:rPr>
          <m:t>A</m:t>
        </m:r>
        <m:r>
          <m:rPr>
            <m:sty m:val="p"/>
          </m:rPr>
          <m:t>⋅</m:t>
        </m:r>
        <m:r>
          <m:rPr>
            <m:nor/>
          </m:rPr>
          <m:t xml:space="preserve"> </m:t>
        </m:r>
        <m:r>
          <m:rPr>
            <m:sty m:val="p"/>
          </m:rPr>
          <m:t>h</m:t>
        </m:r>
      </m:oMath>
      <w:r>
        <w:rPr>
          <w:rFonts w:eastAsia="Georgia" w:cs="Georgia" w:ascii="Georgia" w:hAnsi="Georgia"/>
        </w:rPr>
        <w:t xml:space="preserve"> sous 12 V (figure 5) et comparer à l'énergie massique stockée par une installation SEPT typique. La masse volumique du solide emplissant (incomplètement) les enceintes sera prise égale à </w:t>
      </w:r>
      <m:oMath>
        <m:r>
          <m:rPr>
            <m:sty m:val="p"/>
          </m:rPr>
          <m:t>2</m:t>
        </m:r>
        <m:r>
          <m:rPr>
            <m:sty m:val="p"/>
          </m:rPr>
          <m:t>,</m:t>
        </m:r>
        <m:r>
          <m:rPr>
            <m:sty m:val="p"/>
          </m:rPr>
          <m:t>5</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spacing w:lineRule="auto"/>
        <w:jc w:val="center"/>
      </w:pPr>
      <w:r>
        <w:rPr/>
        <w:drawing>
          <wp:inline distB="0" distL="0" distR="0" distT="0">
            <wp:extent cx="3086100" cy="2867025"/>
            <wp:effectExtent b="0" l="0" r="0" t="0"/>
            <wp:docPr id="5" name="image-1148408072148f42938b1f3478f689eb4506a3e0.jpg"/>
            <a:graphic>
              <a:graphicData uri="http://schemas.openxmlformats.org/drawingml/2006/picture">
                <pic:pic>
                  <pic:nvPicPr>
                    <pic:cNvPr id="5" name="image-1148408072148f42938b1f3478f689eb4506a3e0.jpg" descr=""/>
                    <pic:cNvPicPr/>
                  </pic:nvPicPr>
                  <pic:blipFill>
                    <a:blip r:embed="rId9" cstate="print"/>
                    <a:srcRect b="0" l="0" r="0" t="0"/>
                    <a:stretch>
                      <a:fillRect/>
                    </a:stretch>
                  </pic:blipFill>
                  <pic:spPr>
                    <a:xfrm>
                      <a:off x="0" y="0"/>
                      <a:ext cx="3086100" cy="2867025"/>
                    </a:xfrm>
                    <a:prstGeom prst="rect"/>
                  </pic:spPr>
                </pic:pic>
              </a:graphicData>
            </a:graphic>
          </wp:inline>
        </w:drawing>
      </w:r>
    </w:p>
    <w:p>
      <w:pPr>
        <w:spacing w:lineRule="auto"/>
      </w:pPr>
      <w:r>
        <w:rPr/>
        <w:t xml:space="preserve">Figure 5</w:t>
      </w:r>
    </w:p>
    <w:p>
      <w:pPr>
        <w:spacing w:line="271" w:before="330" w:lineRule="auto"/>
      </w:pPr>
      <w:r>
        <w:rPr>
          <w:rFonts w:eastAsia="Georgia" w:cs="Georgia" w:ascii="Georgia" w:hAnsi="Georgia"/>
          <w:b/>
          <w:sz w:val="42"/>
        </w:rPr>
        <w:t xml:space="preserve">I.D - Étude de la phase de déstockage</w:t>
      </w:r>
    </w:p>
    <w:p>
      <w:pPr>
        <w:spacing w:after="220" w:lineRule="auto"/>
      </w:pPr>
      <w:r>
        <w:rPr>
          <w:rFonts w:eastAsia="Georgia" w:cs="Georgia" w:ascii="Georgia" w:hAnsi="Georgia"/>
        </w:rPr>
        <w:t xml:space="preserve">La figure 6 présente les deux cycles de stockage et de déstockage. Les débits massiques d'argon sont supposés identiques lors des deux phases.</w:t>
      </w:r>
      <w:r>
        <w:rPr/>
        <w:br w:type="textWrapping"/>
      </w:r>
      <w:r>
        <w:rPr>
          <w:rFonts w:eastAsia="Georgia" w:cs="Georgia" w:ascii="Georgia" w:hAnsi="Georgia"/>
        </w:rPr>
        <w:t xml:space="preserve">En déstockage, le gaz circule dans le sens opposé de celui du stockage, ce qui était une compression de </w:t>
      </w:r>
      <m:oMath>
        <m:sSub>
          <m:sSubPr/>
          <m:e>
            <m:r>
              <m:rPr>
                <m:sty m:val="i"/>
              </m:rPr>
              <m:t>T</m:t>
            </m:r>
          </m:e>
          <m:sub>
            <m:r>
              <m:rPr>
                <m:sty m:val="p"/>
              </m:rPr>
              <m:t>2</m:t>
            </m:r>
            <m:r>
              <m:rPr>
                <m:sty m:val="i"/>
              </m:rPr>
              <m:t>n</m:t>
            </m:r>
          </m:sub>
        </m:sSub>
      </m:oMath>
      <w:r>
        <w:rPr>
          <w:rFonts w:eastAsia="Georgia" w:cs="Georgia" w:ascii="Georgia" w:hAnsi="Georgia"/>
        </w:rPr>
        <w:t xml:space="preserve"> à </w:t>
      </w:r>
      <m:oMath>
        <m:sSub>
          <m:sSubPr/>
          <m:e>
            <m:r>
              <m:rPr>
                <m:sty m:val="i"/>
              </m:rPr>
              <m:t>T</m:t>
            </m:r>
          </m:e>
          <m:sub>
            <m:r>
              <m:rPr>
                <m:sty m:val="p"/>
              </m:rPr>
              <m:t>1</m:t>
            </m:r>
          </m:sub>
        </m:sSub>
      </m:oMath>
      <w:r>
        <w:rPr>
          <w:rFonts w:eastAsia="Georgia" w:cs="Georgia" w:ascii="Georgia" w:hAnsi="Georgia"/>
        </w:rPr>
        <w:t xml:space="preserve"> lors du stockage devient une détente de </w:t>
      </w:r>
      <m:oMath>
        <m:sSub>
          <m:sSubPr/>
          <m:e>
            <m:r>
              <m:rPr>
                <m:sty m:val="i"/>
              </m:rPr>
              <m:t>T</m:t>
            </m:r>
          </m:e>
          <m:sub>
            <m:r>
              <m:rPr>
                <m:sty m:val="p"/>
              </m:rPr>
              <m:t>1</m:t>
            </m:r>
          </m:sub>
        </m:sSub>
      </m:oMath>
      <w:r>
        <w:rPr>
          <w:rFonts w:eastAsia="Georgia" w:cs="Georgia" w:ascii="Georgia" w:hAnsi="Georgia"/>
        </w:rPr>
        <w:t xml:space="preserve"> à </w:t>
      </w:r>
      <m:oMath>
        <m:sSub>
          <m:sSubPr/>
          <m:e>
            <m:r>
              <m:rPr>
                <m:sty m:val="i"/>
              </m:rPr>
              <m:t>T</m:t>
            </m:r>
          </m:e>
          <m:sub>
            <m:r>
              <m:rPr>
                <m:sty m:val="p"/>
              </m:rPr>
              <m:t>2</m:t>
            </m:r>
            <m:r>
              <m:rPr>
                <m:sty m:val="i"/>
              </m:rPr>
              <m:t>d</m:t>
            </m:r>
          </m:sub>
        </m:sSub>
      </m:oMath>
      <w:r>
        <w:rPr/>
        <w:t xml:space="preserve">.</w:t>
      </w:r>
      <w:r>
        <w:rPr/>
        <w:br w:type="textWrapping"/>
      </w:r>
      <w:r>
        <w:rPr/>
        <w:t xml:space="preserve">Q 16. Montrer que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T</m:t>
                    </m:r>
                  </m:e>
                  <m:sub>
                    <m:r>
                      <m:rPr>
                        <m:sty m:val="p"/>
                      </m:rPr>
                      <m:t>0</m:t>
                    </m:r>
                    <m:r>
                      <m:rPr>
                        <m:sty m:val="i"/>
                      </m:rPr>
                      <m:t>d</m:t>
                    </m:r>
                  </m:sub>
                </m:sSub>
                <m:r>
                  <m:rPr>
                    <m:sty m:val="p"/>
                  </m:rPr>
                  <m:t>=</m:t>
                </m:r>
                <m:sSub>
                  <m:sSubPr/>
                  <m:e>
                    <m:r>
                      <m:rPr>
                        <m:sty m:val="i"/>
                      </m:rPr>
                      <m:t>T</m:t>
                    </m:r>
                  </m:e>
                  <m:sub>
                    <m:r>
                      <m:rPr>
                        <m:sty m:val="p"/>
                      </m:rPr>
                      <m:t>0</m:t>
                    </m:r>
                    <m:r>
                      <m:rPr>
                        <m:sty m:val="i"/>
                      </m:rPr>
                      <m:t>n</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Ψ</m:t>
                        </m:r>
                        <m:r>
                          <m:rPr>
                            <m:sty m:val="p"/>
                          </m:rPr>
                          <m:t>−</m:t>
                        </m:r>
                        <m:r>
                          <m:rPr>
                            <m:sty m:val="p"/>
                          </m:rPr>
                          <m:t>1</m:t>
                        </m:r>
                      </m:num>
                      <m:den>
                        <m:sSub>
                          <m:sSubPr/>
                          <m:e>
                            <m:r>
                              <m:rPr>
                                <m:sty m:val="i"/>
                              </m:rPr>
                              <m:t>η</m:t>
                            </m:r>
                          </m:e>
                          <m:sub>
                            <m:r>
                              <m:rPr>
                                <m:sty m:val="i"/>
                              </m:rPr>
                              <m:t>c</m:t>
                            </m:r>
                            <m:r>
                              <m:rPr>
                                <m:sty m:val="i"/>
                              </m:rPr>
                              <m:t>d</m:t>
                            </m:r>
                          </m:sub>
                        </m:sSub>
                      </m:den>
                    </m:f>
                  </m:e>
                </m:d>
                <m:d>
                  <m:dPr>
                    <m:begChr m:val="("/>
                    <m:endChr m:val=")"/>
                    <m:ctrlPr>
                      <w:rPr>
                        <w:rFonts w:ascii="Cambria Math" w:hAnsi="Cambria Math"/>
                      </w:rPr>
                    </m:ctrlPr>
                  </m:dPr>
                  <m:e>
                    <m:r>
                      <m:rPr>
                        <m:sty m:val="p"/>
                      </m:rPr>
                      <m:t>1</m:t>
                    </m:r>
                    <m:r>
                      <m:rPr>
                        <m:sty m:val="p"/>
                      </m:rPr>
                      <m:t>+</m:t>
                    </m:r>
                    <m:f>
                      <m:fPr>
                        <m:ctrlPr>
                          <w:rPr>
                            <w:rFonts w:ascii="Cambria Math" w:hAnsi="Cambria Math"/>
                          </w:rPr>
                        </m:ctrlPr>
                      </m:fPr>
                      <m:num>
                        <m:sSub>
                          <m:sSubPr/>
                          <m:e>
                            <m:r>
                              <m:rPr>
                                <m:sty m:val="i"/>
                              </m:rPr>
                              <m:t>η</m:t>
                            </m:r>
                          </m:e>
                          <m:sub>
                            <m:r>
                              <m:rPr>
                                <m:sty m:val="i"/>
                              </m:rPr>
                              <m:t>t</m:t>
                            </m:r>
                            <m:r>
                              <m:rPr>
                                <m:sty m:val="i"/>
                              </m:rPr>
                              <m:t>s</m:t>
                            </m:r>
                          </m:sub>
                        </m:sSub>
                        <m:r>
                          <m:rPr>
                            <m:sty m:val="p"/>
                          </m:rPr>
                          <m:t>(</m:t>
                        </m:r>
                        <m:r>
                          <m:rPr>
                            <m:sty m:val="p"/>
                          </m:rPr>
                          <m:t>1</m:t>
                        </m:r>
                        <m:r>
                          <m:rPr>
                            <m:sty m:val="p"/>
                          </m:rPr>
                          <m:t>−</m:t>
                        </m:r>
                        <m:r>
                          <m:rPr>
                            <m:sty m:val="p"/>
                          </m:rPr>
                          <m:t>Ψ</m:t>
                        </m:r>
                        <m:r>
                          <m:rPr>
                            <m:sty m:val="p"/>
                          </m:rPr>
                          <m:t>)</m:t>
                        </m:r>
                      </m:num>
                      <m:den>
                        <m:r>
                          <m:rPr>
                            <m:sty m:val="p"/>
                          </m:rPr>
                          <m:t>Ψ</m:t>
                        </m:r>
                      </m:den>
                    </m:f>
                  </m:e>
                </m:d>
              </m:e>
            </m:mr>
            <m:mr>
              <m:e/>
              <m:e>
                <m:sSub>
                  <m:sSubPr/>
                  <m:e>
                    <m:r>
                      <m:rPr>
                        <m:sty m:val="i"/>
                      </m:rPr>
                      <m:t>T</m:t>
                    </m:r>
                  </m:e>
                  <m:sub>
                    <m:r>
                      <m:rPr>
                        <m:sty m:val="p"/>
                      </m:rPr>
                      <m:t>2</m:t>
                    </m:r>
                    <m:r>
                      <m:rPr>
                        <m:sty m:val="i"/>
                      </m:rPr>
                      <m:t>d</m:t>
                    </m:r>
                  </m:sub>
                </m:sSub>
                <m:r>
                  <m:rPr>
                    <m:sty m:val="p"/>
                  </m:rPr>
                  <m:t>=</m:t>
                </m:r>
                <m:sSub>
                  <m:sSubPr/>
                  <m:e>
                    <m:r>
                      <m:rPr>
                        <m:sty m:val="i"/>
                      </m:rPr>
                      <m:t>T</m:t>
                    </m:r>
                  </m:e>
                  <m:sub>
                    <m:r>
                      <m:rPr>
                        <m:sty m:val="p"/>
                      </m:rPr>
                      <m:t>2</m:t>
                    </m:r>
                    <m:r>
                      <m:rPr>
                        <m:sty m:val="i"/>
                      </m:rPr>
                      <m:t>n</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Ψ</m:t>
                        </m:r>
                        <m:r>
                          <m:rPr>
                            <m:sty m:val="p"/>
                          </m:rPr>
                          <m:t>−</m:t>
                        </m:r>
                        <m:r>
                          <m:rPr>
                            <m:sty m:val="p"/>
                          </m:rPr>
                          <m:t>1</m:t>
                        </m:r>
                      </m:num>
                      <m:den>
                        <m:sSub>
                          <m:sSubPr/>
                          <m:e>
                            <m:r>
                              <m:rPr>
                                <m:sty m:val="i"/>
                              </m:rPr>
                              <m:t>η</m:t>
                            </m:r>
                          </m:e>
                          <m:sub>
                            <m:r>
                              <m:rPr>
                                <m:sty m:val="i"/>
                              </m:rPr>
                              <m:t>c</m:t>
                            </m:r>
                            <m:r>
                              <m:rPr>
                                <m:sty m:val="i"/>
                              </m:rPr>
                              <m:t>s</m:t>
                            </m:r>
                          </m:sub>
                        </m:sSub>
                      </m:den>
                    </m:f>
                  </m:e>
                </m:d>
                <m:d>
                  <m:dPr>
                    <m:begChr m:val="("/>
                    <m:endChr m:val=")"/>
                    <m:ctrlPr>
                      <w:rPr>
                        <w:rFonts w:ascii="Cambria Math" w:hAnsi="Cambria Math"/>
                      </w:rPr>
                    </m:ctrlPr>
                  </m:dPr>
                  <m:e>
                    <m:r>
                      <m:rPr>
                        <m:sty m:val="p"/>
                      </m:rPr>
                      <m:t>1</m:t>
                    </m:r>
                    <m:r>
                      <m:rPr>
                        <m:sty m:val="p"/>
                      </m:rPr>
                      <m:t>+</m:t>
                    </m:r>
                    <m:f>
                      <m:fPr>
                        <m:ctrlPr>
                          <w:rPr>
                            <w:rFonts w:ascii="Cambria Math" w:hAnsi="Cambria Math"/>
                          </w:rPr>
                        </m:ctrlPr>
                      </m:fPr>
                      <m:num>
                        <m:sSub>
                          <m:sSubPr/>
                          <m:e>
                            <m:r>
                              <m:rPr>
                                <m:sty m:val="i"/>
                              </m:rPr>
                              <m:t>η</m:t>
                            </m:r>
                          </m:e>
                          <m:sub>
                            <m:r>
                              <m:rPr>
                                <m:sty m:val="i"/>
                              </m:rPr>
                              <m:t>t</m:t>
                            </m:r>
                            <m:r>
                              <m:rPr>
                                <m:sty m:val="i"/>
                              </m:rPr>
                              <m:t>d</m:t>
                            </m:r>
                          </m:sub>
                        </m:sSub>
                        <m:r>
                          <m:rPr>
                            <m:sty m:val="p"/>
                          </m:rPr>
                          <m:t>(</m:t>
                        </m:r>
                        <m:r>
                          <m:rPr>
                            <m:sty m:val="p"/>
                          </m:rPr>
                          <m:t>1</m:t>
                        </m:r>
                        <m:r>
                          <m:rPr>
                            <m:sty m:val="p"/>
                          </m:rPr>
                          <m:t>−</m:t>
                        </m:r>
                        <m:r>
                          <m:rPr>
                            <m:sty m:val="p"/>
                          </m:rPr>
                          <m:t>Ψ</m:t>
                        </m:r>
                        <m:r>
                          <m:rPr>
                            <m:sty m:val="p"/>
                          </m:rPr>
                          <m:t>)</m:t>
                        </m:r>
                      </m:num>
                      <m:den>
                        <m:r>
                          <m:rPr>
                            <m:sty m:val="p"/>
                          </m:rPr>
                          <m:t>Ψ</m:t>
                        </m:r>
                      </m:den>
                    </m:f>
                  </m:e>
                </m:d>
              </m:e>
            </m:mr>
          </m:m>
        </m:oMath>
      </m:oMathPara>
    </w:p>
    <w:p>
      <w:pPr>
        <w:spacing w:after="220" w:lineRule="auto"/>
      </w:pPr>
      <w:r>
        <w:rPr>
          <w:rFonts w:eastAsia="Georgia" w:cs="Georgia" w:ascii="Georgia" w:hAnsi="Georgia"/>
        </w:rPr>
        <w:t xml:space="preserve">où </w:t>
      </w:r>
      <m:oMath>
        <m:sSub>
          <m:sSubPr/>
          <m:e>
            <m:r>
              <m:rPr>
                <m:sty m:val="i"/>
              </m:rPr>
              <m:t>η</m:t>
            </m:r>
          </m:e>
          <m:sub>
            <m:r>
              <m:rPr>
                <m:sty m:val="i"/>
              </m:rPr>
              <m:t>c</m:t>
            </m:r>
            <m:r>
              <m:rPr>
                <m:sty m:val="i"/>
              </m:rPr>
              <m:t>d</m:t>
            </m:r>
          </m:sub>
        </m:sSub>
      </m:oMath>
      <w:r>
        <w:rPr/>
        <w:t xml:space="preserve"> et </w:t>
      </w:r>
      <m:oMath>
        <m:sSub>
          <m:sSubPr/>
          <m:e>
            <m:r>
              <m:rPr>
                <m:sty m:val="i"/>
              </m:rPr>
              <m:t>η</m:t>
            </m:r>
          </m:e>
          <m:sub>
            <m:r>
              <m:rPr>
                <m:sty m:val="i"/>
              </m:rPr>
              <m:t>t</m:t>
            </m:r>
            <m:r>
              <m:rPr>
                <m:sty m:val="i"/>
              </m:rPr>
              <m:t>d</m:t>
            </m:r>
          </m:sub>
        </m:sSub>
      </m:oMath>
      <w:r>
        <w:rPr>
          <w:rFonts w:eastAsia="Georgia" w:cs="Georgia" w:ascii="Georgia" w:hAnsi="Georgia"/>
        </w:rPr>
        <w:t xml:space="preserve"> sont les rendements par rapport à l'isentropique du compresseur et de la turbine pendant la phase de déstockage.</w:t>
      </w:r>
      <w:r>
        <w:rPr/>
        <w:br w:type="textWrapping"/>
      </w:r>
      <w:r>
        <w:rPr/>
        <w:t xml:space="preserve">Q 17. Montrer que </w:t>
      </w:r>
      <m:oMath>
        <m:sSub>
          <m:sSubPr/>
          <m:e>
            <m:r>
              <m:rPr>
                <m:sty m:val="i"/>
              </m:rPr>
              <m:t>T</m:t>
            </m:r>
          </m:e>
          <m:sub>
            <m:r>
              <m:rPr>
                <m:sty m:val="p"/>
              </m:rPr>
              <m:t>0</m:t>
            </m:r>
            <m:r>
              <m:rPr>
                <m:sty m:val="i"/>
              </m:rPr>
              <m:t>d</m:t>
            </m:r>
          </m:sub>
        </m:sSub>
        <m:r>
          <m:rPr>
            <m:sty m:val="p"/>
          </m:rPr>
          <m:t>⩾</m:t>
        </m:r>
        <m:sSub>
          <m:sSubPr/>
          <m:e>
            <m:r>
              <m:rPr>
                <m:sty m:val="i"/>
              </m:rPr>
              <m:t>T</m:t>
            </m:r>
          </m:e>
          <m:sub>
            <m:r>
              <m:rPr>
                <m:sty m:val="p"/>
              </m:rPr>
              <m:t>0</m:t>
            </m:r>
            <m:r>
              <m:rPr>
                <m:sty m:val="i"/>
              </m:rPr>
              <m:t>n</m:t>
            </m:r>
          </m:sub>
        </m:sSub>
      </m:oMath>
      <w:r>
        <w:rPr/>
        <w:t xml:space="preserve"> et que </w:t>
      </w:r>
      <m:oMath>
        <m:sSub>
          <m:sSubPr/>
          <m:e>
            <m:r>
              <m:rPr>
                <m:sty m:val="i"/>
              </m:rPr>
              <m:t>T</m:t>
            </m:r>
          </m:e>
          <m:sub>
            <m:r>
              <m:rPr>
                <m:sty m:val="p"/>
              </m:rPr>
              <m:t>2</m:t>
            </m:r>
            <m:r>
              <m:rPr>
                <m:sty m:val="i"/>
              </m:rPr>
              <m:t>d</m:t>
            </m:r>
          </m:sub>
        </m:sSub>
        <m:r>
          <m:rPr>
            <m:sty m:val="p"/>
          </m:rPr>
          <m:t>⩾</m:t>
        </m:r>
        <m:sSub>
          <m:sSubPr/>
          <m:e>
            <m:r>
              <m:rPr>
                <m:sty m:val="i"/>
              </m:rPr>
              <m:t>T</m:t>
            </m:r>
          </m:e>
          <m:sub>
            <m:r>
              <m:rPr>
                <m:sty m:val="p"/>
              </m:rPr>
              <m:t>2</m:t>
            </m:r>
            <m:r>
              <m:rPr>
                <m:sty m:val="i"/>
              </m:rPr>
              <m:t>n</m:t>
            </m:r>
          </m:sub>
        </m:sSub>
      </m:oMath>
      <w:r>
        <w:rPr/>
        <w:t xml:space="preserve">.</w:t>
      </w:r>
      <w:r>
        <w:rPr/>
        <w:br w:type="textWrapping"/>
      </w:r>
      <w:r>
        <w:rPr/>
        <w:t xml:space="preserve">Q 18. Dans quels cas aurait-on toujours </w:t>
      </w:r>
      <m:oMath>
        <m:sSub>
          <m:sSubPr/>
          <m:e>
            <m:r>
              <m:rPr>
                <m:sty m:val="i"/>
              </m:rPr>
              <m:t>T</m:t>
            </m:r>
          </m:e>
          <m:sub>
            <m:r>
              <m:rPr>
                <m:sty m:val="p"/>
              </m:rPr>
              <m:t>0</m:t>
            </m:r>
            <m:r>
              <m:rPr>
                <m:sty m:val="i"/>
              </m:rPr>
              <m:t>d</m:t>
            </m:r>
          </m:sub>
        </m:sSub>
        <m:r>
          <m:rPr>
            <m:sty m:val="p"/>
          </m:rPr>
          <m:t>=</m:t>
        </m:r>
        <m:sSub>
          <m:sSubPr/>
          <m:e>
            <m:r>
              <m:rPr>
                <m:sty m:val="i"/>
              </m:rPr>
              <m:t>T</m:t>
            </m:r>
          </m:e>
          <m:sub>
            <m:r>
              <m:rPr>
                <m:sty m:val="p"/>
              </m:rPr>
              <m:t>0</m:t>
            </m:r>
            <m:r>
              <m:rPr>
                <m:sty m:val="i"/>
              </m:rPr>
              <m:t>n</m:t>
            </m:r>
          </m:sub>
        </m:sSub>
      </m:oMath>
      <w:r>
        <w:rPr/>
        <w:t xml:space="preserve"> et </w:t>
      </w:r>
      <m:oMath>
        <m:sSub>
          <m:sSubPr/>
          <m:e>
            <m:r>
              <m:rPr>
                <m:sty m:val="i"/>
              </m:rPr>
              <m:t>T</m:t>
            </m:r>
          </m:e>
          <m:sub>
            <m:r>
              <m:rPr>
                <m:sty m:val="p"/>
              </m:rPr>
              <m:t>2</m:t>
            </m:r>
            <m:r>
              <m:rPr>
                <m:sty m:val="i"/>
              </m:rPr>
              <m:t>d</m:t>
            </m:r>
          </m:sub>
        </m:sSub>
        <m:r>
          <m:rPr>
            <m:sty m:val="p"/>
          </m:rPr>
          <m:t>=</m:t>
        </m:r>
        <m:sSub>
          <m:sSubPr/>
          <m:e>
            <m:r>
              <m:rPr>
                <m:sty m:val="i"/>
              </m:rPr>
              <m:t>T</m:t>
            </m:r>
          </m:e>
          <m:sub>
            <m:r>
              <m:rPr>
                <m:sty m:val="p"/>
              </m:rPr>
              <m:t>2</m:t>
            </m:r>
            <m:r>
              <m:rPr>
                <m:sty m:val="i"/>
              </m:rPr>
              <m:t>n</m:t>
            </m:r>
          </m:sub>
        </m:sSub>
      </m:oMath>
      <w:r>
        <w:rPr>
          <w:rFonts w:eastAsia="Georgia" w:cs="Georgia" w:ascii="Georgia" w:hAnsi="Georgia"/>
        </w:rPr>
        <w:t xml:space="preserve"> ? Cela est-il réaliste ?</w:t>
      </w:r>
      <w:r>
        <w:rPr/>
        <w:br w:type="textWrapping"/>
      </w:r>
      <w:r>
        <w:rPr>
          <w:rFonts w:eastAsia="Georgia" w:cs="Georgia" w:ascii="Georgia" w:hAnsi="Georgia"/>
        </w:rPr>
        <w:t xml:space="preserve">Q 19. À chaque cycle de déstockage, la température du gaz à la sortie des enceintes doit augmenter, ce qui échauffe le matériau des enceintes. Proposer une solution pour évacuer l'excédent d'énergie en ramenant la gaz à sa température nominale.</w:t>
      </w:r>
      <w:r>
        <w:rPr/>
        <w:br w:type="textWrapping"/>
      </w:r>
      <w:r>
        <w:rPr>
          <w:rFonts w:eastAsia="Georgia" w:cs="Georgia" w:ascii="Georgia" w:hAnsi="Georgia"/>
        </w:rPr>
        <w:t xml:space="preserve">Industriellement, afin de simplifier l'évacuation de l'excédent d'énergie, on impose généralement </w:t>
      </w:r>
      <m:oMath>
        <m:sSub>
          <m:sSubPr/>
          <m:e>
            <m:r>
              <m:rPr>
                <m:sty m:val="i"/>
              </m:rPr>
              <m:t>T</m:t>
            </m:r>
          </m:e>
          <m:sub>
            <m:r>
              <m:rPr>
                <m:sty m:val="p"/>
              </m:rPr>
              <m:t>2</m:t>
            </m:r>
            <m:r>
              <m:rPr>
                <m:sty m:val="i"/>
              </m:rPr>
              <m:t>d</m:t>
            </m:r>
          </m:sub>
        </m:sSub>
        <m:r>
          <m:rPr>
            <m:sty m:val="p"/>
          </m:rPr>
          <m:t>=</m:t>
        </m:r>
        <m:sSub>
          <m:sSubPr/>
          <m:e>
            <m:r>
              <m:rPr>
                <m:sty m:val="i"/>
              </m:rPr>
              <m:t>T</m:t>
            </m:r>
          </m:e>
          <m:sub>
            <m:r>
              <m:rPr>
                <m:sty m:val="p"/>
              </m:rPr>
              <m:t>2</m:t>
            </m:r>
            <m:r>
              <m:rPr>
                <m:sty m:val="i"/>
              </m:rPr>
              <m:t>n</m:t>
            </m:r>
          </m:sub>
        </m:sSub>
      </m:oMath>
      <w:r>
        <w:rPr/>
        <w:t xml:space="preserve">.</w:t>
      </w:r>
      <w:r>
        <w:rPr/>
        <w:br w:type="textWrapping"/>
      </w:r>
      <w:r>
        <w:rPr>
          <w:rFonts w:eastAsia="Georgia" w:cs="Georgia" w:ascii="Georgia" w:hAnsi="Georgia"/>
        </w:rPr>
        <w:t xml:space="preserve">Q 20. Montrer qu'il y a nécessité d'avoir un rapport de pression isentropique en stockage </w:t>
      </w:r>
      <m:oMath>
        <m:r>
          <m:rPr>
            <m:sty m:val="p"/>
          </m:rPr>
          <m:t>Ψ</m:t>
        </m:r>
      </m:oMath>
      <w:r>
        <w:rPr>
          <w:rFonts w:eastAsia="Georgia" w:cs="Georgia" w:ascii="Georgia" w:hAnsi="Georgia"/>
        </w:rPr>
        <w:t xml:space="preserve"> différent de celui en déstockage </w:t>
      </w:r>
      <m:oMath>
        <m:sSub>
          <m:sSubPr/>
          <m:e>
            <m:r>
              <m:rPr>
                <m:sty m:val="p"/>
              </m:rPr>
              <m:t>Ψ</m:t>
            </m:r>
          </m:e>
          <m:sub>
            <m:r>
              <m:rPr>
                <m:sty m:val="i"/>
              </m:rPr>
              <m:t>d</m:t>
            </m:r>
          </m:sub>
        </m:sSub>
      </m:oMath>
      <w:r>
        <w:rPr>
          <w:rFonts w:eastAsia="Georgia" w:cs="Georgia" w:ascii="Georgia" w:hAnsi="Georgia"/>
        </w:rPr>
        <w:t xml:space="preserve"> et donc d'utiliser deux paires de turbomachines (compresseur et turbine) différentes.</w:t>
      </w:r>
    </w:p>
    <w:p>
      <w:pPr>
        <w:spacing w:lineRule="auto"/>
        <w:jc w:val="center"/>
      </w:pPr>
      <w:r>
        <w:rPr/>
        <w:drawing>
          <wp:inline distB="0" distL="0" distR="0" distT="0">
            <wp:extent cx="5486400" cy="3965596"/>
            <wp:effectExtent b="0" l="0" r="0" t="0"/>
            <wp:docPr id="6" name="image-a39290a8d5d926fefbaeb0ddd407ef7a7d5dd535.jpg"/>
            <a:graphic>
              <a:graphicData uri="http://schemas.openxmlformats.org/drawingml/2006/picture">
                <pic:pic>
                  <pic:nvPicPr>
                    <pic:cNvPr id="6" name="image-a39290a8d5d926fefbaeb0ddd407ef7a7d5dd535.jpg" descr=""/>
                    <pic:cNvPicPr/>
                  </pic:nvPicPr>
                  <pic:blipFill>
                    <a:blip r:embed="rId10" cstate="print"/>
                    <a:srcRect b="0" l="0" r="0" t="0"/>
                    <a:stretch>
                      <a:fillRect/>
                    </a:stretch>
                  </pic:blipFill>
                  <pic:spPr>
                    <a:xfrm>
                      <a:off x="0" y="0"/>
                      <a:ext cx="5486400" cy="3965596"/>
                    </a:xfrm>
                    <a:prstGeom prst="rect"/>
                  </pic:spPr>
                </pic:pic>
              </a:graphicData>
            </a:graphic>
          </wp:inline>
        </w:drawing>
      </w:r>
    </w:p>
    <w:p>
      <w:pPr>
        <w:spacing w:lineRule="auto"/>
      </w:pPr>
      <w:r>
        <w:rPr/>
        <w:t xml:space="preserve">Figure 6</w:t>
      </w:r>
    </w:p>
    <w:p>
      <w:pPr>
        <w:spacing w:after="220" w:lineRule="auto"/>
      </w:pPr>
      <w:r>
        <w:rPr/>
        <w:t xml:space="preserve">Q 21. Exprimer </w:t>
      </w:r>
      <m:oMath>
        <m:sSub>
          <m:sSubPr/>
          <m:e>
            <m:r>
              <m:rPr>
                <m:sty m:val="p"/>
              </m:rPr>
              <m:t>Ψ</m:t>
            </m:r>
          </m:e>
          <m:sub>
            <m:r>
              <m:rPr>
                <m:sty m:val="i"/>
              </m:rPr>
              <m:t>d</m:t>
            </m:r>
          </m:sub>
        </m:sSub>
      </m:oMath>
      <w:r>
        <w:rPr/>
        <w:t xml:space="preserve"> en fonction des rendements </w:t>
      </w:r>
      <m:oMath>
        <m:sSub>
          <m:sSubPr/>
          <m:e>
            <m:r>
              <m:rPr>
                <m:sty m:val="i"/>
              </m:rPr>
              <m:t>η</m:t>
            </m:r>
          </m:e>
          <m:sub>
            <m:r>
              <m:rPr>
                <m:sty m:val="i"/>
              </m:rPr>
              <m:t>c</m:t>
            </m:r>
            <m:r>
              <m:rPr>
                <m:sty m:val="i"/>
              </m:rPr>
              <m:t>s</m:t>
            </m:r>
          </m:sub>
        </m:sSub>
      </m:oMath>
      <w:r>
        <w:rPr/>
        <w:t xml:space="preserve"> et </w:t>
      </w:r>
      <m:oMath>
        <m:sSub>
          <m:sSubPr/>
          <m:e>
            <m:r>
              <m:rPr>
                <m:sty m:val="i"/>
              </m:rPr>
              <m:t>η</m:t>
            </m:r>
          </m:e>
          <m:sub>
            <m:r>
              <m:rPr>
                <m:sty m:val="i"/>
              </m:rPr>
              <m:t>t</m:t>
            </m:r>
            <m:r>
              <m:rPr>
                <m:sty m:val="i"/>
              </m:rPr>
              <m:t>d</m:t>
            </m:r>
          </m:sub>
        </m:sSub>
      </m:oMath>
      <w:r>
        <w:rPr/>
        <w:t xml:space="preserve"> et de </w:t>
      </w:r>
      <m:oMath>
        <m:r>
          <m:rPr>
            <m:sty m:val="p"/>
          </m:rPr>
          <m:t>Ψ</m:t>
        </m:r>
      </m:oMath>
      <w:r>
        <w:rPr>
          <w:rFonts w:eastAsia="Georgia" w:cs="Georgia" w:ascii="Georgia" w:hAnsi="Georgia"/>
        </w:rPr>
        <w:t xml:space="preserve">. Vérifier le résultat obtenu sur un cas limite.</w:t>
      </w:r>
      <w:r>
        <w:rPr/>
        <w:br w:type="textWrapping"/>
      </w:r>
      <w:r>
        <w:rPr>
          <w:rFonts w:eastAsia="Georgia" w:cs="Georgia" w:ascii="Georgia" w:hAnsi="Georgia"/>
        </w:rPr>
        <w:t xml:space="preserve">Q 22. Comparer les rapports de pression au déstockage et au stockage.</w:t>
      </w:r>
      <w:r>
        <w:rPr/>
        <w:br w:type="textWrapping"/>
      </w:r>
      <w:r>
        <w:rPr>
          <w:rFonts w:eastAsia="Georgia" w:cs="Georgia" w:ascii="Georgia" w:hAnsi="Georgia"/>
        </w:rPr>
        <w:t xml:space="preserve">Q 23. Par la même méthode qu'à la question 10 , exprimer </w:t>
      </w:r>
      <m:oMath>
        <m:sSub>
          <m:sSubPr/>
          <m:e>
            <m:r>
              <m:rPr>
                <m:sty m:val="i"/>
              </m:rPr>
              <m:t>e</m:t>
            </m:r>
          </m:e>
          <m:sub>
            <m:r>
              <m:rPr>
                <m:sty m:val="i"/>
              </m:rPr>
              <m:t>d</m:t>
            </m:r>
          </m:sub>
        </m:sSub>
      </m:oMath>
      <w:r>
        <w:rPr>
          <w:rFonts w:eastAsia="Georgia" w:cs="Georgia" w:ascii="Georgia" w:hAnsi="Georgia"/>
        </w:rPr>
        <w:t xml:space="preserve">, énergie massique mise en jeu lors du déstockage. Le rendement théorique du procédé SEPT est défini par </w:t>
      </w:r>
      <m:oMath>
        <m:r>
          <m:rPr>
            <m:sty m:val="p"/>
          </m:rPr>
          <m:t>Γ</m:t>
        </m:r>
        <m:r>
          <m:rPr>
            <m:sty m:val="p"/>
          </m:rPr>
          <m:t>=</m:t>
        </m:r>
        <m:f>
          <m:fPr>
            <m:ctrlPr>
              <w:rPr>
                <w:rFonts w:ascii="Cambria Math" w:hAnsi="Cambria Math"/>
              </w:rPr>
            </m:ctrlPr>
          </m:fPr>
          <m:num>
            <m:r>
              <m:rPr>
                <m:sty m:val="p"/>
              </m:rPr>
              <m:t>−</m:t>
            </m:r>
            <m:sSub>
              <m:sSubPr/>
              <m:e>
                <m:r>
                  <m:rPr>
                    <m:sty m:val="i"/>
                  </m:rPr>
                  <m:t>e</m:t>
                </m:r>
              </m:e>
              <m:sub>
                <m:r>
                  <m:rPr>
                    <m:sty m:val="i"/>
                  </m:rPr>
                  <m:t>d</m:t>
                </m:r>
              </m:sub>
            </m:sSub>
          </m:num>
          <m:den>
            <m:sSub>
              <m:sSubPr/>
              <m:e>
                <m:r>
                  <m:rPr>
                    <m:sty m:val="i"/>
                  </m:rPr>
                  <m:t>e</m:t>
                </m:r>
              </m:e>
              <m:sub>
                <m:r>
                  <m:rPr>
                    <m:sty m:val="i"/>
                  </m:rPr>
                  <m:t>s</m:t>
                </m:r>
              </m:sub>
            </m:sSub>
          </m:den>
        </m:f>
      </m:oMath>
      <w:r>
        <w:rPr/>
        <w:t xml:space="preserve">.</w:t>
      </w:r>
      <w:r>
        <w:rPr/>
        <w:br w:type="textWrapping"/>
      </w:r>
      <w:r>
        <w:rPr>
          <w:rFonts w:eastAsia="Georgia" w:cs="Georgia" w:ascii="Georgia" w:hAnsi="Georgia"/>
        </w:rPr>
        <w:t xml:space="preserve">La température </w:t>
      </w:r>
      <m:oMath>
        <m:sSub>
          <m:sSubPr/>
          <m:e>
            <m:r>
              <m:rPr>
                <m:sty m:val="i"/>
              </m:rPr>
              <m:t>T</m:t>
            </m:r>
          </m:e>
          <m:sub>
            <m:r>
              <m:rPr>
                <m:sty m:val="p"/>
              </m:rPr>
              <m:t>1</m:t>
            </m:r>
          </m:sub>
        </m:sSub>
      </m:oMath>
      <w:r>
        <w:rPr>
          <w:rFonts w:eastAsia="Georgia" w:cs="Georgia" w:ascii="Georgia" w:hAnsi="Georgia"/>
        </w:rPr>
        <w:t xml:space="preserve"> étant limitée par la température maximum que peut supporter la turbomachine pour laquelle le fluide évolue entre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il est intéressant d'étudier le rendement théorique en fonction de celle-ci. La figure 7 représente les tracés du rendement théorique du procédé SEPT en fonction de </w:t>
      </w:r>
      <m:oMath>
        <m:sSub>
          <m:sSubPr/>
          <m:e>
            <m:r>
              <m:rPr>
                <m:sty m:val="i"/>
              </m:rPr>
              <m:t>T</m:t>
            </m:r>
          </m:e>
          <m:sub>
            <m:r>
              <m:rPr>
                <m:sty m:val="p"/>
              </m:rPr>
              <m:t>1</m:t>
            </m:r>
          </m:sub>
        </m:sSub>
      </m:oMath>
      <w:r>
        <w:rPr>
          <w:rFonts w:eastAsia="Georgia" w:cs="Georgia" w:ascii="Georgia" w:hAnsi="Georgia"/>
        </w:rPr>
        <w:t xml:space="preserve"> pour différentes valeurs de </w:t>
      </w:r>
      <m:oMath>
        <m:r>
          <m:rPr>
            <m:sty m:val="i"/>
          </m:rPr>
          <m:t>η</m:t>
        </m:r>
      </m:oMath>
      <w:r>
        <w:rPr>
          <w:rFonts w:eastAsia="Georgia" w:cs="Georgia" w:ascii="Georgia" w:hAnsi="Georgia"/>
        </w:rPr>
        <w:t xml:space="preserve">, rendement isentropique supposé égal pour les quatre machines et pour </w:t>
      </w:r>
      <m:oMath>
        <m:sSub>
          <m:sSubPr/>
          <m:e>
            <m:r>
              <m:rPr>
                <m:sty m:val="i"/>
              </m:rPr>
              <m:t>T</m:t>
            </m:r>
          </m:e>
          <m:sub>
            <m:r>
              <m:rPr>
                <m:sty m:val="p"/>
              </m:rPr>
              <m:t>0</m:t>
            </m:r>
            <m:r>
              <m:rPr>
                <m:sty m:val="i"/>
              </m:rPr>
              <m:t>n</m:t>
            </m:r>
          </m:sub>
        </m:sSub>
        <m:r>
          <m:rPr>
            <m:sty m:val="p"/>
          </m:rPr>
          <m:t>=</m:t>
        </m:r>
        <m:r>
          <m:rPr>
            <m:sty m:val="p"/>
          </m:rPr>
          <m:t>300</m:t>
        </m:r>
        <m:r>
          <m:rPr>
            <m:nor/>
          </m:rPr>
          <m:t xml:space="preserve"> </m:t>
        </m:r>
        <m:r>
          <m:rPr>
            <m:sty m:val="p"/>
          </m:rPr>
          <m:t>K</m:t>
        </m:r>
      </m:oMath>
      <w:r>
        <w:rPr/>
        <w:t xml:space="preserve"> et </w:t>
      </w:r>
      <m:oMath>
        <m:r>
          <m:rPr>
            <m:sty m:val="p"/>
          </m:rPr>
          <m:t>Ψ</m:t>
        </m:r>
        <m:r>
          <m:rPr>
            <m:sty m:val="p"/>
          </m:rPr>
          <m:t>=</m:t>
        </m:r>
        <m:r>
          <m:rPr>
            <m:sty m:val="p"/>
          </m:rPr>
          <m:t>1</m:t>
        </m:r>
        <m:r>
          <m:rPr>
            <m:sty m:val="p"/>
          </m:rPr>
          <m:t>,</m:t>
        </m:r>
        <m:r>
          <m:rPr>
            <m:sty m:val="p"/>
          </m:rPr>
          <m:t>55</m:t>
        </m:r>
      </m:oMath>
      <w:r>
        <w:rPr/>
        <w:t xml:space="preserve">.</w:t>
      </w:r>
    </w:p>
    <w:p>
      <w:pPr>
        <w:spacing w:lineRule="auto"/>
        <w:jc w:val="center"/>
      </w:pPr>
      <w:r>
        <w:rPr/>
        <w:drawing>
          <wp:inline distB="0" distL="0" distR="0" distT="0">
            <wp:extent cx="5486400" cy="2856712"/>
            <wp:effectExtent b="0" l="0" r="0" t="0"/>
            <wp:docPr id="7" name="image-a8bc91e51f1a6a8967715ecadf1a094677715e33.jpg"/>
            <a:graphic>
              <a:graphicData uri="http://schemas.openxmlformats.org/drawingml/2006/picture">
                <pic:pic>
                  <pic:nvPicPr>
                    <pic:cNvPr id="7" name="image-a8bc91e51f1a6a8967715ecadf1a094677715e33.jpg" descr=""/>
                    <pic:cNvPicPr/>
                  </pic:nvPicPr>
                  <pic:blipFill>
                    <a:blip r:embed="rId11" cstate="print"/>
                    <a:srcRect b="0" l="0" r="0" t="0"/>
                    <a:stretch>
                      <a:fillRect/>
                    </a:stretch>
                  </pic:blipFill>
                  <pic:spPr>
                    <a:xfrm>
                      <a:off x="0" y="0"/>
                      <a:ext cx="5486400" cy="2856712"/>
                    </a:xfrm>
                    <a:prstGeom prst="rect"/>
                  </pic:spPr>
                </pic:pic>
              </a:graphicData>
            </a:graphic>
          </wp:inline>
        </w:drawing>
      </w:r>
    </w:p>
    <w:p>
      <w:pPr>
        <w:spacing w:lineRule="auto"/>
      </w:pPr>
      <w:r>
        <w:rPr/>
        <w:t xml:space="preserve">Figure 7</w:t>
      </w:r>
    </w:p>
    <w:p>
      <w:pPr>
        <w:spacing w:after="220" w:lineRule="auto"/>
      </w:pPr>
      <w:r>
        <w:rPr>
          <w:rFonts w:eastAsia="Georgia" w:cs="Georgia" w:ascii="Georgia" w:hAnsi="Georgia"/>
        </w:rPr>
        <w:t xml:space="preserve">Q 24. À quelles conditions peut-on obtenir un rendement théorique de </w:t>
      </w:r>
      <m:oMath>
        <m:r>
          <m:rPr>
            <m:sty m:val="p"/>
          </m:rPr>
          <m:t>90</m:t>
        </m:r>
        <m:r>
          <m:rPr>
            <m:sty m:val="p"/>
          </m:rPr>
          <m:t>%</m:t>
        </m:r>
      </m:oMath>
      <w:r>
        <w:rPr>
          <w:rFonts w:eastAsia="Georgia" w:cs="Georgia" w:ascii="Georgia" w:hAnsi="Georgia"/>
        </w:rPr>
        <w:t xml:space="preserve"> en supposant que la turbomachine chaude ne peut pas dépasser </w:t>
      </w:r>
      <m:oMath>
        <m:sSup>
          <m:sSupPr/>
          <m:e>
            <m:r>
              <m:rPr>
                <m:sty m:val="p"/>
              </m:rPr>
              <m:t>1000</m:t>
            </m:r>
          </m:e>
          <m:sup>
            <m:r>
              <m:rPr>
                <m:sty m:val="p"/>
              </m:rPr>
              <m:t>∘</m:t>
            </m:r>
          </m:sup>
        </m:sSup>
        <m:r>
          <m:rPr>
            <m:sty m:val="p"/>
          </m:rPr>
          <m:t>C</m:t>
        </m:r>
      </m:oMath>
      <w:r>
        <w:rPr/>
        <w:t xml:space="preserve"> ?</w:t>
      </w:r>
      <w:r>
        <w:rPr/>
        <w:br w:type="textWrapping"/>
      </w:r>
      <w:r>
        <w:rPr>
          <w:rFonts w:eastAsia="Georgia" w:cs="Georgia" w:ascii="Georgia" w:hAnsi="Georgia"/>
        </w:rPr>
        <w:t xml:space="preserve">Q 25. Montrer que le choix des turbomachines nécessite un compromis entre rendement isentropique et résistance aux températures élevées.</w:t>
      </w:r>
      <w:r>
        <w:rPr/>
        <w:br w:type="textWrapping"/>
      </w:r>
      <w:r>
        <w:rPr>
          <w:rFonts w:eastAsia="Georgia" w:cs="Georgia" w:ascii="Georgia" w:hAnsi="Georgia"/>
        </w:rPr>
        <w:t xml:space="preserve">Q 26. Le rendement théorique étudié précédemment correspond à la limite supérieure du rendement réel puisqu'il ne prend en compte que les pertes liées aux irréversibilités des turbomachines. Citer d'autres facteurs susceptibles d'expliquer la différence entre le rendement réel et le rendement théorique.</w:t>
      </w:r>
    </w:p>
    <w:p>
      <w:pPr>
        <w:spacing w:line="271" w:before="330" w:lineRule="auto"/>
      </w:pPr>
      <w:r>
        <w:rPr>
          <w:rFonts w:eastAsia="Georgia" w:cs="Georgia" w:ascii="Georgia" w:hAnsi="Georgia"/>
          <w:b/>
          <w:sz w:val="42"/>
        </w:rPr>
        <w:t xml:space="preserve">II Analyse de quelques caractéristiques des régénérateurs</w:t>
      </w:r>
    </w:p>
    <w:p>
      <w:pPr>
        <w:spacing w:after="220" w:lineRule="auto"/>
      </w:pPr>
      <w:r>
        <w:rPr>
          <w:rFonts w:eastAsia="Georgia" w:cs="Georgia" w:ascii="Georgia" w:hAnsi="Georgia"/>
        </w:rPr>
        <w:t xml:space="preserve">Le régénérateur est un dispositif de stockage d'énergie thermique et son fonctionnement comprend deux périodes. Pendant la période «chaude», le gaz chaud circule et se refroidit au contact des parois solides ce qui correspond à un stockage de chaleur. Pendant la période «froide», le gaz froid circule et se réchauffe ce qui permet la récupération de la chaleur stockée.</w:t>
      </w:r>
    </w:p>
    <w:p>
      <w:pPr>
        <w:spacing w:line="271" w:before="330" w:lineRule="auto"/>
      </w:pPr>
      <w:r>
        <w:rPr>
          <w:rFonts w:eastAsia="Georgia" w:cs="Georgia" w:ascii="Georgia" w:hAnsi="Georgia"/>
          <w:b/>
          <w:sz w:val="42"/>
        </w:rPr>
        <w:t xml:space="preserve">II.A - Influence de la porosité du milieu</w:t>
      </w:r>
    </w:p>
    <w:p>
      <w:pPr>
        <w:spacing w:after="220" w:lineRule="auto"/>
      </w:pPr>
      <w:r>
        <w:rPr>
          <w:rFonts w:eastAsia="Georgia" w:cs="Georgia" w:ascii="Georgia" w:hAnsi="Georgia"/>
        </w:rPr>
        <w:t xml:space="preserve">La porosité </w:t>
      </w:r>
      <m:oMath>
        <m:r>
          <m:rPr>
            <m:sty m:val="i"/>
          </m:rPr>
          <m:t>ε</m:t>
        </m:r>
      </m:oMath>
      <w:r>
        <w:rPr>
          <w:rFonts w:eastAsia="Georgia" w:cs="Georgia" w:ascii="Georgia" w:hAnsi="Georgia"/>
        </w:rPr>
        <w:t xml:space="preserve"> est le rapport du volume occupé par le fluide sur le volume total de l'enceinte solide. On peut montrer que l'efficacité du stockage thermique augmente avec la porosité du régénérateur jusqu'à une valeur de porosité de l'ordre de </w:t>
      </w:r>
      <m:oMath>
        <m:r>
          <m:rPr>
            <m:sty m:val="p"/>
          </m:rPr>
          <m:t>50</m:t>
        </m:r>
        <m:r>
          <m:rPr>
            <m:sty m:val="p"/>
          </m:rPr>
          <m:t>%</m:t>
        </m:r>
      </m:oMath>
      <w:r>
        <w:rPr>
          <w:rFonts w:eastAsia="Georgia" w:cs="Georgia" w:ascii="Georgia" w:hAnsi="Georgia"/>
        </w:rPr>
        <w:t xml:space="preserve"> qui correspond à un optimum.</w:t>
      </w:r>
      <w:r>
        <w:rPr/>
        <w:br w:type="textWrapping"/>
      </w:r>
      <w:r>
        <w:rPr>
          <w:rFonts w:eastAsia="Georgia" w:cs="Georgia" w:ascii="Georgia" w:hAnsi="Georgia"/>
        </w:rPr>
        <w:t xml:space="preserve">On s'intéresse à un régénérateur solide à milieu granulaire que nous modéliserons de manière simplifiée comme un empilement de sphères identiques. On considère deux modes d'empilement : cubique et cubique à faces centrées (figure 8).</w:t>
      </w:r>
    </w:p>
    <w:p>
      <w:pPr>
        <w:spacing w:lineRule="auto"/>
        <w:jc w:val="center"/>
      </w:pPr>
      <w:r>
        <w:rPr/>
        <w:drawing>
          <wp:inline distB="0" distL="0" distR="0" distT="0">
            <wp:extent cx="5486400" cy="3918857"/>
            <wp:effectExtent b="0" l="0" r="0" t="0"/>
            <wp:docPr id="8" name="image-87db8283aeb79973a9a841893bb08dfe9fb625cb.jpg"/>
            <a:graphic>
              <a:graphicData uri="http://schemas.openxmlformats.org/drawingml/2006/picture">
                <pic:pic>
                  <pic:nvPicPr>
                    <pic:cNvPr id="8" name="image-87db8283aeb79973a9a841893bb08dfe9fb625cb.jpg" descr=""/>
                    <pic:cNvPicPr/>
                  </pic:nvPicPr>
                  <pic:blipFill>
                    <a:blip r:embed="rId12" cstate="print"/>
                    <a:srcRect b="0" l="0" r="0" t="0"/>
                    <a:stretch>
                      <a:fillRect/>
                    </a:stretch>
                  </pic:blipFill>
                  <pic:spPr>
                    <a:xfrm>
                      <a:off x="0" y="0"/>
                      <a:ext cx="5486400" cy="3918857"/>
                    </a:xfrm>
                    <a:prstGeom prst="rect"/>
                  </pic:spPr>
                </pic:pic>
              </a:graphicData>
            </a:graphic>
          </wp:inline>
        </w:drawing>
      </w:r>
    </w:p>
    <w:p>
      <w:pPr>
        <w:spacing w:lineRule="auto"/>
      </w:pPr>
      <w:r>
        <w:rPr/>
        <w:t xml:space="preserve">Figure 8</w:t>
      </w:r>
    </w:p>
    <w:p>
      <w:pPr>
        <w:spacing w:after="220" w:lineRule="auto"/>
      </w:pPr>
      <w:r>
        <w:rPr>
          <w:rFonts w:eastAsia="Georgia" w:cs="Georgia" w:ascii="Georgia" w:hAnsi="Georgia"/>
        </w:rPr>
        <w:t xml:space="preserve">Q 27. Exprimer puis calculer la porosité théorique de chaque structure. Pourquoi dit-on que l'empilement cubique à faces centrées est un empilement compact ?</w:t>
      </w:r>
      <w:r>
        <w:rPr/>
        <w:br w:type="textWrapping"/>
      </w:r>
      <w:r>
        <w:rPr>
          <w:rFonts w:eastAsia="Georgia" w:cs="Georgia" w:ascii="Georgia" w:hAnsi="Georgia"/>
        </w:rPr>
        <w:t xml:space="preserve">Q 28. Quel mode d'empilement serait le mieux adapté au remplissage d'un régénérateur?</w:t>
      </w:r>
      <w:r>
        <w:rPr/>
        <w:br w:type="textWrapping"/>
      </w:r>
      <w:r>
        <w:rPr>
          <w:rFonts w:eastAsia="Georgia" w:cs="Georgia" w:ascii="Georgia" w:hAnsi="Georgia"/>
        </w:rPr>
        <w:t xml:space="preserve">En réalité, lorsque les sphères sont empilées dans l'enceinte sans précautions particulières, il n'apparait aucune périodicité, l'empilement est aléatoire et la porosité est comprise entre 0,36 et 0,40 .</w:t>
      </w:r>
    </w:p>
    <w:p>
      <w:pPr>
        <w:spacing w:line="271" w:before="330" w:lineRule="auto"/>
      </w:pPr>
      <w:r>
        <w:rPr>
          <w:rFonts w:eastAsia="Georgia" w:cs="Georgia" w:ascii="Georgia" w:hAnsi="Georgia"/>
          <w:b/>
          <w:sz w:val="42"/>
        </w:rPr>
        <w:t xml:space="preserve">II.B - Influence d'autres paramètres</w:t>
      </w:r>
    </w:p>
    <w:p>
      <w:pPr>
        <w:spacing w:line="271" w:before="330" w:lineRule="auto"/>
      </w:pPr>
      <w:r>
        <w:rPr>
          <w:rFonts w:eastAsia="Georgia" w:cs="Georgia" w:ascii="Georgia" w:hAnsi="Georgia"/>
          <w:b/>
          <w:sz w:val="42"/>
        </w:rPr>
        <w:t xml:space="preserve">II.B.1) Fronts thermiques et influence du coefficients d'échange</w:t>
      </w:r>
    </w:p>
    <w:p>
      <w:pPr>
        <w:spacing w:after="220" w:lineRule="auto"/>
      </w:pPr>
      <w:r>
        <w:rPr>
          <w:rFonts w:eastAsia="Georgia" w:cs="Georgia" w:ascii="Georgia" w:hAnsi="Georgia"/>
        </w:rPr>
        <w:t xml:space="preserve">La partie I a étudié le régime établi de l'installation, mais celle-ci a besoin d'un certain nombre de cycles de stockage et de déstockage «transitoires» avant d'atteindre un régime périodique stabilisé (figure 10).</w:t>
      </w:r>
      <w:r>
        <w:rPr/>
        <w:br w:type="textWrapping"/>
      </w:r>
      <w:r>
        <w:rPr>
          <w:rFonts w:eastAsia="Georgia" w:cs="Georgia" w:ascii="Georgia" w:hAnsi="Georgia"/>
        </w:rPr>
        <w:t xml:space="preserve">En effet, en mode stockage, l'enceinte H , initialement à la température uniforme </w:t>
      </w:r>
      <m:oMath>
        <m:sSub>
          <m:sSubPr/>
          <m:e>
            <m:r>
              <m:rPr>
                <m:sty m:val="i"/>
              </m:rPr>
              <m:t>T</m:t>
            </m:r>
          </m:e>
          <m:sub>
            <m:r>
              <m:rPr>
                <m:sty m:val="p"/>
              </m:rPr>
              <m:t>0</m:t>
            </m:r>
          </m:sub>
        </m:sSub>
      </m:oMath>
      <w:r>
        <w:rPr>
          <w:rFonts w:eastAsia="Georgia" w:cs="Georgia" w:ascii="Georgia" w:hAnsi="Georgia"/>
        </w:rPr>
        <w:t xml:space="preserve">, est alimentée en gaz chaud à </w:t>
      </w:r>
      <m:oMath>
        <m:sSub>
          <m:sSubPr/>
          <m:e>
            <m:r>
              <m:rPr>
                <m:sty m:val="i"/>
              </m:rPr>
              <m:t>T</m:t>
            </m:r>
          </m:e>
          <m:sub>
            <m:r>
              <m:rPr>
                <m:sty m:val="p"/>
              </m:rPr>
              <m:t>1</m:t>
            </m:r>
          </m:sub>
        </m:sSub>
      </m:oMath>
      <w:r>
        <w:rPr>
          <w:rFonts w:eastAsia="Georgia" w:cs="Georgia" w:ascii="Georgia" w:hAnsi="Georgia"/>
        </w:rPr>
        <w:t xml:space="preserve"> par le haut et se réchauffe progressivement du haut vers le bas. Une zone de transition existe, se traduisant par une variation progressive de </w:t>
      </w:r>
      <m:oMath>
        <m:sSub>
          <m:sSubPr/>
          <m:e>
            <m:r>
              <m:rPr>
                <m:sty m:val="i"/>
              </m:rPr>
              <m:t>T</m:t>
            </m:r>
          </m:e>
          <m:sub>
            <m:r>
              <m:rPr>
                <m:sty m:val="p"/>
              </m:rPr>
              <m:t>1</m:t>
            </m:r>
          </m:sub>
        </m:sSub>
      </m:oMath>
      <w:r>
        <w:rPr>
          <w:rFonts w:eastAsia="Georgia" w:cs="Georgia" w:ascii="Georgia" w:hAnsi="Georgia"/>
        </w:rPr>
        <w:t xml:space="preserve"> à </w:t>
      </w:r>
      <m:oMath>
        <m:sSub>
          <m:sSubPr/>
          <m:e>
            <m:r>
              <m:rPr>
                <m:sty m:val="i"/>
              </m:rPr>
              <m:t>T</m:t>
            </m:r>
          </m:e>
          <m:sub>
            <m:r>
              <m:rPr>
                <m:sty m:val="p"/>
              </m:rPr>
              <m:t>0</m:t>
            </m:r>
          </m:sub>
        </m:sSub>
      </m:oMath>
      <w:r>
        <w:rPr>
          <w:rFonts w:eastAsia="Georgia" w:cs="Georgia" w:ascii="Georgia" w:hAnsi="Georgia"/>
        </w:rPr>
        <w:t xml:space="preserve">. Cette zone est appelée «front thermique » (figure 9).</w:t>
      </w:r>
      <w:r>
        <w:rPr/>
        <w:br w:type="textWrapping"/>
      </w:r>
      <w:r>
        <w:rPr>
          <w:rFonts w:eastAsia="Georgia" w:cs="Georgia" w:ascii="Georgia" w:hAnsi="Georgia"/>
        </w:rPr>
        <w:t xml:space="preserve">Un modèle développé par T.E.W. Schumann permet d'obtenir les profils de température à l'intérieur de l'enceinte. Les courbes de la figure 11 donnent les températures du fluide et du solide granulaire en fonction de </w:t>
      </w:r>
      <m:oMath>
        <m:r>
          <m:rPr>
            <m:sty m:val="i"/>
          </m:rPr>
          <m:t>z</m:t>
        </m:r>
      </m:oMath>
      <w:r>
        <w:rPr>
          <w:rFonts w:eastAsia="Georgia" w:cs="Georgia" w:ascii="Georgia" w:hAnsi="Georgia"/>
        </w:rPr>
        <w:t xml:space="preserve">, position verticale dans l'enceinte, à différents instants et pour deux valeurs du coefficient conducto-convectif </w:t>
      </w:r>
      <m:oMath>
        <m:r>
          <m:rPr>
            <m:sty m:val="i"/>
          </m:rPr>
          <m:t>h</m:t>
        </m:r>
      </m:oMath>
      <w:r>
        <w:rPr/>
        <w:t xml:space="preserve"> entre ces deux milieux.</w:t>
      </w:r>
    </w:p>
    <w:p>
      <w:pPr>
        <w:spacing w:lineRule="auto"/>
        <w:jc w:val="center"/>
      </w:pPr>
      <w:r>
        <w:rPr/>
        <w:drawing>
          <wp:inline distB="0" distL="0" distR="0" distT="0">
            <wp:extent cx="4657725" cy="4762500"/>
            <wp:effectExtent b="0" l="0" r="0" t="0"/>
            <wp:docPr id="9" name="image-d8020a98177f0b6ee2b3841d7fc0a1685e1b0ced.jpg"/>
            <a:graphic>
              <a:graphicData uri="http://schemas.openxmlformats.org/drawingml/2006/picture">
                <pic:pic>
                  <pic:nvPicPr>
                    <pic:cNvPr id="9" name="image-d8020a98177f0b6ee2b3841d7fc0a1685e1b0ced.jpg" descr=""/>
                    <pic:cNvPicPr/>
                  </pic:nvPicPr>
                  <pic:blipFill>
                    <a:blip r:embed="rId13" cstate="print"/>
                    <a:srcRect b="0" l="0" r="0" t="0"/>
                    <a:stretch>
                      <a:fillRect/>
                    </a:stretch>
                  </pic:blipFill>
                  <pic:spPr>
                    <a:xfrm>
                      <a:off x="0" y="0"/>
                      <a:ext cx="4657725" cy="4762500"/>
                    </a:xfrm>
                    <a:prstGeom prst="rect"/>
                  </pic:spPr>
                </pic:pic>
              </a:graphicData>
            </a:graphic>
          </wp:inline>
        </w:drawing>
      </w:r>
    </w:p>
    <w:p>
      <w:pPr>
        <w:spacing w:lineRule="auto"/>
      </w:pPr>
      <w:r>
        <w:rPr/>
        <w:t xml:space="preserve">Figure 9</w:t>
      </w:r>
    </w:p>
    <w:p>
      <w:pPr>
        <w:spacing w:after="220" w:lineRule="auto"/>
      </w:pPr>
      <w:r>
        <w:rPr>
          <w:rFonts w:eastAsia="Georgia" w:cs="Georgia" w:ascii="Georgia" w:hAnsi="Georgia"/>
        </w:rPr>
        <w:t xml:space="preserve">Q 29. D'après les courbes de la figure 11, comment varie la différence de température entre le fluide et le solide avec </w:t>
      </w:r>
      <m:oMath>
        <m:r>
          <m:rPr>
            <m:sty m:val="i"/>
          </m:rPr>
          <m:t>h</m:t>
        </m:r>
      </m:oMath>
      <w:r>
        <w:rPr/>
        <w:t xml:space="preserve"> ? Commenter.</w:t>
      </w:r>
      <w:r>
        <w:rPr/>
        <w:br w:type="textWrapping"/>
      </w:r>
      <w:r>
        <w:rPr>
          <w:rFonts w:eastAsia="Georgia" w:cs="Georgia" w:ascii="Georgia" w:hAnsi="Georgia"/>
        </w:rPr>
        <w:t xml:space="preserve">Q 30. Expliquer, à l'aide de la figure 11, qu'un coefficient d'échange </w:t>
      </w:r>
      <m:oMath>
        <m:r>
          <m:rPr>
            <m:sty m:val="i"/>
          </m:rPr>
          <m:t>h</m:t>
        </m:r>
      </m:oMath>
      <w:r>
        <w:rPr>
          <w:rFonts w:eastAsia="Georgia" w:cs="Georgia" w:ascii="Georgia" w:hAnsi="Georgia"/>
        </w:rPr>
        <w:t xml:space="preserve"> plus élevé permet d'arrêter le stockage plus tard et donc de stocker d'avantage d'énergie dans le régénérateur.</w:t>
      </w:r>
    </w:p>
    <w:p>
      <w:pPr>
        <w:spacing w:lineRule="auto"/>
        <w:jc w:val="center"/>
      </w:pPr>
      <w:r>
        <w:rPr/>
        <w:drawing>
          <wp:inline distB="0" distL="0" distR="0" distT="0">
            <wp:extent cx="5486400" cy="2860189"/>
            <wp:effectExtent b="0" l="0" r="0" t="0"/>
            <wp:docPr id="10" name="image-4512eb41d9b417a4e17a4aba0615d085d6a88954.jpg"/>
            <a:graphic>
              <a:graphicData uri="http://schemas.openxmlformats.org/drawingml/2006/picture">
                <pic:pic>
                  <pic:nvPicPr>
                    <pic:cNvPr id="10" name="image-4512eb41d9b417a4e17a4aba0615d085d6a88954.jpg" descr=""/>
                    <pic:cNvPicPr/>
                  </pic:nvPicPr>
                  <pic:blipFill>
                    <a:blip r:embed="rId14" cstate="print"/>
                    <a:srcRect b="0" l="0" r="0" t="0"/>
                    <a:stretch>
                      <a:fillRect/>
                    </a:stretch>
                  </pic:blipFill>
                  <pic:spPr>
                    <a:xfrm>
                      <a:off x="0" y="0"/>
                      <a:ext cx="5486400" cy="2860189"/>
                    </a:xfrm>
                    <a:prstGeom prst="rect"/>
                  </pic:spPr>
                </pic:pic>
              </a:graphicData>
            </a:graphic>
          </wp:inline>
        </w:drawing>
      </w:r>
    </w:p>
    <w:p>
      <w:pPr>
        <w:spacing w:lineRule="auto"/>
      </w:pPr>
      <w:r>
        <w:rPr/>
        <w:t xml:space="preserve">Figure 10</w:t>
      </w:r>
    </w:p>
    <w:p>
      <w:pPr>
        <w:spacing w:lineRule="auto"/>
        <w:jc w:val="center"/>
      </w:pPr>
      <w:r>
        <w:rPr/>
        <w:drawing>
          <wp:inline distB="0" distL="0" distR="0" distT="0">
            <wp:extent cx="5486400" cy="5547082"/>
            <wp:effectExtent b="0" l="0" r="0" t="0"/>
            <wp:docPr id="11" name="image-93420011b23cf480e62c7b44321caca61c088903.jpg"/>
            <a:graphic>
              <a:graphicData uri="http://schemas.openxmlformats.org/drawingml/2006/picture">
                <pic:pic>
                  <pic:nvPicPr>
                    <pic:cNvPr id="11" name="image-93420011b23cf480e62c7b44321caca61c088903.jpg" descr=""/>
                    <pic:cNvPicPr/>
                  </pic:nvPicPr>
                  <pic:blipFill>
                    <a:blip r:embed="rId15" cstate="print"/>
                    <a:srcRect b="0" l="0" r="0" t="0"/>
                    <a:stretch>
                      <a:fillRect/>
                    </a:stretch>
                  </pic:blipFill>
                  <pic:spPr>
                    <a:xfrm>
                      <a:off x="0" y="0"/>
                      <a:ext cx="5486400" cy="5547082"/>
                    </a:xfrm>
                    <a:prstGeom prst="rect"/>
                  </pic:spPr>
                </pic:pic>
              </a:graphicData>
            </a:graphic>
          </wp:inline>
        </w:drawing>
      </w:r>
    </w:p>
    <w:p>
      <w:pPr>
        <w:spacing w:lineRule="auto"/>
      </w:pPr>
      <w:r>
        <w:rPr/>
        <w:t xml:space="preserve">Figure 11</w:t>
      </w:r>
    </w:p>
    <w:p>
      <w:pPr>
        <w:spacing w:after="220" w:lineRule="auto"/>
      </w:pPr>
      <w:r>
        <w:rPr>
          <w:rFonts w:eastAsia="Georgia" w:cs="Georgia" w:ascii="Georgia" w:hAnsi="Georgia"/>
        </w:rPr>
        <w:t xml:space="preserve">Q 31. Rappeler à quelles conditions un échange thermique entre un fluide (de température </w:t>
      </w:r>
      <m:oMath>
        <m:sSub>
          <m:sSubPr/>
          <m:e>
            <m:r>
              <m:rPr>
                <m:sty m:val="i"/>
              </m:rPr>
              <m:t>T</m:t>
            </m:r>
          </m:e>
          <m:sub>
            <m:r>
              <m:rPr>
                <m:sty m:val="i"/>
              </m:rPr>
              <m:t>f</m:t>
            </m:r>
          </m:sub>
        </m:sSub>
      </m:oMath>
      <w:r>
        <w:rPr>
          <w:rFonts w:eastAsia="Georgia" w:cs="Georgia" w:ascii="Georgia" w:hAnsi="Georgia"/>
        </w:rPr>
        <w:t xml:space="preserve"> ) et un solide (de température </w:t>
      </w:r>
      <m:oMath>
        <m:sSub>
          <m:sSubPr/>
          <m:e>
            <m:r>
              <m:rPr>
                <m:sty m:val="i"/>
              </m:rPr>
              <m:t>T</m:t>
            </m:r>
          </m:e>
          <m:sub>
            <m:r>
              <m:rPr>
                <m:sty m:val="i"/>
              </m:rPr>
              <m:t>s</m:t>
            </m:r>
          </m:sub>
        </m:sSub>
      </m:oMath>
      <w:r>
        <w:rPr>
          <w:rFonts w:eastAsia="Georgia" w:cs="Georgia" w:ascii="Georgia" w:hAnsi="Georgia"/>
        </w:rPr>
        <w:t xml:space="preserve"> ) peut être considéré réversible. Quelle devrait être la valeur de </w:t>
      </w:r>
      <m:oMath>
        <m:r>
          <m:rPr>
            <m:sty m:val="i"/>
          </m:rPr>
          <m:t>h</m:t>
        </m:r>
      </m:oMath>
      <w:r>
        <w:rPr>
          <w:rFonts w:eastAsia="Georgia" w:cs="Georgia" w:ascii="Georgia" w:hAnsi="Georgia"/>
        </w:rPr>
        <w:t xml:space="preserve"> pour que l'entropie créée lors du transfert gaz-solide soit nulle ?</w:t>
      </w:r>
    </w:p>
    <w:p>
      <w:pPr>
        <w:spacing w:line="271" w:before="330" w:lineRule="auto"/>
      </w:pPr>
      <w:r>
        <w:rPr>
          <w:b/>
          <w:sz w:val="42"/>
        </w:rPr>
        <w:t xml:space="preserve">II.B.2) Influence de la largeur des enceintes</w:t>
      </w:r>
    </w:p>
    <w:p>
      <w:pPr>
        <w:spacing w:after="220" w:lineRule="auto"/>
      </w:pPr>
      <w:r>
        <w:rPr>
          <w:rFonts w:eastAsia="Georgia" w:cs="Georgia" w:ascii="Georgia" w:hAnsi="Georgia"/>
        </w:rPr>
        <w:t xml:space="preserve">On considère pour cette question une enceinte ayant la forme d'un parallélépipède rectangle de base carrée, de largeur </w:t>
      </w:r>
      <m:oMath>
        <m:sSub>
          <m:sSubPr/>
          <m:e>
            <m:r>
              <m:rPr>
                <m:sty m:val="i"/>
              </m:rPr>
              <m:t>L</m:t>
            </m:r>
          </m:e>
          <m:sub>
            <m:r>
              <m:rPr>
                <m:sty m:val="i"/>
              </m:rPr>
              <m:t>e</m:t>
            </m:r>
          </m:sub>
        </m:sSub>
      </m:oMath>
      <w:r>
        <w:rPr/>
        <w:t xml:space="preserve"> et de hauteur </w:t>
      </w:r>
      <m:oMath>
        <m:sSub>
          <m:sSubPr/>
          <m:e>
            <m:r>
              <m:rPr>
                <m:sty m:val="i"/>
              </m:rPr>
              <m:t>H</m:t>
            </m:r>
          </m:e>
          <m:sub>
            <m:r>
              <m:rPr>
                <m:sty m:val="i"/>
              </m:rPr>
              <m:t>e</m:t>
            </m:r>
          </m:sub>
        </m:sSub>
      </m:oMath>
      <w:r>
        <w:rPr>
          <w:rFonts w:eastAsia="Georgia" w:cs="Georgia" w:ascii="Georgia" w:hAnsi="Georgia"/>
        </w:rPr>
        <w:t xml:space="preserve">. La figure 12 présente l'évolution du rendement de l'installation en fonction de la largeur des enceintes.</w:t>
      </w:r>
      <w:r>
        <w:rPr/>
        <w:br w:type="textWrapping"/>
      </w:r>
    </w:p>
    <w:p>
      <w:pPr>
        <w:spacing w:lineRule="auto"/>
        <w:jc w:val="center"/>
      </w:pPr>
      <w:r>
        <w:rPr/>
        <w:drawing>
          <wp:inline distB="0" distL="0" distR="0" distT="0">
            <wp:extent cx="3600450" cy="4057650"/>
            <wp:effectExtent b="0" l="0" r="0" t="0"/>
            <wp:docPr id="12" name="image-22e74aff13187debef9a33c9819b3f9eb619ffaa.jpg"/>
            <a:graphic>
              <a:graphicData uri="http://schemas.openxmlformats.org/drawingml/2006/picture">
                <pic:pic>
                  <pic:nvPicPr>
                    <pic:cNvPr id="12" name="image-22e74aff13187debef9a33c9819b3f9eb619ffaa.jpg" descr=""/>
                    <pic:cNvPicPr/>
                  </pic:nvPicPr>
                  <pic:blipFill>
                    <a:blip r:embed="rId16" cstate="print"/>
                    <a:srcRect b="0" l="0" r="0" t="0"/>
                    <a:stretch>
                      <a:fillRect/>
                    </a:stretch>
                  </pic:blipFill>
                  <pic:spPr>
                    <a:xfrm>
                      <a:off x="0" y="0"/>
                      <a:ext cx="3600450" cy="405765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103862"/>
            <wp:effectExtent b="0" l="0" r="0" t="0"/>
            <wp:docPr id="13" name="image-3071e183da059277d518af002f5b737bc86da7ef.jpg"/>
            <a:graphic>
              <a:graphicData uri="http://schemas.openxmlformats.org/drawingml/2006/picture">
                <pic:pic>
                  <pic:nvPicPr>
                    <pic:cNvPr id="13" name="image-3071e183da059277d518af002f5b737bc86da7ef.jpg" descr=""/>
                    <pic:cNvPicPr/>
                  </pic:nvPicPr>
                  <pic:blipFill>
                    <a:blip r:embed="rId17" cstate="print"/>
                    <a:srcRect b="0" l="0" r="0" t="0"/>
                    <a:stretch>
                      <a:fillRect/>
                    </a:stretch>
                  </pic:blipFill>
                  <pic:spPr>
                    <a:xfrm>
                      <a:off x="0" y="0"/>
                      <a:ext cx="5486400" cy="4103862"/>
                    </a:xfrm>
                    <a:prstGeom prst="rect"/>
                  </pic:spPr>
                </pic:pic>
              </a:graphicData>
            </a:graphic>
          </wp:inline>
        </w:drawing>
      </w:r>
    </w:p>
    <w:p>
      <w:pPr>
        <w:spacing w:after="220" w:lineRule="auto"/>
      </w:pPr>
      <w:r>
        <w:rPr>
          <w:rFonts w:eastAsia="Georgia" w:cs="Georgia" w:ascii="Georgia" w:hAnsi="Georgia"/>
        </w:rPr>
        <w:t xml:space="preserve">Figure 12 Rendement avec enceinte parallélépipédique</w:t>
      </w:r>
    </w:p>
    <w:p>
      <w:pPr>
        <w:spacing w:after="220" w:lineRule="auto"/>
      </w:pPr>
      <w:r>
        <w:rPr>
          <w:rFonts w:eastAsia="Georgia" w:cs="Georgia" w:ascii="Georgia" w:hAnsi="Georgia"/>
        </w:rPr>
        <w:t xml:space="preserve">Q 32. Expliquer l'évolution du rendement en fonction de </w:t>
      </w:r>
      <m:oMath>
        <m:sSub>
          <m:sSubPr/>
          <m:e>
            <m:r>
              <m:rPr>
                <m:sty m:val="i"/>
              </m:rPr>
              <m:t>L</m:t>
            </m:r>
          </m:e>
          <m:sub>
            <m:r>
              <m:rPr>
                <m:sty m:val="i"/>
              </m:rPr>
              <m:t>e</m:t>
            </m:r>
          </m:sub>
        </m:sSub>
      </m:oMath>
      <w:r>
        <w:rPr/>
        <w:t xml:space="preserve">.</w:t>
      </w:r>
    </w:p>
    <w:p>
      <w:pPr>
        <w:spacing w:line="271" w:before="330" w:lineRule="auto"/>
      </w:pPr>
      <w:r>
        <w:rPr>
          <w:rFonts w:eastAsia="Georgia" w:cs="Georgia" w:ascii="Georgia" w:hAnsi="Georgia"/>
          <w:b/>
          <w:sz w:val="42"/>
        </w:rPr>
        <w:t xml:space="preserve">II.B.3) Influence du débit massique de gaz</w:t>
      </w:r>
    </w:p>
    <w:p>
      <w:pPr>
        <w:spacing w:after="220" w:lineRule="auto"/>
      </w:pPr>
      <w:r>
        <w:rPr>
          <w:rFonts w:eastAsia="Georgia" w:cs="Georgia" w:ascii="Georgia" w:hAnsi="Georgia"/>
        </w:rPr>
        <w:t xml:space="preserve">La figure 13 présente l'évolution du rendement d'une installation SEPT en fonction du débit massique du gaz.</w:t>
      </w:r>
    </w:p>
    <w:p>
      <w:pPr>
        <w:spacing w:lineRule="auto"/>
        <w:jc w:val="center"/>
      </w:pPr>
      <w:r>
        <w:rPr/>
        <w:drawing>
          <wp:inline distB="0" distL="0" distR="0" distT="0">
            <wp:extent cx="5486400" cy="3973202"/>
            <wp:effectExtent b="0" l="0" r="0" t="0"/>
            <wp:docPr id="14" name="image-51cee6b579ceeea0dc6eae91d7443d150a653d38.jpg"/>
            <a:graphic>
              <a:graphicData uri="http://schemas.openxmlformats.org/drawingml/2006/picture">
                <pic:pic>
                  <pic:nvPicPr>
                    <pic:cNvPr id="14" name="image-51cee6b579ceeea0dc6eae91d7443d150a653d38.jpg" descr=""/>
                    <pic:cNvPicPr/>
                  </pic:nvPicPr>
                  <pic:blipFill>
                    <a:blip r:embed="rId18" cstate="print"/>
                    <a:srcRect b="0" l="0" r="0" t="0"/>
                    <a:stretch>
                      <a:fillRect/>
                    </a:stretch>
                  </pic:blipFill>
                  <pic:spPr>
                    <a:xfrm>
                      <a:off x="0" y="0"/>
                      <a:ext cx="5486400" cy="3973202"/>
                    </a:xfrm>
                    <a:prstGeom prst="rect"/>
                  </pic:spPr>
                </pic:pic>
              </a:graphicData>
            </a:graphic>
          </wp:inline>
        </w:drawing>
      </w:r>
    </w:p>
    <w:p>
      <w:pPr>
        <w:spacing w:lineRule="auto"/>
      </w:pPr>
      <w:r>
        <w:rPr>
          <w:rFonts w:eastAsia="Georgia" w:cs="Georgia" w:ascii="Georgia" w:hAnsi="Georgia"/>
        </w:rPr>
        <w:t xml:space="preserve">Figure 13 Rendement en fonction du débit du fluide</w:t>
      </w:r>
    </w:p>
    <w:p>
      <w:pPr>
        <w:spacing w:after="220" w:lineRule="auto"/>
      </w:pPr>
      <w:r>
        <w:rPr>
          <w:rFonts w:eastAsia="Georgia" w:cs="Georgia" w:ascii="Georgia" w:hAnsi="Georgia"/>
        </w:rPr>
        <w:t xml:space="preserve">Q 33. Expliquer l'évolution du rendement avec le débit du gaz.</w:t>
      </w:r>
    </w:p>
    <w:p>
      <w:pPr>
        <w:spacing w:line="271" w:before="330" w:lineRule="auto"/>
      </w:pPr>
      <w:r>
        <w:rPr>
          <w:rFonts w:eastAsia="Georgia" w:cs="Georgia" w:ascii="Georgia" w:hAnsi="Georgia"/>
          <w:b/>
          <w:sz w:val="42"/>
        </w:rPr>
        <w:t xml:space="preserve">II.C - Évolution thermique des enceintes pendant les pauses</w:t>
      </w:r>
    </w:p>
    <w:p>
      <w:pPr>
        <w:spacing w:after="220" w:lineRule="auto"/>
      </w:pPr>
      <w:r>
        <w:rPr>
          <w:rFonts w:eastAsia="Georgia" w:cs="Georgia" w:ascii="Georgia" w:hAnsi="Georgia"/>
        </w:rPr>
        <w:t xml:space="preserve">Une installation SEPT devra quotidiennement stocker et déstocker de l'énergie à des moments de la journée bien précis déterminés par l'évolution journalière du coût de l'énergie électrique (figure 14).</w:t>
      </w:r>
    </w:p>
    <w:p>
      <w:pPr>
        <w:spacing w:lineRule="auto"/>
        <w:jc w:val="center"/>
      </w:pPr>
      <w:r>
        <w:rPr/>
        <w:drawing>
          <wp:inline distB="0" distL="0" distR="0" distT="0">
            <wp:extent cx="5486400" cy="2386183"/>
            <wp:effectExtent b="0" l="0" r="0" t="0"/>
            <wp:docPr id="15" name="image-a8b2675536c5495944c502f303c97857351cb360.jpg"/>
            <a:graphic>
              <a:graphicData uri="http://schemas.openxmlformats.org/drawingml/2006/picture">
                <pic:pic>
                  <pic:nvPicPr>
                    <pic:cNvPr id="15" name="image-a8b2675536c5495944c502f303c97857351cb360.jpg" descr=""/>
                    <pic:cNvPicPr/>
                  </pic:nvPicPr>
                  <pic:blipFill>
                    <a:blip r:embed="rId19" cstate="print"/>
                    <a:srcRect b="0" l="0" r="0" t="0"/>
                    <a:stretch>
                      <a:fillRect/>
                    </a:stretch>
                  </pic:blipFill>
                  <pic:spPr>
                    <a:xfrm>
                      <a:off x="0" y="0"/>
                      <a:ext cx="5486400" cy="2386183"/>
                    </a:xfrm>
                    <a:prstGeom prst="rect"/>
                  </pic:spPr>
                </pic:pic>
              </a:graphicData>
            </a:graphic>
          </wp:inline>
        </w:drawing>
      </w:r>
    </w:p>
    <w:p>
      <w:pPr>
        <w:spacing w:lineRule="auto"/>
      </w:pPr>
      <w:r>
        <w:rPr>
          <w:rFonts w:eastAsia="Georgia" w:cs="Georgia" w:ascii="Georgia" w:hAnsi="Georgia"/>
        </w:rPr>
        <w:t xml:space="preserve">Figure 14 Phases quotidiennes de stockage et déstockage dans une installation SEPT</w:t>
      </w:r>
    </w:p>
    <w:p>
      <w:pPr>
        <w:spacing w:after="220" w:lineRule="auto"/>
      </w:pPr>
      <w:r>
        <w:rPr>
          <w:rFonts w:eastAsia="Georgia" w:cs="Georgia" w:ascii="Georgia" w:hAnsi="Georgia"/>
        </w:rPr>
        <w:t xml:space="preserve">Entre ces périodes, le système est à l'arrêt pendant quelques heures et on observe une diffusion thermique axiale (selon </w:t>
      </w:r>
      <m:oMath>
        <m:r>
          <m:rPr>
            <m:sty m:val="i"/>
          </m:rPr>
          <m:t>O</m:t>
        </m:r>
        <m:r>
          <m:rPr>
            <m:sty m:val="i"/>
          </m:rPr>
          <m:t>z</m:t>
        </m:r>
      </m:oMath>
      <w:r>
        <w:rPr>
          <w:rFonts w:eastAsia="Georgia" w:cs="Georgia" w:ascii="Georgia" w:hAnsi="Georgia"/>
        </w:rPr>
        <w:t xml:space="preserve"> ) qu'on se propose d'évaluer afin de déterminer s'il est nécessaire de la prendre en compte dans l'efficacité globale du procédé.</w:t>
      </w:r>
    </w:p>
    <w:p>
      <w:pPr>
        <w:spacing w:after="220" w:lineRule="auto"/>
      </w:pPr>
      <w:r>
        <w:rPr>
          <w:rFonts w:eastAsia="Georgia" w:cs="Georgia" w:ascii="Georgia" w:hAnsi="Georgia"/>
        </w:rPr>
        <w:t xml:space="preserve">On considère l'enceinte de la figure 12 de largeur </w:t>
      </w:r>
      <m:oMath>
        <m:sSub>
          <m:sSubPr/>
          <m:e>
            <m:r>
              <m:rPr>
                <m:sty m:val="i"/>
              </m:rPr>
              <m:t>L</m:t>
            </m:r>
          </m:e>
          <m:sub>
            <m:r>
              <m:rPr>
                <m:sty m:val="i"/>
              </m:rPr>
              <m:t>e</m:t>
            </m:r>
          </m:sub>
        </m:sSub>
        <m:r>
          <m:rPr>
            <m:sty m:val="p"/>
          </m:rPr>
          <m:t>=</m:t>
        </m:r>
        <m:r>
          <m:rPr>
            <m:sty m:val="p"/>
          </m:rPr>
          <m:t>10</m:t>
        </m:r>
        <m:r>
          <m:rPr>
            <m:nor/>
          </m:rPr>
          <m:t xml:space="preserve"> </m:t>
        </m:r>
        <m:r>
          <m:rPr>
            <m:sty m:val="p"/>
          </m:rPr>
          <m:t>m</m:t>
        </m:r>
      </m:oMath>
      <w:r>
        <w:rPr>
          <w:rFonts w:eastAsia="Georgia" w:cs="Georgia" w:ascii="Georgia" w:hAnsi="Georgia"/>
        </w:rPr>
        <w:t xml:space="preserve">, pendant une période d'arrêt de durée </w:t>
      </w:r>
      <m:oMath>
        <m:r>
          <m:rPr>
            <m:sty m:val="p"/>
          </m:rPr>
          <m:t>Δ</m:t>
        </m:r>
        <m:r>
          <m:rPr>
            <m:sty m:val="i"/>
          </m:rPr>
          <m:t>t</m:t>
        </m:r>
        <m:r>
          <m:rPr>
            <m:sty m:val="p"/>
          </m:rPr>
          <m:t>=</m:t>
        </m:r>
        <m:r>
          <m:rPr>
            <m:sty m:val="p"/>
          </m:rPr>
          <m:t>24</m:t>
        </m:r>
        <m:r>
          <m:rPr>
            <m:nor/>
          </m:rPr>
          <m:t xml:space="preserve"> </m:t>
        </m:r>
        <m:r>
          <m:rPr>
            <m:sty m:val="p"/>
          </m:rPr>
          <m:t>h</m:t>
        </m:r>
      </m:oMath>
      <w:r>
        <w:rPr>
          <w:rFonts w:eastAsia="Georgia" w:cs="Georgia" w:ascii="Georgia" w:hAnsi="Georgia"/>
        </w:rPr>
        <w:t xml:space="preserve">. Les matériaux réfractaires sont de porosité </w:t>
      </w:r>
      <m:oMath>
        <m:r>
          <m:rPr>
            <m:sty m:val="i"/>
          </m:rPr>
          <m:t>ε</m:t>
        </m:r>
        <m:r>
          <m:rPr>
            <m:sty m:val="p"/>
          </m:rPr>
          <m:t>=</m:t>
        </m:r>
        <m:r>
          <m:rPr>
            <m:sty m:val="p"/>
          </m:rPr>
          <m:t>44</m:t>
        </m:r>
        <m:r>
          <m:rPr>
            <m:sty m:val="p"/>
          </m:rPr>
          <m:t>%</m:t>
        </m:r>
      </m:oMath>
      <w:r>
        <w:rPr>
          <w:rFonts w:eastAsia="Georgia" w:cs="Georgia" w:ascii="Georgia" w:hAnsi="Georgia"/>
        </w:rPr>
        <w:t xml:space="preserve">, de conductivité thermique </w:t>
      </w:r>
      <m:oMath>
        <m:r>
          <m:rPr>
            <m:sty m:val="i"/>
          </m:rPr>
          <m:t>λ</m:t>
        </m:r>
        <m:r>
          <m:rPr>
            <m:sty m:val="p"/>
          </m:rPr>
          <m:t>=</m:t>
        </m:r>
        <m:r>
          <m:rPr>
            <m:sty m:val="p"/>
          </m:rPr>
          <m:t>0</m:t>
        </m:r>
        <m:r>
          <m:rPr>
            <m:sty m:val="p"/>
          </m:rPr>
          <m:t>,</m:t>
        </m:r>
        <m:r>
          <m:rPr>
            <m:sty m:val="p"/>
          </m:rPr>
          <m:t>03</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affichent un gradient thermique uniforme </w:t>
      </w:r>
      <m:oMath>
        <m:f>
          <m:fPr>
            <m:ctrlPr>
              <w:rPr>
                <w:rFonts w:ascii="Cambria Math" w:hAnsi="Cambria Math"/>
              </w:rPr>
            </m:ctrlPr>
          </m:fPr>
          <m:num>
            <m:r>
              <m:rPr>
                <m:sty m:val="p"/>
              </m:rPr>
              <m:t>d</m:t>
            </m:r>
            <m:r>
              <m:rPr>
                <m:sty m:val="i"/>
              </m:rPr>
              <m:t>T</m:t>
            </m:r>
          </m:num>
          <m:den>
            <m:r>
              <m:rPr>
                <m:nor/>
              </m:rPr>
              <m:t xml:space="preserve"> </m:t>
            </m:r>
            <m:r>
              <m:rPr>
                <m:sty m:val="p"/>
              </m:rPr>
              <m:t>d</m:t>
            </m:r>
            <m:r>
              <m:rPr>
                <m:sty m:val="i"/>
              </m:rPr>
              <m:t>z</m:t>
            </m:r>
          </m:den>
        </m:f>
        <m:r>
          <m:rPr>
            <m:sty m:val="p"/>
          </m:rPr>
          <m:t>=</m:t>
        </m:r>
        <m:r>
          <m:rPr>
            <m:sty m:val="p"/>
          </m:rPr>
          <m:t>200</m:t>
        </m:r>
        <m:r>
          <m:rPr>
            <m:nor/>
          </m:rPr>
          <m:t xml:space="preserve"> </m:t>
        </m:r>
        <m:r>
          <m:rPr>
            <m:sty m:val="p"/>
          </m:rPr>
          <m:t>K</m:t>
        </m:r>
        <m:r>
          <m:rPr>
            <m:sty m:val="p"/>
          </m:rPr>
          <m:t>⋅</m:t>
        </m:r>
        <m:sSup>
          <m:sSupPr/>
          <m:e>
            <m:r>
              <m:rPr>
                <m:nor/>
              </m:rPr>
              <m:t xml:space="preserve"> </m:t>
            </m:r>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Q 34. Évaluer un ordre de grandeur de l'énergie thermique diffusée axialement et la comparer à l'énergie interne de cette enceinte </w:t>
      </w:r>
      <m:oMath>
        <m:r>
          <m:rPr>
            <m:sty m:val="i"/>
          </m:rPr>
          <m:t>U</m:t>
        </m:r>
        <m:r>
          <m:rPr>
            <m:sty m:val="p"/>
          </m:rPr>
          <m:t>=</m:t>
        </m:r>
        <m:r>
          <m:rPr>
            <m:sty m:val="p"/>
          </m:rPr>
          <m:t>1</m:t>
        </m:r>
        <m:r>
          <m:rPr>
            <m:sty m:val="p"/>
          </m:rPr>
          <m:t>,</m:t>
        </m:r>
        <m:r>
          <m:rPr>
            <m:sty m:val="p"/>
          </m:rPr>
          <m:t>7</m:t>
        </m:r>
        <m:r>
          <m:rPr>
            <m:sty m:val="p"/>
          </m:rPr>
          <m:t>×</m:t>
        </m:r>
        <m:sSup>
          <m:sSupPr/>
          <m:e>
            <m:r>
              <m:rPr>
                <m:sty m:val="p"/>
              </m:rPr>
              <m:t>10</m:t>
            </m:r>
          </m:e>
          <m:sup>
            <m:r>
              <m:rPr>
                <m:sty m:val="p"/>
              </m:rPr>
              <m:t>12</m:t>
            </m:r>
          </m:sup>
        </m:sSup>
        <m:r>
          <m:rPr>
            <m:nor/>
          </m:rPr>
          <m:t xml:space="preserve"> </m:t>
        </m:r>
        <m:r>
          <m:rPr>
            <m:sty m:val="p"/>
          </m:rPr>
          <m:t>J</m:t>
        </m:r>
      </m:oMath>
      <w:r>
        <w:rPr/>
        <w:t xml:space="preserve">. Conclure.</w:t>
      </w:r>
    </w:p>
    <w:p>
      <w:pPr>
        <w:spacing w:line="271" w:before="330" w:lineRule="auto"/>
      </w:pPr>
      <w:r>
        <w:rPr>
          <w:rFonts w:eastAsia="Georgia" w:cs="Georgia" w:ascii="Georgia" w:hAnsi="Georgia"/>
          <w:b/>
          <w:sz w:val="42"/>
        </w:rPr>
        <w:t xml:space="preserve">II.D - Notions sur les modèles de conductivité effective d'un milieu poreux</w:t>
      </w:r>
    </w:p>
    <w:p>
      <w:pPr>
        <w:spacing w:after="220" w:lineRule="auto"/>
      </w:pPr>
      <w:r>
        <w:rPr>
          <w:rFonts w:eastAsia="Georgia" w:cs="Georgia" w:ascii="Georgia" w:hAnsi="Georgia"/>
        </w:rPr>
        <w:t xml:space="preserve">L'étude précédente nécessite une connaissance de la conductivité thermique </w:t>
      </w:r>
      <m:oMath>
        <m:r>
          <m:rPr>
            <m:sty m:val="i"/>
          </m:rPr>
          <m:t>λ</m:t>
        </m:r>
      </m:oMath>
      <w:r>
        <w:rPr>
          <w:rFonts w:eastAsia="Georgia" w:cs="Georgia" w:ascii="Georgia" w:hAnsi="Georgia"/>
        </w:rPr>
        <w:t xml:space="preserve"> du milieu poreux. La conductivité thermique d'un tel système, dite conductivité thermique effective, intègre logiquement dans sa définition, les paramètres primaires que sont les conductivités thermiques intrinsèques des particules solides </w:t>
      </w:r>
      <m:oMath>
        <m:sSub>
          <m:sSubPr/>
          <m:e>
            <m:r>
              <m:rPr>
                <m:sty m:val="i"/>
              </m:rPr>
              <m:t>λ</m:t>
            </m:r>
          </m:e>
          <m:sub>
            <m:r>
              <m:rPr>
                <m:sty m:val="i"/>
              </m:rPr>
              <m:t>s</m:t>
            </m:r>
          </m:sub>
        </m:sSub>
      </m:oMath>
      <w:r>
        <w:rPr/>
        <w:t xml:space="preserve"> et du gaz </w:t>
      </w:r>
      <m:oMath>
        <m:sSub>
          <m:sSubPr/>
          <m:e>
            <m:r>
              <m:rPr>
                <m:sty m:val="i"/>
              </m:rPr>
              <m:t>λ</m:t>
            </m:r>
          </m:e>
          <m:sub>
            <m:r>
              <m:rPr>
                <m:sty m:val="i"/>
              </m:rPr>
              <m:t>g</m:t>
            </m:r>
          </m:sub>
        </m:sSub>
      </m:oMath>
      <w:r>
        <w:rPr/>
        <w:t xml:space="preserve"> ( </w:t>
      </w:r>
      <m:oMath>
        <m:sSub>
          <m:sSubPr/>
          <m:e>
            <m:r>
              <m:rPr>
                <m:sty m:val="i"/>
              </m:rPr>
              <m:t>λ</m:t>
            </m:r>
          </m:e>
          <m:sub>
            <m:r>
              <m:rPr>
                <m:sty m:val="i"/>
              </m:rPr>
              <m:t>s</m:t>
            </m:r>
          </m:sub>
        </m:sSub>
        <m:r>
          <m:rPr>
            <m:sty m:val="p"/>
          </m:rPr>
          <m:t>&gt;</m:t>
        </m:r>
        <m:sSub>
          <m:sSubPr/>
          <m:e>
            <m:r>
              <m:rPr>
                <m:sty m:val="i"/>
              </m:rPr>
              <m:t>λ</m:t>
            </m:r>
          </m:e>
          <m:sub>
            <m:r>
              <m:rPr>
                <m:sty m:val="i"/>
              </m:rPr>
              <m:t>g</m:t>
            </m:r>
          </m:sub>
        </m:sSub>
      </m:oMath>
      <w:r>
        <w:rPr>
          <w:rFonts w:eastAsia="Georgia" w:cs="Georgia" w:ascii="Georgia" w:hAnsi="Georgia"/>
        </w:rPr>
        <w:t xml:space="preserve"> ) ainsi que le rapport volumique entre ces deux phases, représenté par la porosité </w:t>
      </w:r>
      <m:oMath>
        <m:r>
          <m:rPr>
            <m:sty m:val="i"/>
          </m:rPr>
          <m:t>ε</m:t>
        </m:r>
      </m:oMath>
      <w:r>
        <w:rPr/>
        <w:t xml:space="preserve">.</w:t>
      </w:r>
      <w:r>
        <w:rPr/>
        <w:br w:type="textWrapping"/>
      </w:r>
      <w:r>
        <w:rPr>
          <w:rFonts w:eastAsia="Georgia" w:cs="Georgia" w:ascii="Georgia" w:hAnsi="Georgia"/>
        </w:rPr>
        <w:t xml:space="preserve">Quel que soit le modèle utilisé pour calculer la conductivité thermique effective d'un milieu granulaire, celle-ci est toujours comprise entre deux valeurs extrêmes, </w:t>
      </w:r>
      <m:oMath>
        <m:sSub>
          <m:sSubPr/>
          <m:e>
            <m:r>
              <m:rPr>
                <m:sty m:val="i"/>
              </m:rPr>
              <m:t>λ</m:t>
            </m:r>
          </m:e>
          <m:sub>
            <m:r>
              <m:rPr>
                <m:nor/>
              </m:rPr>
              <m:t>min </m:t>
            </m:r>
          </m:sub>
        </m:sSub>
      </m:oMath>
      <w:r>
        <w:rPr/>
        <w:t xml:space="preserve"> et </w:t>
      </w:r>
      <m:oMath>
        <m:sSub>
          <m:sSubPr/>
          <m:e>
            <m:r>
              <m:rPr>
                <m:sty m:val="i"/>
              </m:rPr>
              <m:t>λ</m:t>
            </m:r>
          </m:e>
          <m:sub>
            <m:r>
              <m:rPr>
                <m:nor/>
              </m:rPr>
              <m:t>max </m:t>
            </m:r>
          </m:sub>
        </m:sSub>
      </m:oMath>
      <w:r>
        <w:rPr>
          <w:rFonts w:eastAsia="Georgia" w:cs="Georgia" w:ascii="Georgia" w:hAnsi="Georgia"/>
        </w:rPr>
        <w:t xml:space="preserve">. Une situation limite correspond à un milieu où le vecteur densité de flux de chaleur est perpendiculaire aux strates (modèle série, figure 15). L'autre situation limite correspond à une disposition des strates parallèle à la direction de la densité du flux de chaleur (modèle parallèle, figure 15).</w:t>
      </w:r>
    </w:p>
    <w:p>
      <w:pPr>
        <w:spacing w:lineRule="auto"/>
        <w:jc w:val="center"/>
      </w:pPr>
      <w:r>
        <w:rPr/>
        <w:drawing>
          <wp:inline distB="0" distL="0" distR="0" distT="0">
            <wp:extent cx="5486400" cy="2255076"/>
            <wp:effectExtent b="0" l="0" r="0" t="0"/>
            <wp:docPr id="16" name="image-8b1a2215660a43353e04dd2fe417ad316269fcfb.jpg"/>
            <a:graphic>
              <a:graphicData uri="http://schemas.openxmlformats.org/drawingml/2006/picture">
                <pic:pic>
                  <pic:nvPicPr>
                    <pic:cNvPr id="16" name="image-8b1a2215660a43353e04dd2fe417ad316269fcfb.jpg" descr=""/>
                    <pic:cNvPicPr/>
                  </pic:nvPicPr>
                  <pic:blipFill>
                    <a:blip r:embed="rId20" cstate="print"/>
                    <a:srcRect b="0" l="0" r="0" t="0"/>
                    <a:stretch>
                      <a:fillRect/>
                    </a:stretch>
                  </pic:blipFill>
                  <pic:spPr>
                    <a:xfrm>
                      <a:off x="0" y="0"/>
                      <a:ext cx="5486400" cy="2255076"/>
                    </a:xfrm>
                    <a:prstGeom prst="rect"/>
                  </pic:spPr>
                </pic:pic>
              </a:graphicData>
            </a:graphic>
          </wp:inline>
        </w:drawing>
      </w:r>
    </w:p>
    <w:p>
      <w:pPr>
        <w:spacing w:lineRule="auto"/>
      </w:pPr>
      <w:r>
        <w:rPr/>
        <w:t xml:space="preserve">Figure 15</w:t>
      </w:r>
    </w:p>
    <w:p>
      <w:pPr>
        <w:spacing w:after="220" w:lineRule="auto"/>
      </w:pPr>
      <w:r>
        <w:rPr>
          <w:rFonts w:eastAsia="Georgia" w:cs="Georgia" w:ascii="Georgia" w:hAnsi="Georgia"/>
        </w:rPr>
        <w:t xml:space="preserve">Q 35. Exprimer les conductivités dans les deux situations limites en fonction de </w:t>
      </w:r>
      <m:oMath>
        <m:r>
          <m:rPr>
            <m:sty m:val="i"/>
          </m:rPr>
          <m:t>ε</m:t>
        </m:r>
        <m:r>
          <m:rPr>
            <m:sty m:val="p"/>
          </m:rPr>
          <m:t>,</m:t>
        </m:r>
        <m:sSub>
          <m:sSubPr/>
          <m:e>
            <m:r>
              <m:rPr>
                <m:sty m:val="i"/>
              </m:rPr>
              <m:t>λ</m:t>
            </m:r>
          </m:e>
          <m:sub>
            <m:r>
              <m:rPr>
                <m:sty m:val="i"/>
              </m:rPr>
              <m:t>s</m:t>
            </m:r>
          </m:sub>
        </m:sSub>
      </m:oMath>
      <w:r>
        <w:rPr/>
        <w:t xml:space="preserve"> et </w:t>
      </w:r>
      <m:oMath>
        <m:sSub>
          <m:sSubPr/>
          <m:e>
            <m:r>
              <m:rPr>
                <m:sty m:val="i"/>
              </m:rPr>
              <m:t>λ</m:t>
            </m:r>
          </m:e>
          <m:sub>
            <m:r>
              <m:rPr>
                <m:sty m:val="i"/>
              </m:rPr>
              <m:t>g</m:t>
            </m:r>
          </m:sub>
        </m:sSub>
      </m:oMath>
      <w:r>
        <w:rPr>
          <w:rFonts w:eastAsia="Georgia" w:cs="Georgia" w:ascii="Georgia" w:hAnsi="Georgia"/>
        </w:rPr>
        <w:t xml:space="preserve">. Valider les expressions obtenues en considérant des cas limites.</w:t>
      </w:r>
      <w:r>
        <w:rPr/>
        <w:br w:type="textWrapping"/>
      </w:r>
      <w:r>
        <w:rPr>
          <w:rFonts w:eastAsia="Georgia" w:cs="Georgia" w:ascii="Georgia" w:hAnsi="Georgia"/>
        </w:rPr>
        <w:t xml:space="preserve">Q 36. Montrer que l'une de ces deux expressions limites est toujours supérieure à l'autre. Déterminer </w:t>
      </w:r>
      <m:oMath>
        <m:sSub>
          <m:sSubPr/>
          <m:e>
            <m:r>
              <m:rPr>
                <m:sty m:val="i"/>
              </m:rPr>
              <m:t>λ</m:t>
            </m:r>
          </m:e>
          <m:sub>
            <m:r>
              <m:rPr>
                <m:sty m:val="p"/>
              </m:rPr>
              <m:t>min</m:t>
            </m:r>
          </m:sub>
        </m:sSub>
      </m:oMath>
      <w:r>
        <w:rPr/>
        <w:t xml:space="preserve"> et </w:t>
      </w:r>
      <m:oMath>
        <m:sSub>
          <m:sSubPr/>
          <m:e>
            <m:r>
              <m:rPr>
                <m:sty m:val="i"/>
              </m:rPr>
              <m:t>λ</m:t>
            </m:r>
          </m:e>
          <m:sub>
            <m:r>
              <m:rPr>
                <m:nor/>
              </m:rPr>
              <m:t>max </m:t>
            </m:r>
          </m:sub>
        </m:sSub>
      </m:oMath>
      <w:r>
        <w:rPr/>
        <w:t xml:space="preserve">.</w:t>
      </w:r>
      <w:r>
        <w:rPr/>
        <w:br w:type="textWrapping"/>
      </w:r>
      <w:r>
        <w:rPr/>
        <w:t xml:space="preserve">On donne, pour l'argon </w:t>
      </w:r>
      <m:oMath>
        <m:sSub>
          <m:sSubPr/>
          <m:e>
            <m:r>
              <m:rPr>
                <m:sty m:val="i"/>
              </m:rPr>
              <m:t>λ</m:t>
            </m:r>
          </m:e>
          <m:sub>
            <m:r>
              <m:rPr>
                <m:sty m:val="i"/>
              </m:rPr>
              <m:t>g</m:t>
            </m:r>
          </m:sub>
        </m:sSub>
        <m:r>
          <m:rPr>
            <m:sty m:val="p"/>
          </m:rPr>
          <m:t>=</m:t>
        </m:r>
        <m:r>
          <m:rPr>
            <m:sty m:val="p"/>
          </m:rPr>
          <m:t>0</m:t>
        </m:r>
        <m:r>
          <m:rPr>
            <m:sty m:val="p"/>
          </m:rPr>
          <m:t>,</m:t>
        </m:r>
        <m:r>
          <m:rPr>
            <m:sty m:val="p"/>
          </m:rPr>
          <m:t>018</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rFonts w:eastAsia="Georgia" w:cs="Georgia" w:ascii="Georgia" w:hAnsi="Georgia"/>
        </w:rPr>
        <w:t xml:space="preserve"> et pour le sable utilisé </w:t>
      </w:r>
      <m:oMath>
        <m:r>
          <m:rPr>
            <m:sty m:val="i"/>
          </m:rPr>
          <m:t>ε</m:t>
        </m:r>
        <m:r>
          <m:rPr>
            <m:sty m:val="p"/>
          </m:rPr>
          <m:t>=</m:t>
        </m:r>
        <m:r>
          <m:rPr>
            <m:sty m:val="p"/>
          </m:rPr>
          <m:t>0</m:t>
        </m:r>
        <m:r>
          <m:rPr>
            <m:sty m:val="p"/>
          </m:rPr>
          <m:t>,</m:t>
        </m:r>
        <m:r>
          <m:rPr>
            <m:sty m:val="p"/>
          </m:rPr>
          <m:t>47</m:t>
        </m:r>
      </m:oMath>
      <w:r>
        <w:rPr/>
        <w:t xml:space="preserve"> et </w:t>
      </w:r>
      <m:oMath>
        <m:sSub>
          <m:sSubPr/>
          <m:e>
            <m:r>
              <m:rPr>
                <m:sty m:val="i"/>
              </m:rPr>
              <m:t>λ</m:t>
            </m:r>
          </m:e>
          <m:sub>
            <m:r>
              <m:rPr>
                <m:sty m:val="i"/>
              </m:rPr>
              <m:t>s</m:t>
            </m:r>
          </m:sub>
        </m:sSub>
        <m:r>
          <m:rPr>
            <m:sty m:val="p"/>
          </m:rPr>
          <m:t>=</m:t>
        </m:r>
        <m:r>
          <m:rPr>
            <m:sty m:val="p"/>
          </m:rPr>
          <m:t>0</m:t>
        </m:r>
        <m:r>
          <m:rPr>
            <m:sty m:val="p"/>
          </m:rPr>
          <m:t>,</m:t>
        </m:r>
        <m:r>
          <m:rPr>
            <m:sty m:val="p"/>
          </m:rPr>
          <m:t>40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Q 37. Calculer les valeurs numériques de </w:t>
      </w:r>
      <m:oMath>
        <m:sSub>
          <m:sSubPr/>
          <m:e>
            <m:r>
              <m:rPr>
                <m:sty m:val="i"/>
              </m:rPr>
              <m:t>λ</m:t>
            </m:r>
          </m:e>
          <m:sub>
            <m:r>
              <m:rPr>
                <m:nor/>
              </m:rPr>
              <m:t>min </m:t>
            </m:r>
          </m:sub>
        </m:sSub>
      </m:oMath>
      <w:r>
        <w:rPr/>
        <w:t xml:space="preserve"> et </w:t>
      </w:r>
      <m:oMath>
        <m:sSub>
          <m:sSubPr/>
          <m:e>
            <m:r>
              <m:rPr>
                <m:sty m:val="i"/>
              </m:rPr>
              <m:t>λ</m:t>
            </m:r>
          </m:e>
          <m:sub>
            <m:r>
              <m:rPr>
                <m:nor/>
              </m:rPr>
              <m:t>max </m:t>
            </m:r>
          </m:sub>
        </m:sSub>
      </m:oMath>
      <w:r>
        <w:rPr/>
        <w:t xml:space="preserve">.</w:t>
      </w:r>
    </w:p>
    <w:p>
      <w:pPr>
        <w:spacing w:line="271" w:before="330" w:lineRule="auto"/>
      </w:pPr>
      <w:r>
        <w:rPr>
          <w:rFonts w:eastAsia="Georgia" w:cs="Georgia" w:ascii="Georgia" w:hAnsi="Georgia"/>
          <w:b/>
          <w:sz w:val="42"/>
        </w:rPr>
        <w:t xml:space="preserve">II.E - Mesure de la conductivité thermique effective du milieu granulaire utilisé pour les enceintes du procédé S.E.P.T.</w:t>
      </w:r>
    </w:p>
    <w:p>
      <w:pPr>
        <w:spacing w:after="220" w:lineRule="auto"/>
      </w:pPr>
      <w:r>
        <w:rPr>
          <w:rFonts w:eastAsia="Georgia" w:cs="Georgia" w:ascii="Georgia" w:hAnsi="Georgia"/>
        </w:rPr>
        <w:t xml:space="preserve">On place un fil métallique, de rayon </w:t>
      </w:r>
      <m:oMath>
        <m:sSub>
          <m:sSubPr/>
          <m:e>
            <m:r>
              <m:rPr>
                <m:sty m:val="i"/>
              </m:rPr>
              <m:t>r</m:t>
            </m:r>
          </m:e>
          <m:sub>
            <m:r>
              <m:rPr>
                <m:sty m:val="p"/>
              </m:rPr>
              <m:t>0</m:t>
            </m:r>
          </m:sub>
        </m:sSub>
      </m:oMath>
      <w:r>
        <w:rPr>
          <w:rFonts w:eastAsia="Georgia" w:cs="Georgia" w:ascii="Georgia" w:hAnsi="Georgia"/>
        </w:rPr>
        <w:t xml:space="preserve"> au centre d'un bloc du matériau à étudier (sable et argon) de façon à ce qu'il le traverse verticalement. Le fil est relié à une alimentation électrique qui lui fournit un échelon de courant. On relève au cours du temps la variation de la résistance électrique du fil, ce qui permet de déterminer sa température.</w:t>
      </w:r>
      <w:r>
        <w:rPr/>
        <w:br w:type="textWrapping"/>
      </w:r>
      <w:r>
        <w:rPr>
          <w:rFonts w:eastAsia="Georgia" w:cs="Georgia" w:ascii="Georgia" w:hAnsi="Georgia"/>
        </w:rPr>
        <w:t xml:space="preserve">On modélise ce dispositif par un fil de longueur infini plongé dans un espace totalement rempli du matériau à étudier. L'ensemble est initialement à la température uniforme </w:t>
      </w:r>
      <m:oMath>
        <m:sSub>
          <m:sSubPr/>
          <m:e>
            <m:r>
              <m:rPr>
                <m:sty m:val="i"/>
              </m:rPr>
              <m:t>T</m:t>
            </m:r>
          </m:e>
          <m:sub>
            <m:r>
              <m:rPr>
                <m:sty m:val="p"/>
              </m:rPr>
              <m:t>0</m:t>
            </m:r>
          </m:sub>
        </m:sSub>
      </m:oMath>
      <w:r>
        <w:rPr>
          <w:rFonts w:eastAsia="Georgia" w:cs="Georgia" w:ascii="Georgia" w:hAnsi="Georgia"/>
        </w:rPr>
        <w:t xml:space="preserve">. À partir du temps </w:t>
      </w:r>
      <m:oMath>
        <m:r>
          <m:rPr>
            <m:sty m:val="i"/>
          </m:rPr>
          <m:t>t</m:t>
        </m:r>
        <m:r>
          <m:rPr>
            <m:sty m:val="p"/>
          </m:rPr>
          <m:t>=</m:t>
        </m:r>
        <m:r>
          <m:rPr>
            <m:sty m:val="p"/>
          </m:rPr>
          <m:t>0</m:t>
        </m:r>
      </m:oMath>
      <w:r>
        <w:rPr>
          <w:rFonts w:eastAsia="Georgia" w:cs="Georgia" w:ascii="Georgia" w:hAnsi="Georgia"/>
        </w:rPr>
        <w:t xml:space="preserve">, on applique l'échelon de courant et le fil produit un flux thermique constant par unité de longueur </w:t>
      </w:r>
      <m:oMath>
        <m:sSub>
          <m:sSubPr/>
          <m:e>
            <m:r>
              <m:rPr>
                <m:sty m:val="i"/>
              </m:rPr>
              <m:t>φ</m:t>
            </m:r>
          </m:e>
          <m:sub>
            <m:r>
              <m:rPr>
                <m:sty m:val="i"/>
              </m:rPr>
              <m:t>L</m:t>
            </m:r>
          </m:sub>
        </m:sSub>
      </m:oMath>
      <w:r>
        <w:rPr>
          <w:rFonts w:eastAsia="Georgia" w:cs="Georgia" w:ascii="Georgia" w:hAnsi="Georgia"/>
        </w:rPr>
        <w:t xml:space="preserve">. On suppose que les transferts thermiques s'effectuent seulement par conduction. Le matériau est incompressible, de masse volumique constante </w:t>
      </w:r>
      <m:oMath>
        <m:r>
          <m:rPr>
            <m:sty m:val="i"/>
          </m:rPr>
          <m:t>ρ</m:t>
        </m:r>
      </m:oMath>
      <w:r>
        <w:rPr>
          <w:rFonts w:eastAsia="Georgia" w:cs="Georgia" w:ascii="Georgia" w:hAnsi="Georgia"/>
        </w:rPr>
        <w:t xml:space="preserve">, de conductivité thermique </w:t>
      </w:r>
      <m:oMath>
        <m:r>
          <m:rPr>
            <m:sty m:val="i"/>
          </m:rPr>
          <m:t>λ</m:t>
        </m:r>
      </m:oMath>
      <w:r>
        <w:rPr>
          <w:rFonts w:eastAsia="Georgia" w:cs="Georgia" w:ascii="Georgia" w:hAnsi="Georgia"/>
        </w:rPr>
        <w:t xml:space="preserve"> et de capacité thermique massique </w:t>
      </w:r>
      <m:oMath>
        <m:sSub>
          <m:sSubPr/>
          <m:e>
            <m:r>
              <m:rPr>
                <m:sty m:val="i"/>
              </m:rPr>
              <m:t>c</m:t>
            </m:r>
          </m:e>
          <m:sub>
            <m:r>
              <m:rPr>
                <m:sty m:val="i"/>
              </m:rPr>
              <m:t>p</m:t>
            </m:r>
          </m:sub>
        </m:sSub>
      </m:oMath>
      <w:r>
        <w:rPr/>
        <w:t xml:space="preserve">.</w:t>
      </w:r>
      <w:r>
        <w:rPr/>
        <w:br w:type="textWrapping"/>
      </w:r>
      <w:r>
        <w:rPr>
          <w:rFonts w:eastAsia="Georgia" w:cs="Georgia" w:ascii="Georgia" w:hAnsi="Georgia"/>
        </w:rPr>
        <w:t xml:space="preserve">On admet que la répartition de température dans le matériau présente une symétrie cylindrique autour du fil électrique. On se place donc en coordonnées cylindriques ( </w:t>
      </w:r>
      <m:oMath>
        <m:r>
          <m:rPr>
            <m:sty m:val="i"/>
          </m:rPr>
          <m:t>r</m:t>
        </m:r>
        <m:r>
          <m:rPr>
            <m:sty m:val="p"/>
          </m:rPr>
          <m:t>,</m:t>
        </m:r>
        <m:r>
          <m:rPr>
            <m:sty m:val="i"/>
          </m:rPr>
          <m:t>θ</m:t>
        </m:r>
        <m:r>
          <m:rPr>
            <m:sty m:val="p"/>
          </m:rPr>
          <m:t>,</m:t>
        </m:r>
        <m:r>
          <m:rPr>
            <m:sty m:val="i"/>
          </m:rPr>
          <m:t>z</m:t>
        </m:r>
      </m:oMath>
      <w:r>
        <w:rPr/>
        <w:t xml:space="preserve"> ) en prenant le fil comme axe, autrement dit, </w:t>
      </w:r>
      <m:oMath>
        <m:r>
          <m:rPr>
            <m:sty m:val="i"/>
          </m:rPr>
          <m:t>r</m:t>
        </m:r>
        <m:r>
          <m:rPr>
            <m:sty m:val="p"/>
          </m:rPr>
          <m:t>=</m:t>
        </m:r>
        <m:r>
          <m:rPr>
            <m:sty m:val="p"/>
          </m:rPr>
          <m:t>0</m:t>
        </m:r>
      </m:oMath>
      <w:r>
        <w:rPr/>
        <w:t xml:space="preserve"> correspond au centre du fil.</w:t>
      </w:r>
      <w:r>
        <w:rPr/>
        <w:br w:type="textWrapping"/>
      </w:r>
      <w:r>
        <w:rPr>
          <w:rFonts w:eastAsia="Georgia" w:cs="Georgia" w:ascii="Georgia" w:hAnsi="Georgia"/>
        </w:rPr>
        <w:t xml:space="preserve">Q 38. Établir l'équation différentielle vérifié par </w:t>
      </w:r>
      <m:oMath>
        <m:r>
          <m:rPr>
            <m:sty m:val="i"/>
          </m:rPr>
          <m:t>T</m:t>
        </m:r>
        <m:r>
          <m:rPr>
            <m:sty m:val="p"/>
          </m:rPr>
          <m:t>(</m:t>
        </m:r>
        <m:r>
          <m:rPr>
            <m:sty m:val="i"/>
          </m:rPr>
          <m:t>r</m:t>
        </m:r>
        <m:r>
          <m:rPr>
            <m:sty m:val="p"/>
          </m:rPr>
          <m:t>,</m:t>
        </m:r>
        <m:r>
          <m:rPr>
            <m:sty m:val="i"/>
          </m:rPr>
          <m:t>t</m:t>
        </m:r>
        <m:r>
          <m:rPr>
            <m:sty m:val="p"/>
          </m:rPr>
          <m:t>)</m:t>
        </m:r>
      </m:oMath>
      <w:r>
        <w:rPr>
          <w:rFonts w:eastAsia="Georgia" w:cs="Georgia" w:ascii="Georgia" w:hAnsi="Georgia"/>
        </w:rPr>
        <w:t xml:space="preserve">, la température du matériau en fonction du temps. On pourra introduire la diffusivité thermique du matériau définie par </w:t>
      </w:r>
      <m:oMath>
        <m:r>
          <m:rPr>
            <m:sty m:val="i"/>
          </m:rPr>
          <m:t>α</m:t>
        </m:r>
        <m:r>
          <m:rPr>
            <m:sty m:val="p"/>
          </m:rPr>
          <m:t>=</m:t>
        </m:r>
        <m:f>
          <m:fPr>
            <m:ctrlPr>
              <w:rPr>
                <w:rFonts w:ascii="Cambria Math" w:hAnsi="Cambria Math"/>
              </w:rPr>
            </m:ctrlPr>
          </m:fPr>
          <m:num>
            <m:r>
              <m:rPr>
                <m:sty m:val="i"/>
              </m:rPr>
              <m:t>λ</m:t>
            </m:r>
          </m:num>
          <m:den>
            <m:r>
              <m:rPr>
                <m:sty m:val="i"/>
              </m:rPr>
              <m:t>ρ</m:t>
            </m:r>
            <m:sSub>
              <m:sSubPr/>
              <m:e>
                <m:r>
                  <m:rPr>
                    <m:sty m:val="i"/>
                  </m:rPr>
                  <m:t>c</m:t>
                </m:r>
              </m:e>
              <m:sub>
                <m:r>
                  <m:rPr>
                    <m:sty m:val="i"/>
                  </m:rPr>
                  <m:t>p</m:t>
                </m:r>
              </m:sub>
            </m:sSub>
          </m:den>
        </m:f>
      </m:oMath>
      <w:r>
        <w:rPr/>
        <w:t xml:space="preserve">.</w:t>
      </w:r>
      <w:r>
        <w:rPr/>
        <w:br w:type="textWrapping"/>
      </w:r>
      <w:r>
        <w:rPr>
          <w:rFonts w:eastAsia="Georgia" w:cs="Georgia" w:ascii="Georgia" w:hAnsi="Georgia"/>
        </w:rPr>
        <w:t xml:space="preserve">Q 39. À un instant </w:t>
      </w:r>
      <m:oMath>
        <m:r>
          <m:rPr>
            <m:sty m:val="i"/>
          </m:rPr>
          <m:t>t</m:t>
        </m:r>
      </m:oMath>
      <w:r>
        <w:rPr>
          <w:rFonts w:eastAsia="Georgia" w:cs="Georgia" w:ascii="Georgia" w:hAnsi="Georgia"/>
        </w:rPr>
        <w:t xml:space="preserve"> donné, quelle est, en ordre de grandeur, la longueur caractéristique de variation de la température avec </w:t>
      </w:r>
      <m:oMath>
        <m:r>
          <m:rPr>
            <m:sty m:val="i"/>
          </m:rPr>
          <m:t>r</m:t>
        </m:r>
      </m:oMath>
      <w:r>
        <w:rPr/>
        <w:t xml:space="preserve"> ?</w:t>
      </w:r>
      <w:r>
        <w:rPr/>
        <w:br w:type="textWrapping"/>
      </w:r>
      <w:r>
        <w:rPr>
          <w:rFonts w:eastAsia="Georgia" w:cs="Georgia" w:ascii="Georgia" w:hAnsi="Georgia"/>
        </w:rPr>
        <w:t xml:space="preserve">La résolution de l'équation précédente nécessite d'exprimer la condition limite sur la surface du fil chaud en </w:t>
      </w:r>
      <m:oMath>
        <m:r>
          <m:rPr>
            <m:sty m:val="i"/>
          </m:rPr>
          <m:t>r</m:t>
        </m:r>
        <m:r>
          <m:rPr>
            <m:sty m:val="p"/>
          </m:rPr>
          <m:t>=</m:t>
        </m:r>
        <m:sSub>
          <m:sSubPr/>
          <m:e>
            <m:r>
              <m:rPr>
                <m:sty m:val="i"/>
              </m:rPr>
              <m:t>r</m:t>
            </m:r>
          </m:e>
          <m:sub>
            <m:r>
              <m:rPr>
                <m:sty m:val="p"/>
              </m:rPr>
              <m:t>0</m:t>
            </m:r>
          </m:sub>
        </m:sSub>
      </m:oMath>
      <w:r>
        <w:rPr/>
        <w:t xml:space="preserve">.</w:t>
      </w:r>
      <w:r>
        <w:rPr/>
        <w:br w:type="textWrapping"/>
      </w:r>
      <w:r>
        <w:rPr/>
        <w:t xml:space="preserve">Q 40. Exprimer </w:t>
      </w:r>
      <m:oMath>
        <m:f>
          <m:fPr>
            <m:ctrlPr>
              <w:rPr>
                <w:rFonts w:ascii="Cambria Math" w:hAnsi="Cambria Math"/>
              </w:rPr>
            </m:ctrlPr>
          </m:fPr>
          <m:num>
            <m:r>
              <m:rPr>
                <m:sty m:val="i"/>
              </m:rPr>
              <m:t>∂</m:t>
            </m:r>
            <m:r>
              <m:rPr>
                <m:sty m:val="i"/>
              </m:rPr>
              <m:t>T</m:t>
            </m:r>
          </m:num>
          <m:den>
            <m:r>
              <m:rPr>
                <m:sty m:val="i"/>
              </m:rPr>
              <m:t>∂</m:t>
            </m:r>
            <m:r>
              <m:rPr>
                <m:sty m:val="i"/>
              </m:rPr>
              <m:t>r</m:t>
            </m:r>
          </m:den>
        </m:f>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oMath>
      <w:r>
        <w:rPr/>
        <w:t xml:space="preserve"> en fonction de </w:t>
      </w:r>
      <m:oMath>
        <m:r>
          <m:rPr>
            <m:sty m:val="i"/>
          </m:rPr>
          <m:t>λ</m:t>
        </m:r>
        <m:r>
          <m:rPr>
            <m:sty m:val="p"/>
          </m:rPr>
          <m:t>,</m:t>
        </m:r>
        <m:sSub>
          <m:sSubPr/>
          <m:e>
            <m:r>
              <m:rPr>
                <m:sty m:val="i"/>
              </m:rPr>
              <m:t>r</m:t>
            </m:r>
          </m:e>
          <m:sub>
            <m:r>
              <m:rPr>
                <m:sty m:val="p"/>
              </m:rPr>
              <m:t>0</m:t>
            </m:r>
          </m:sub>
        </m:sSub>
      </m:oMath>
      <w:r>
        <w:rPr/>
        <w:t xml:space="preserve"> et </w:t>
      </w:r>
      <m:oMath>
        <m:sSub>
          <m:sSubPr/>
          <m:e>
            <m:r>
              <m:rPr>
                <m:sty m:val="i"/>
              </m:rPr>
              <m:t>φ</m:t>
            </m:r>
          </m:e>
          <m:sub>
            <m:r>
              <m:rPr>
                <m:sty m:val="i"/>
              </m:rPr>
              <m:t>L</m:t>
            </m:r>
          </m:sub>
        </m:sSub>
      </m:oMath>
      <w:r>
        <w:rPr/>
        <w:t xml:space="preserve">.</w:t>
      </w:r>
    </w:p>
    <w:p>
      <w:pPr>
        <w:spacing w:after="220" w:lineRule="auto"/>
      </w:pPr>
      <w:r>
        <w:rPr>
          <w:rFonts w:eastAsia="Georgia" w:cs="Georgia" w:ascii="Georgia" w:hAnsi="Georgia"/>
        </w:rPr>
        <w:t xml:space="preserve">Compte tenu de cette condition limite et si on néglige le rayon du fil devant la longueur caractéristique de variation de la température avec </w:t>
      </w:r>
      <m:oMath>
        <m:r>
          <m:rPr>
            <m:sty m:val="i"/>
          </m:rPr>
          <m:t>r</m:t>
        </m:r>
      </m:oMath>
      <w:r>
        <w:rPr>
          <w:rFonts w:eastAsia="Georgia" w:cs="Georgia" w:ascii="Georgia" w:hAnsi="Georgia"/>
        </w:rPr>
        <w:t xml:space="preserve">, la solution de l'équation de la question 38 s'écrit</w:t>
      </w:r>
    </w:p>
    <w:p>
      <w:pPr>
        <w:spacing w:after="220" w:lineRule="auto"/>
      </w:pPr>
      <m:oMathPara>
        <m:oMath>
          <m:r>
            <m:rPr>
              <m:sty m:val="i"/>
            </m:rPr>
            <m:t>T</m:t>
          </m:r>
          <m:r>
            <m:rPr>
              <m:sty m:val="p"/>
            </m:rPr>
            <m:t>(</m:t>
          </m:r>
          <m:r>
            <m:rPr>
              <m:sty m:val="i"/>
            </m:rPr>
            <m:t>r</m:t>
          </m:r>
          <m:r>
            <m:rPr>
              <m:sty m:val="p"/>
            </m:rPr>
            <m:t>,</m:t>
          </m:r>
          <m:r>
            <m:rPr>
              <m:sty m:val="i"/>
            </m:rPr>
            <m:t>t</m:t>
          </m:r>
          <m:r>
            <m:rPr>
              <m:sty m:val="p"/>
            </m:rPr>
            <m:t>)</m:t>
          </m:r>
          <m:r>
            <m:rPr>
              <m:sty m:val="p"/>
            </m:rPr>
            <m:t>=</m:t>
          </m:r>
          <m:sSub>
            <m:sSubPr/>
            <m:e>
              <m:r>
                <m:rPr>
                  <m:sty m:val="i"/>
                </m:rPr>
                <m:t>T</m:t>
              </m:r>
            </m:e>
            <m:sub>
              <m:r>
                <m:rPr>
                  <m:sty m:val="p"/>
                </m:rPr>
                <m:t>0</m:t>
              </m:r>
            </m:sub>
          </m:sSub>
          <m:r>
            <m:rPr>
              <m:sty m:val="p"/>
            </m:rPr>
            <m:t>+</m:t>
          </m:r>
          <m:f>
            <m:fPr>
              <m:ctrlPr>
                <w:rPr>
                  <w:rFonts w:ascii="Cambria Math" w:hAnsi="Cambria Math"/>
                </w:rPr>
              </m:ctrlPr>
            </m:fPr>
            <m:num>
              <m:sSub>
                <m:sSubPr/>
                <m:e>
                  <m:r>
                    <m:rPr>
                      <m:sty m:val="i"/>
                    </m:rPr>
                    <m:t>φ</m:t>
                  </m:r>
                </m:e>
                <m:sub>
                  <m:r>
                    <m:rPr>
                      <m:sty m:val="i"/>
                    </m:rPr>
                    <m:t>L</m:t>
                  </m:r>
                </m:sub>
              </m:sSub>
            </m:num>
            <m:den>
              <m:r>
                <m:rPr>
                  <m:sty m:val="p"/>
                </m:rPr>
                <m:t>4</m:t>
              </m:r>
              <m:r>
                <m:rPr>
                  <m:sty m:val="i"/>
                </m:rPr>
                <m:t>π</m:t>
              </m:r>
              <m:r>
                <m:rPr>
                  <m:sty m:val="i"/>
                </m:rPr>
                <m:t>λ</m:t>
              </m:r>
            </m:den>
          </m:f>
          <m:r>
            <m:rPr>
              <m:sty m:val="i"/>
            </m:rPr>
            <m:t>E</m:t>
          </m:r>
          <m:d>
            <m:dPr>
              <m:begChr m:val="("/>
              <m:endChr m:val=")"/>
              <m:ctrlPr>
                <w:rPr>
                  <w:rFonts w:ascii="Cambria Math" w:hAnsi="Cambria Math"/>
                </w:rPr>
              </m:ctrlPr>
            </m:dPr>
            <m:e>
              <m:f>
                <m:fPr>
                  <m:ctrlPr>
                    <w:rPr>
                      <w:rFonts w:ascii="Cambria Math" w:hAnsi="Cambria Math"/>
                    </w:rPr>
                  </m:ctrlPr>
                </m:fPr>
                <m:num>
                  <m:sSup>
                    <m:sSupPr/>
                    <m:e>
                      <m:r>
                        <m:rPr>
                          <m:sty m:val="i"/>
                        </m:rPr>
                        <m:t>r</m:t>
                      </m:r>
                    </m:e>
                    <m:sup>
                      <m:r>
                        <m:rPr>
                          <m:sty m:val="p"/>
                        </m:rPr>
                        <m:t>2</m:t>
                      </m:r>
                    </m:sup>
                  </m:sSup>
                </m:num>
                <m:den>
                  <m:r>
                    <m:rPr>
                      <m:sty m:val="p"/>
                    </m:rPr>
                    <m:t>4</m:t>
                  </m:r>
                  <m:r>
                    <m:rPr>
                      <m:sty m:val="i"/>
                    </m:rPr>
                    <m:t>α</m:t>
                  </m:r>
                  <m:r>
                    <m:rPr>
                      <m:sty m:val="i"/>
                    </m:rPr>
                    <m:t>t</m:t>
                  </m:r>
                </m:den>
              </m:f>
            </m:e>
          </m:d>
          <m:r>
            <m:rPr>
              <m:sty m:val="p"/>
            </m:rPr>
            <m:t xml:space="preserve"> </m:t>
          </m:r>
          <m:r>
            <m:rPr>
              <m:nor/>
            </m:rPr>
            <m:t> avec </m:t>
          </m:r>
          <m:r>
            <m:rPr>
              <m:sty m:val="p"/>
            </m:rPr>
            <m:t xml:space="preserve"> </m:t>
          </m:r>
          <m:r>
            <m:rPr>
              <m:sty m:val="i"/>
            </m:rPr>
            <m:t>E</m:t>
          </m:r>
          <m:r>
            <m:rPr>
              <m:sty m:val="p"/>
            </m:rPr>
            <m:t>(</m:t>
          </m:r>
          <m:r>
            <m:rPr>
              <m:sty m:val="i"/>
            </m:rPr>
            <m:t>x</m:t>
          </m:r>
          <m:r>
            <m:rPr>
              <m:sty m:val="p"/>
            </m:rPr>
            <m:t>)</m:t>
          </m:r>
          <m:r>
            <m:rPr>
              <m:sty m:val="p"/>
            </m:rPr>
            <m:t>=</m:t>
          </m:r>
          <m:nary>
            <m:naryPr>
              <m:chr m:val="∫"/>
              <m:limLoc m:val="subSup"/>
              <m:grow m:val="1"/>
            </m:naryPr>
            <m:sub>
              <m:r>
                <m:rPr>
                  <m:sty m:val="i"/>
                </m:rPr>
                <m:t>x</m:t>
              </m:r>
            </m:sub>
            <m:sup>
              <m:r>
                <m:rPr>
                  <m:sty m:val="p"/>
                </m:rPr>
                <m:t>+</m:t>
              </m:r>
              <m:r>
                <m:rPr>
                  <m:sty m:val="p"/>
                </m:rPr>
                <m:t>∞</m:t>
              </m:r>
            </m:sup>
            <m:e>
              <m:r>
                <m:rPr>
                  <m:sty m:val="p"/>
                </m:rPr>
                <m:t xml:space="preserve"> </m:t>
              </m:r>
            </m:e>
          </m:nary>
          <m:f>
            <m:fPr>
              <m:ctrlPr>
                <w:rPr>
                  <w:rFonts w:ascii="Cambria Math" w:hAnsi="Cambria Math"/>
                </w:rPr>
              </m:ctrlPr>
            </m:fPr>
            <m:num>
              <m:sSup>
                <m:sSupPr/>
                <m:e>
                  <m:r>
                    <m:rPr>
                      <m:sty m:val="i"/>
                    </m:rPr>
                    <m:t>e</m:t>
                  </m:r>
                </m:e>
                <m:sup>
                  <m:r>
                    <m:rPr>
                      <m:sty m:val="p"/>
                    </m:rPr>
                    <m:t>−</m:t>
                  </m:r>
                  <m:r>
                    <m:rPr>
                      <m:sty m:val="i"/>
                    </m:rPr>
                    <m:t>u</m:t>
                  </m:r>
                </m:sup>
              </m:sSup>
            </m:num>
            <m:den>
              <m:r>
                <m:rPr>
                  <m:sty m:val="i"/>
                </m:rPr>
                <m:t>u</m:t>
              </m:r>
            </m:den>
          </m:f>
          <m:r>
            <m:rPr>
              <m:nor/>
            </m:rPr>
            <m:t xml:space="preserve"> </m:t>
          </m:r>
          <m:r>
            <m:rPr>
              <m:sty m:val="p"/>
            </m:rPr>
            <m:t>d</m:t>
          </m:r>
          <m:r>
            <m:rPr>
              <m:sty m:val="i"/>
            </m:rPr>
            <m:t>u</m:t>
          </m:r>
          <m:r>
            <m:rPr>
              <m:sty m:val="p"/>
            </m:rPr>
            <m:t>.</m:t>
          </m:r>
        </m:oMath>
      </m:oMathPara>
    </w:p>
    <w:p>
      <w:pPr>
        <w:spacing w:after="220" w:lineRule="auto"/>
      </w:pPr>
      <w:r>
        <w:rPr/>
        <w:t xml:space="preserve">Pour des valeurs de </w:t>
      </w:r>
      <m:oMath>
        <m:r>
          <m:rPr>
            <m:sty m:val="i"/>
          </m:rPr>
          <m:t>x</m:t>
        </m:r>
      </m:oMath>
      <w:r>
        <w:rPr/>
        <w:t xml:space="preserve"> petites devant 1 , on peut utiliser l'approximation </w:t>
      </w:r>
      <m:oMath>
        <m:r>
          <m:rPr>
            <m:sty m:val="i"/>
          </m:rPr>
          <m:t>E</m:t>
        </m:r>
        <m:r>
          <m:rPr>
            <m:sty m:val="p"/>
          </m:rPr>
          <m:t>(</m:t>
        </m:r>
        <m:r>
          <m:rPr>
            <m:sty m:val="i"/>
          </m:rPr>
          <m:t>x</m:t>
        </m:r>
        <m:r>
          <m:rPr>
            <m:sty m:val="p"/>
          </m:rPr>
          <m:t>)</m:t>
        </m:r>
        <m:r>
          <m:rPr>
            <m:sty m:val="p"/>
          </m:rPr>
          <m:t>=</m:t>
        </m:r>
        <m:r>
          <m:rPr>
            <m:sty m:val="p"/>
          </m:rPr>
          <m:t>−</m:t>
        </m:r>
        <m:r>
          <m:rPr>
            <m:sty m:val="i"/>
          </m:rPr>
          <m:t>γ</m:t>
        </m:r>
        <m:r>
          <m:rPr>
            <m:sty m:val="p"/>
          </m:rPr>
          <m:t>−</m:t>
        </m:r>
        <m:r>
          <m:rPr>
            <m:sty m:val="p"/>
          </m:rPr>
          <m:t>ln</m:t>
        </m:r>
        <m:r>
          <m:rPr>
            <m:sty m:val="p"/>
          </m:rPr>
          <m:t>⁡</m:t>
        </m:r>
        <m:r>
          <m:rPr>
            <m:sty m:val="p"/>
          </m:rPr>
          <m:t>(</m:t>
        </m:r>
        <m:r>
          <m:rPr>
            <m:sty m:val="i"/>
          </m:rPr>
          <m:t>x</m:t>
        </m:r>
        <m:r>
          <m:rPr>
            <m:sty m:val="p"/>
          </m:rPr>
          <m:t>)</m:t>
        </m:r>
      </m:oMath>
      <w:r>
        <w:rPr>
          <w:rFonts w:eastAsia="Georgia" w:cs="Georgia" w:ascii="Georgia" w:hAnsi="Georgia"/>
        </w:rPr>
        <w:t xml:space="preserve"> où </w:t>
      </w:r>
      <m:oMath>
        <m:r>
          <m:rPr>
            <m:sty m:val="i"/>
          </m:rPr>
          <m:t>γ</m:t>
        </m:r>
      </m:oMath>
      <w:r>
        <w:rPr>
          <w:rFonts w:eastAsia="Georgia" w:cs="Georgia" w:ascii="Georgia" w:hAnsi="Georgia"/>
        </w:rPr>
        <w:t xml:space="preserve"> est une constante. Q 41. Donner une expression approchée de </w:t>
      </w:r>
      <m:oMath>
        <m:r>
          <m:rPr>
            <m:sty m:val="i"/>
          </m:rPr>
          <m:t>T</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oMath>
      <w:r>
        <w:rPr>
          <w:rFonts w:eastAsia="Georgia" w:cs="Georgia" w:ascii="Georgia" w:hAnsi="Georgia"/>
        </w:rPr>
        <w:t xml:space="preserve"> aux temps longs en précisant l'échelle de temps pertinente. La figure 16 présente le relevé expérimental de </w:t>
      </w:r>
      <m:oMath>
        <m:r>
          <m:rPr>
            <m:sty m:val="p"/>
          </m:rPr>
          <m:t>Δ</m:t>
        </m:r>
        <m:r>
          <m:rPr>
            <m:sty m:val="i"/>
          </m:rPr>
          <m:t>T</m:t>
        </m:r>
        <m:r>
          <m:rPr>
            <m:sty m:val="p"/>
          </m:rPr>
          <m:t>=</m:t>
        </m:r>
        <m:r>
          <m:rPr>
            <m:sty m:val="i"/>
          </m:rPr>
          <m:t>T</m:t>
        </m:r>
        <m:d>
          <m:dPr>
            <m:begChr m:val="("/>
            <m:endChr m:val=")"/>
            <m:ctrlPr>
              <w:rPr>
                <w:rFonts w:ascii="Cambria Math" w:hAnsi="Cambria Math"/>
              </w:rPr>
            </m:ctrlPr>
          </m:dPr>
          <m:e>
            <m:sSub>
              <m:sSubPr/>
              <m:e>
                <m:r>
                  <m:rPr>
                    <m:sty m:val="i"/>
                  </m:rPr>
                  <m:t>r</m:t>
                </m:r>
              </m:e>
              <m:sub>
                <m:r>
                  <m:rPr>
                    <m:sty m:val="p"/>
                  </m:rPr>
                  <m:t>0</m:t>
                </m:r>
              </m:sub>
            </m:sSub>
            <m:r>
              <m:rPr>
                <m:sty m:val="p"/>
              </m:rPr>
              <m:t>,</m:t>
            </m:r>
            <m:r>
              <m:rPr>
                <m:sty m:val="i"/>
              </m:rPr>
              <m:t>t</m:t>
            </m:r>
          </m:e>
        </m:d>
        <m:r>
          <m:rPr>
            <m:sty m:val="p"/>
          </m:rPr>
          <m:t>−</m:t>
        </m:r>
        <m:sSub>
          <m:sSubPr/>
          <m:e>
            <m:r>
              <m:rPr>
                <m:sty m:val="i"/>
              </m:rPr>
              <m:t>T</m:t>
            </m:r>
          </m:e>
          <m:sub>
            <m:r>
              <m:rPr>
                <m:sty m:val="p"/>
              </m:rPr>
              <m:t>0</m:t>
            </m:r>
          </m:sub>
        </m:sSub>
      </m:oMath>
      <w:r>
        <w:rPr>
          <w:rFonts w:eastAsia="Georgia" w:cs="Georgia" w:ascii="Georgia" w:hAnsi="Georgia"/>
        </w:rPr>
        <w:t xml:space="preserve"> en fonction du temps pour les enceintes d'un procédé SEPT.</w:t>
      </w:r>
    </w:p>
    <w:p>
      <w:pPr>
        <w:spacing w:lineRule="auto"/>
        <w:jc w:val="center"/>
      </w:pPr>
      <w:r>
        <w:rPr/>
        <w:drawing>
          <wp:inline distB="0" distL="0" distR="0" distT="0">
            <wp:extent cx="5486400" cy="3519390"/>
            <wp:effectExtent b="0" l="0" r="0" t="0"/>
            <wp:docPr id="17" name="image-eceb00e867eaf568ccebc86b105018a33a7a8ff5.jpg"/>
            <a:graphic>
              <a:graphicData uri="http://schemas.openxmlformats.org/drawingml/2006/picture">
                <pic:pic>
                  <pic:nvPicPr>
                    <pic:cNvPr id="17" name="image-eceb00e867eaf568ccebc86b105018a33a7a8ff5.jpg" descr=""/>
                    <pic:cNvPicPr/>
                  </pic:nvPicPr>
                  <pic:blipFill>
                    <a:blip r:embed="rId21" cstate="print"/>
                    <a:srcRect b="0" l="0" r="0" t="0"/>
                    <a:stretch>
                      <a:fillRect/>
                    </a:stretch>
                  </pic:blipFill>
                  <pic:spPr>
                    <a:xfrm>
                      <a:off x="0" y="0"/>
                      <a:ext cx="5486400" cy="3519390"/>
                    </a:xfrm>
                    <a:prstGeom prst="rect"/>
                  </pic:spPr>
                </pic:pic>
              </a:graphicData>
            </a:graphic>
          </wp:inline>
        </w:drawing>
      </w:r>
    </w:p>
    <w:p>
      <w:pPr>
        <w:spacing w:lineRule="auto"/>
      </w:pPr>
      <w:r>
        <w:rPr/>
        <w:t xml:space="preserve">Figure 16</w:t>
      </w:r>
    </w:p>
    <w:p>
      <w:pPr>
        <w:spacing w:after="220" w:lineRule="auto"/>
      </w:pPr>
      <w:r>
        <w:rPr>
          <w:rFonts w:eastAsia="Georgia" w:cs="Georgia" w:ascii="Georgia" w:hAnsi="Georgia"/>
        </w:rPr>
        <w:t xml:space="preserve">Q 42. Montrer que ces mesures sont en accord avec les résultats théoriques précédents.</w:t>
      </w:r>
      <w:r>
        <w:rPr/>
        <w:br w:type="textWrapping"/>
      </w:r>
      <w:r>
        <w:rPr>
          <w:rFonts w:eastAsia="Georgia" w:cs="Georgia" w:ascii="Georgia" w:hAnsi="Georgia"/>
        </w:rPr>
        <w:t xml:space="preserve">Q 43. Estimer un ordre de grandeur de la conductivité thermique effective du régénérateur étudié sachant que le fil utilisé a une longueur </w:t>
      </w:r>
      <m:oMath>
        <m:r>
          <m:rPr>
            <m:sty m:val="i"/>
          </m:rPr>
          <m:t>l</m:t>
        </m:r>
        <m:r>
          <m:rPr>
            <m:sty m:val="p"/>
          </m:rPr>
          <m:t>=</m:t>
        </m:r>
        <m:r>
          <m:rPr>
            <m:sty m:val="p"/>
          </m:rPr>
          <m:t>20</m:t>
        </m:r>
        <m:r>
          <m:rPr>
            <m:nor/>
          </m:rPr>
          <m:t xml:space="preserve"> </m:t>
        </m:r>
        <m:r>
          <m:rPr>
            <m:sty m:val="p"/>
          </m:rPr>
          <m:t>cm</m:t>
        </m:r>
      </m:oMath>
      <w:r>
        <w:rPr>
          <w:rFonts w:eastAsia="Georgia" w:cs="Georgia" w:ascii="Georgia" w:hAnsi="Georgia"/>
        </w:rPr>
        <w:t xml:space="preserve"> et qu'il émet un flux thermique total </w:t>
      </w:r>
      <m:oMath>
        <m:r>
          <m:rPr>
            <m:sty m:val="i"/>
          </m:rPr>
          <m:t>φ</m:t>
        </m:r>
        <m:r>
          <m:rPr>
            <m:sty m:val="p"/>
          </m:rPr>
          <m:t>=</m:t>
        </m:r>
        <m:r>
          <m:rPr>
            <m:sty m:val="p"/>
          </m:rPr>
          <m:t>0</m:t>
        </m:r>
        <m:r>
          <m:rPr>
            <m:sty m:val="p"/>
          </m:rPr>
          <m:t>,</m:t>
        </m:r>
        <m:r>
          <m:rPr>
            <m:sty m:val="p"/>
          </m:rPr>
          <m:t>64</m:t>
        </m:r>
        <m:r>
          <m:rPr>
            <m:nor/>
          </m:rPr>
          <m:t xml:space="preserve"> </m:t>
        </m:r>
        <m:r>
          <m:rPr>
            <m:sty m:val="p"/>
          </m:rPr>
          <m:t>W</m:t>
        </m:r>
      </m:oMath>
      <w:r>
        <w:rPr/>
        <w:t xml:space="preserve">.</w:t>
      </w:r>
      <w:r>
        <w:rPr/>
        <w:br w:type="textWrapping"/>
      </w:r>
      <w:r>
        <w:rPr>
          <w:rFonts w:eastAsia="Georgia" w:cs="Georgia" w:ascii="Georgia" w:hAnsi="Georgia"/>
        </w:rPr>
        <w:t xml:space="preserve">Q 44. Commenter le résultat.</w:t>
      </w:r>
    </w:p>
    <w:p>
      <w:pPr>
        <w:spacing w:line="271" w:before="330" w:lineRule="auto"/>
      </w:pPr>
      <w:r>
        <w:rPr>
          <w:rFonts w:eastAsia="Georgia" w:cs="Georgia" w:ascii="Georgia" w:hAnsi="Georgia"/>
          <w:b/>
          <w:sz w:val="42"/>
        </w:rPr>
        <w:t xml:space="preserve">Données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t xml:space="preserve">Constante d'Avogadro</w:t>
            </w:r>
          </w:p>
        </w:tc>
        <w:tc>
          <w:tcPr>
            <w:tcBorders/>
            <w:vAlign w:val="center"/>
          </w:tcPr>
          <w:p>
            <w:pPr>
              <w:spacing w:lineRule="auto"/>
              <w:jc w:val="left"/>
            </w:pPr>
            <m:oMathPara>
              <m:oMathParaPr>
                <m:jc m:val="left"/>
              </m:oMathParaPr>
              <m:oMath>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 Boltzmann</w:t>
            </w:r>
          </w:p>
        </w:tc>
        <w:tc>
          <w:tcPr>
            <w:tcBorders/>
            <w:vAlign w:val="center"/>
          </w:tcPr>
          <w:p>
            <w:pPr>
              <w:spacing w:lineRule="auto"/>
              <w:jc w:val="left"/>
            </w:pPr>
            <m:oMathPara>
              <m:oMathParaPr>
                <m:jc m:val="left"/>
              </m:oMathParaPr>
              <m:oMath>
                <m:sSub>
                  <m:sSubPr/>
                  <m:e>
                    <m:r>
                      <m:rPr>
                        <m:sty m:val="i"/>
                      </m:rPr>
                      <m:t>k</m:t>
                    </m:r>
                  </m:e>
                  <m:sub>
                    <m:r>
                      <m:rPr>
                        <m:sty m:val="i"/>
                      </m:rPr>
                      <m:t>B</m:t>
                    </m:r>
                  </m:sub>
                </m:sSub>
                <m:r>
                  <m:rPr>
                    <m:sty m:val="p"/>
                  </m:rPr>
                  <m:t>=</m:t>
                </m:r>
                <m:r>
                  <m:rPr>
                    <m:sty m:val="p"/>
                  </m:rPr>
                  <m:t>1</m:t>
                </m:r>
                <m:r>
                  <m:rPr>
                    <m:sty m:val="p"/>
                  </m:rPr>
                  <m:t>,</m:t>
                </m:r>
                <m:r>
                  <m:rPr>
                    <m:sty m:val="p"/>
                  </m:rPr>
                  <m:t>38</m:t>
                </m:r>
                <m:r>
                  <m:rPr>
                    <m:sty m:val="p"/>
                  </m:rPr>
                  <m:t>×</m:t>
                </m:r>
                <m:sSup>
                  <m:sSupPr/>
                  <m:e>
                    <m:r>
                      <m:rPr>
                        <m:sty m:val="p"/>
                      </m:rPr>
                      <m:t>10</m:t>
                    </m:r>
                  </m:e>
                  <m:sup>
                    <m:r>
                      <m:rPr>
                        <m:sty m:val="p"/>
                      </m:rPr>
                      <m:t>−</m:t>
                    </m:r>
                    <m:r>
                      <m:rPr>
                        <m:sty m:val="p"/>
                      </m:rPr>
                      <m:t>23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vAlign w:val="center"/>
          </w:tcPr>
          <w:p>
            <w:pPr>
              <w:spacing w:lineRule="auto"/>
              <w:jc w:val="left"/>
            </w:pPr>
            <w:r>
              <w:rPr/>
              <w:t xml:space="preserve">Constante des gaz parfaits</w:t>
            </w:r>
          </w:p>
        </w:tc>
        <w:tc>
          <w:tcPr>
            <w:tcBorders/>
            <w:vAlign w:val="center"/>
          </w:tcPr>
          <w:p>
            <w:pPr>
              <w:spacing w:lineRule="auto"/>
              <w:jc w:val="left"/>
            </w:pPr>
            <m:oMathPara>
              <m:oMathParaPr>
                <m:jc m:val="left"/>
              </m:oMathParaPr>
              <m:oMath>
                <m:r>
                  <m:rPr>
                    <m:sty m:val="i"/>
                  </m:rPr>
                  <m:t>R</m:t>
                </m:r>
                <m:r>
                  <m:rPr>
                    <m:sty m:val="p"/>
                  </m:rPr>
                  <m:t>=</m:t>
                </m:r>
                <m:sSub>
                  <m:sSubPr/>
                  <m:e>
                    <m:r>
                      <m:rPr>
                        <m:sty m:val="i"/>
                      </m:rPr>
                      <m:t>k</m:t>
                    </m:r>
                  </m:e>
                  <m:sub>
                    <m:r>
                      <m:rPr>
                        <m:sty m:val="i"/>
                      </m:rPr>
                      <m:t>B</m:t>
                    </m:r>
                  </m:sub>
                </m:sSub>
                <m:sSub>
                  <m:sSubPr/>
                  <m:e>
                    <m:r>
                      <m:rPr>
                        <m:scr m:val="script"/>
                      </m:rPr>
                      <m:t>N</m:t>
                    </m:r>
                  </m:e>
                  <m:sub>
                    <m:r>
                      <m:rPr>
                        <m:sty m:val="i"/>
                      </m:rPr>
                      <m:t>A</m:t>
                    </m:r>
                  </m:sub>
                </m:sSub>
                <m:r>
                  <m:rPr>
                    <m:sty m:val="p"/>
                  </m:rPr>
                  <m:t>=</m:t>
                </m:r>
                <m:r>
                  <m:rPr>
                    <m:sty m:val="p"/>
                  </m:rPr>
                  <m:t>8</m:t>
                </m:r>
                <m:r>
                  <m:rPr>
                    <m:sty m:val="p"/>
                  </m:rPr>
                  <m:t>,</m:t>
                </m:r>
                <m:r>
                  <m:rPr>
                    <m:sty m:val="p"/>
                  </m:rPr>
                  <m:t>314</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mol</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Opérateur laplacien en coordonnées cylindriques</w:t>
      </w:r>
    </w:p>
    <w:p>
      <w:pPr>
        <w:spacing w:after="220" w:lineRule="auto"/>
      </w:pPr>
      <m:oMathPara>
        <m:oMath>
          <m:r>
            <m:rPr>
              <m:sty m:val="p"/>
            </m:rPr>
            <m:t>Δ</m:t>
          </m:r>
          <m:r>
            <m:rPr>
              <m:sty m:val="i"/>
            </m:rPr>
            <m:t>V</m:t>
          </m:r>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V</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z</m:t>
                  </m:r>
                </m:e>
                <m:sup>
                  <m:r>
                    <m:rPr>
                      <m:sty m:val="p"/>
                    </m:rPr>
                    <m:t>2</m:t>
                  </m:r>
                </m:sup>
              </m:sSup>
            </m:den>
          </m:f>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a92e0b89c489be1aab661a07506a09b6075b8230.jpg" TargetMode="Internal"/><Relationship Id="rId6" Type="http://schemas.openxmlformats.org/officeDocument/2006/relationships/image" Target="media/image-91d35f74bb32bd284caf5d9620ec714551c8a7af.jpg" TargetMode="Internal"/><Relationship Id="rId7" Type="http://schemas.openxmlformats.org/officeDocument/2006/relationships/image" Target="media/image-c8bfc7f5e128d288a2516d95f91d05338006f427.jpg" TargetMode="Internal"/><Relationship Id="rId8" Type="http://schemas.openxmlformats.org/officeDocument/2006/relationships/image" Target="media/image-3b0e6e09a0c15b8d4126bead7101045bd80b9618.jpg" TargetMode="Internal"/><Relationship Id="rId9" Type="http://schemas.openxmlformats.org/officeDocument/2006/relationships/image" Target="media/image-1148408072148f42938b1f3478f689eb4506a3e0.jpg" TargetMode="Internal"/><Relationship Id="rId10" Type="http://schemas.openxmlformats.org/officeDocument/2006/relationships/image" Target="media/image-a39290a8d5d926fefbaeb0ddd407ef7a7d5dd535.jpg" TargetMode="Internal"/><Relationship Id="rId11" Type="http://schemas.openxmlformats.org/officeDocument/2006/relationships/image" Target="media/image-a8bc91e51f1a6a8967715ecadf1a094677715e33.jpg" TargetMode="Internal"/><Relationship Id="rId12" Type="http://schemas.openxmlformats.org/officeDocument/2006/relationships/image" Target="media/image-87db8283aeb79973a9a841893bb08dfe9fb625cb.jpg" TargetMode="Internal"/><Relationship Id="rId13" Type="http://schemas.openxmlformats.org/officeDocument/2006/relationships/image" Target="media/image-d8020a98177f0b6ee2b3841d7fc0a1685e1b0ced.jpg" TargetMode="Internal"/><Relationship Id="rId14" Type="http://schemas.openxmlformats.org/officeDocument/2006/relationships/image" Target="media/image-4512eb41d9b417a4e17a4aba0615d085d6a88954.jpg" TargetMode="Internal"/><Relationship Id="rId15" Type="http://schemas.openxmlformats.org/officeDocument/2006/relationships/image" Target="media/image-93420011b23cf480e62c7b44321caca61c088903.jpg" TargetMode="Internal"/><Relationship Id="rId16" Type="http://schemas.openxmlformats.org/officeDocument/2006/relationships/image" Target="media/image-22e74aff13187debef9a33c9819b3f9eb619ffaa.jpg" TargetMode="Internal"/><Relationship Id="rId17" Type="http://schemas.openxmlformats.org/officeDocument/2006/relationships/image" Target="media/image-3071e183da059277d518af002f5b737bc86da7ef.jpg" TargetMode="Internal"/><Relationship Id="rId18" Type="http://schemas.openxmlformats.org/officeDocument/2006/relationships/image" Target="media/image-51cee6b579ceeea0dc6eae91d7443d150a653d38.jpg" TargetMode="Internal"/><Relationship Id="rId19" Type="http://schemas.openxmlformats.org/officeDocument/2006/relationships/image" Target="media/image-a8b2675536c5495944c502f303c97857351cb360.jpg" TargetMode="Internal"/><Relationship Id="rId20" Type="http://schemas.openxmlformats.org/officeDocument/2006/relationships/image" Target="media/image-8b1a2215660a43353e04dd2fe417ad316269fcfb.jpg" TargetMode="Internal"/><Relationship Id="rId21" Type="http://schemas.openxmlformats.org/officeDocument/2006/relationships/image" Target="media/image-eceb00e867eaf568ccebc86b105018a33a7a8ff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2025-09-04T21:40:58.920Z</dcterms:created>
  <dcterms:modified xsi:type="dcterms:W3CDTF">2025-09-04T21:40:58.920Z</dcterms:modified>
</cp:coreProperties>
</file>