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Physique-chimie 1</w:t>
      </w:r>
    </w:p>
    <w:p>
      <w:pPr>
        <w:spacing w:line="271" w:before="330" w:lineRule="auto"/>
      </w:pPr>
      <w:r>
        <w:rPr>
          <w:b/>
          <w:sz w:val="42"/>
        </w:rPr>
        <w:t xml:space="preserve">4 heures</w:t>
      </w:r>
    </w:p>
    <w:p>
      <w:pPr>
        <w:spacing w:line="271" w:before="330" w:lineRule="auto"/>
      </w:pPr>
      <w:r>
        <w:rPr>
          <w:b/>
          <w:sz w:val="42"/>
        </w:rPr>
        <w:t xml:space="preserve">PSI</w:t>
      </w:r>
      <w:r>
        <w:rPr>
          <w:b/>
          <w:sz w:val="42"/>
        </w:rPr>
        <w:br w:type="textWrapping"/>
      </w:r>
      <w:r>
        <w:rPr>
          <w:rFonts w:eastAsia="Georgia" w:cs="Georgia" w:ascii="Georgia" w:hAnsi="Georgia"/>
          <w:b/>
          <w:sz w:val="42"/>
        </w:rPr>
        <w:t xml:space="preserve"> Calculatrice autorisée</w:t>
      </w:r>
    </w:p>
    <w:p>
      <w:pPr>
        <w:spacing w:line="271" w:before="330" w:lineRule="auto"/>
      </w:pPr>
      <w:r>
        <w:rPr>
          <w:b/>
          <w:sz w:val="42"/>
        </w:rPr>
        <w:t xml:space="preserve">Le feu et l'eau</w:t>
      </w:r>
    </w:p>
    <w:p>
      <w:pPr>
        <w:spacing w:after="220" w:lineRule="auto"/>
      </w:pPr>
      <w:r>
        <w:rPr>
          <w:rFonts w:eastAsia="Georgia" w:cs="Georgia" w:ascii="Georgia" w:hAnsi="Georgia"/>
        </w:rPr>
        <w:t xml:space="preserve">Le 15 avril 2019, un violent incendie s'est déclaré dans la cathédrale de Notre-Dame de Paris. La charpente constituée de milliers de poutres provenant de chênes centenaires a entièrement brulé, la flèche réalisée en plomb s'est effondrée et la structure a été endommagée. Ce sujet traite quelques points concernant cet incendie. Il est constitué de trois parties.</w:t>
      </w:r>
      <w:r>
        <w:rPr/>
        <w:br w:type="textWrapping"/>
      </w:r>
      <w:r>
        <w:rPr>
          <w:rFonts w:eastAsia="Georgia" w:cs="Georgia" w:ascii="Georgia" w:hAnsi="Georgia"/>
        </w:rPr>
        <w:t xml:space="preserve">Certaines questions peu ou pas guidées, demandent de l'initiative de la part du candidat. Leur énoncé est repéré par une barre en marge. Il est alors demandé d'expliciter clairement la démarche et les choix effectués et de les illustrer, le cas échéant, par un schéma. Le barème valorise la prise d'initiative et tient compte du temps nécessaire à la résolution de ces questions.</w:t>
      </w:r>
      <w:r>
        <w:rPr/>
        <w:br w:type="textWrapping"/>
      </w:r>
      <w:r>
        <w:rPr>
          <w:rFonts w:eastAsia="Georgia" w:cs="Georgia" w:ascii="Georgia" w:hAnsi="Georgia"/>
        </w:rPr>
        <w:t xml:space="preserve">Certaines données numériques sont regroupées en fin d'énoncé.</w:t>
      </w:r>
    </w:p>
    <w:p>
      <w:pPr>
        <w:spacing w:line="271" w:before="330" w:lineRule="auto"/>
      </w:pPr>
      <w:r>
        <w:rPr>
          <w:b/>
          <w:sz w:val="42"/>
        </w:rPr>
        <w:t xml:space="preserve">I Le feu</w:t>
      </w:r>
    </w:p>
    <w:p>
      <w:pPr>
        <w:spacing w:after="220" w:lineRule="auto"/>
      </w:pPr>
      <w:r>
        <w:rPr>
          <w:rFonts w:eastAsia="Georgia" w:cs="Georgia" w:ascii="Georgia" w:hAnsi="Georgia"/>
        </w:rPr>
        <w:t xml:space="preserve">Le processus de combustion est une réaction chimique d'oxydation d'un combustible par un comburant (rôle le plus souvent joué par l'oxygène de l'air). Pour des raisons cinétiques, la combustion ne se produit que lorsque les réactifs sont portés à une température élevée. Il est donc nécessaire de fournir de l'énergie - généralement sous forme de transfert thermique - pour amorcer la combustion. Un feu est ainsi la résultante de la combinaison de ces trois éléments (combustible, comburant et énergie). En cas de suppression d'un élément de ce «triangle du feu », la combustion s'arrête ou le feu ne prend pas.</w:t>
      </w:r>
    </w:p>
    <w:p>
      <w:pPr>
        <w:spacing w:line="271" w:before="330" w:lineRule="auto"/>
      </w:pPr>
      <w:r>
        <w:rPr>
          <w:rFonts w:eastAsia="Georgia" w:cs="Georgia" w:ascii="Georgia" w:hAnsi="Georgia"/>
          <w:b/>
          <w:sz w:val="42"/>
        </w:rPr>
        <w:t xml:space="preserve">I.A - Démarrage d'une combustion</w:t>
      </w:r>
    </w:p>
    <w:p>
      <w:pPr>
        <w:spacing w:after="220" w:lineRule="auto"/>
      </w:pPr>
      <w:r>
        <w:rPr>
          <w:rFonts w:eastAsia="Georgia" w:cs="Georgia" w:ascii="Georgia" w:hAnsi="Georgia"/>
        </w:rPr>
        <w:t xml:space="preserve">Cette sous-partie s'intéresse au rôle de la température dans le triangle du feu.</w:t>
      </w:r>
      <w:r>
        <w:rPr/>
        <w:br w:type="textWrapping"/>
      </w:r>
      <w:r>
        <w:rPr>
          <w:rFonts w:eastAsia="Georgia" w:cs="Georgia" w:ascii="Georgia" w:hAnsi="Georgia"/>
        </w:rPr>
        <w:t xml:space="preserve">La réaction combustible-comburant est une réaction d'oxydation exothermique qui dégage de l'énergie et autoentretient le feu.</w:t>
      </w:r>
      <w:r>
        <w:rPr/>
        <w:br w:type="textWrapping"/>
      </w:r>
      <w:r>
        <w:rPr>
          <w:rFonts w:eastAsia="Georgia" w:cs="Georgia" w:ascii="Georgia" w:hAnsi="Georgia"/>
        </w:rPr>
        <w:t xml:space="preserve">Q 1. Rappeler la loi empirique d'Arrhenius et expliquer pourquoi la plupart des réactions chimiques sont accélérées par une augmentation de la température.</w:t>
      </w:r>
      <w:r>
        <w:rPr/>
        <w:br w:type="textWrapping"/>
      </w:r>
      <w:r>
        <w:rPr>
          <w:rFonts w:eastAsia="Georgia" w:cs="Georgia" w:ascii="Georgia" w:hAnsi="Georgia"/>
        </w:rPr>
        <w:t xml:space="preserve">Q 2. Pour quelle phase (solide, liquide ou gaz) du combustible, l'amorçage d'une réaction de combustion devrait-il être plus aisé ? Justifier succinctement.</w:t>
      </w:r>
      <w:r>
        <w:rPr/>
        <w:br w:type="textWrapping"/>
      </w:r>
      <w:r>
        <w:rPr>
          <w:rFonts w:eastAsia="Georgia" w:cs="Georgia" w:ascii="Georgia" w:hAnsi="Georgia"/>
        </w:rPr>
        <w:t xml:space="preserve">On appelle point d'auto-inflammation, la température à partir de laquelle une substance s'enflamme spontanément dans l'atmosphère normale. Pour une feuille de papier typique, le point d'auto-inflammation est de </w:t>
      </w:r>
      <m:oMath>
        <m:r>
          <m:rPr>
            <m:sty m:val="p"/>
          </m:rPr>
          <m:t>232</m:t>
        </m:r>
        <m:sSup>
          <m:sSupPr/>
          <m:e>
            <m:r>
              <m:t xml:space="preserve"> </m:t>
            </m:r>
          </m:e>
          <m:sup>
            <m:r>
              <m:rPr>
                <m:sty m:val="p"/>
              </m:rPr>
              <m:t>∘</m:t>
            </m:r>
          </m:sup>
        </m:sSup>
        <m:r>
          <m:rPr>
            <m:sty m:val="p"/>
          </m:rPr>
          <m:t>C</m:t>
        </m:r>
      </m:oMath>
      <w:r>
        <w:rPr>
          <w:rFonts w:eastAsia="Georgia" w:cs="Georgia" w:ascii="Georgia" w:hAnsi="Georgia"/>
        </w:rPr>
        <w:t xml:space="preserve">. Le papier est ainsi facilement inflammable si l'on concentre, à l'aide d'une loupe, les rayons du soleil sur une feuille.</w:t>
      </w:r>
      <w:r>
        <w:rPr/>
        <w:br w:type="textWrapping"/>
      </w:r>
      <w:r>
        <w:rPr/>
        <w:t xml:space="preserve">On place une feuille de papier noir (de masse surfacique </w:t>
      </w:r>
      <m:oMath>
        <m:r>
          <m:rPr>
            <m:sty m:val="i"/>
          </m:rPr>
          <m:t>σ</m:t>
        </m:r>
        <m:r>
          <m:rPr>
            <m:sty m:val="p"/>
          </m:rPr>
          <m:t>=</m:t>
        </m:r>
        <m:r>
          <m:rPr>
            <m:sty m:val="p"/>
          </m:rPr>
          <m:t>100</m:t>
        </m:r>
        <m:r>
          <m:rPr>
            <m:nor/>
          </m:rPr>
          <m:t xml:space="preserve"> </m:t>
        </m:r>
        <m:r>
          <m:rPr>
            <m:sty m:val="p"/>
          </m:rPr>
          <m:t>g</m:t>
        </m:r>
        <m:r>
          <m:rPr>
            <m:sty m:val="p"/>
          </m:rPr>
          <m:t>⋅</m:t>
        </m:r>
        <m:sSup>
          <m:sSupPr/>
          <m:e>
            <m:r>
              <m:rPr>
                <m:nor/>
              </m:rPr>
              <m:t xml:space="preserve"> </m:t>
            </m:r>
            <m:r>
              <m:rPr>
                <m:sty m:val="p"/>
              </m:rPr>
              <m:t>m</m:t>
            </m:r>
          </m:e>
          <m:sup>
            <m:r>
              <m:rPr>
                <m:sty m:val="p"/>
              </m:rPr>
              <m:t>−</m:t>
            </m:r>
            <m:r>
              <m:rPr>
                <m:sty m:val="p"/>
              </m:rPr>
              <m:t>2</m:t>
            </m:r>
          </m:sup>
        </m:sSup>
      </m:oMath>
      <w:r>
        <w:rPr>
          <w:rFonts w:eastAsia="Georgia" w:cs="Georgia" w:ascii="Georgia" w:hAnsi="Georgia"/>
        </w:rPr>
        <w:t xml:space="preserve"> et de capacité thermique massique </w:t>
      </w:r>
      <m:oMath>
        <m:r>
          <m:rPr>
            <m:sty m:val="i"/>
          </m:rPr>
          <m:t>c</m:t>
        </m:r>
        <m:r>
          <m:rPr>
            <m:sty m:val="p"/>
          </m:rPr>
          <m:t>=</m:t>
        </m:r>
        <m:r>
          <m:rPr>
            <m:sty m:val="p"/>
          </m:rPr>
          <m:t>1</m:t>
        </m:r>
        <m:r>
          <m:rPr>
            <m:sty m:val="p"/>
          </m:rPr>
          <m:t>,</m:t>
        </m:r>
        <m:r>
          <m:rPr>
            <m:sty m:val="p"/>
          </m:rPr>
          <m:t>4</m:t>
        </m:r>
        <m:r>
          <m:rPr>
            <m:nor/>
          </m:rPr>
          <m:t xml:space="preserve"> </m:t>
        </m:r>
        <m:r>
          <m:rPr>
            <m:sty m:val="p"/>
          </m:rPr>
          <m:t>kJ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oMath>
      <w:r>
        <w:rPr/>
        <w:t xml:space="preserve"> ) au foyer d'une lentille convergente de distance focale </w:t>
      </w:r>
      <m:oMath>
        <m:sSup>
          <m:sSupPr/>
          <m:e>
            <m:r>
              <m:rPr>
                <m:sty m:val="i"/>
              </m:rPr>
              <m:t>f</m:t>
            </m:r>
          </m:e>
          <m:sup>
            <m:r>
              <m:rPr>
                <m:sty m:val="i"/>
              </m:rPr>
              <m:t>′</m:t>
            </m:r>
          </m:sup>
        </m:sSup>
        <m:r>
          <m:rPr>
            <m:sty m:val="p"/>
          </m:rPr>
          <m:t>=</m:t>
        </m:r>
        <m:r>
          <m:rPr>
            <m:sty m:val="p"/>
          </m:rPr>
          <m:t>10</m:t>
        </m:r>
        <m:r>
          <m:rPr>
            <m:nor/>
          </m:rPr>
          <m:t xml:space="preserve"> </m:t>
        </m:r>
        <m:r>
          <m:rPr>
            <m:sty m:val="p"/>
          </m:rPr>
          <m:t>cm</m:t>
        </m:r>
      </m:oMath>
      <w:r>
        <w:rPr/>
        <w:t xml:space="preserve"> et de rayon </w:t>
      </w:r>
      <m:oMath>
        <m:r>
          <m:rPr>
            <m:sty m:val="i"/>
          </m:rPr>
          <m:t>r</m:t>
        </m:r>
        <m:r>
          <m:rPr>
            <m:sty m:val="p"/>
          </m:rPr>
          <m:t>=</m:t>
        </m:r>
        <m:r>
          <m:rPr>
            <m:sty m:val="p"/>
          </m:rPr>
          <m:t>5</m:t>
        </m:r>
        <m:r>
          <m:rPr>
            <m:nor/>
          </m:rPr>
          <m:t xml:space="preserve"> </m:t>
        </m:r>
        <m:r>
          <m:rPr>
            <m:sty m:val="p"/>
          </m:rPr>
          <m:t>cm</m:t>
        </m:r>
      </m:oMath>
      <w:r>
        <w:rPr>
          <w:rFonts w:eastAsia="Georgia" w:cs="Georgia" w:ascii="Georgia" w:hAnsi="Georgia"/>
        </w:rPr>
        <w:t xml:space="preserve">. L'axe optique est dirigé selon la direction moyenne des rayons lumineux solaires. La lentille absorbe environ </w:t>
      </w:r>
      <m:oMath>
        <m:r>
          <m:rPr>
            <m:sty m:val="p"/>
          </m:rPr>
          <m:t>25</m:t>
        </m:r>
        <m:r>
          <m:rPr>
            <m:sty m:val="p"/>
          </m:rPr>
          <m:t>%</m:t>
        </m:r>
      </m:oMath>
      <w:r>
        <w:rPr>
          <w:rFonts w:eastAsia="Georgia" w:cs="Georgia" w:ascii="Georgia" w:hAnsi="Georgia"/>
        </w:rPr>
        <w:t xml:space="preserve"> du rayonnement solaire dont le flux surfacique moyen est égal à </w:t>
      </w:r>
      <m:oMath>
        <m:r>
          <m:rPr>
            <m:sty m:val="p"/>
          </m:rPr>
          <m:t>800</m:t>
        </m:r>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oMath>
      <w:r>
        <w:rPr/>
        <w:t xml:space="preserve">.</w:t>
      </w:r>
      <w:r>
        <w:rPr/>
        <w:br w:type="textWrapping"/>
      </w:r>
      <w:r>
        <w:rPr>
          <w:rFonts w:eastAsia="Georgia" w:cs="Georgia" w:ascii="Georgia" w:hAnsi="Georgia"/>
        </w:rPr>
        <w:t xml:space="preserve">Q 3. Déterminer la durée minimale nécessaire à l'auto-inflammation de la feuille de papier, de température initiale </w:t>
      </w:r>
      <m:oMath>
        <m:sSup>
          <m:sSupPr/>
          <m:e>
            <m:r>
              <m:rPr>
                <m:sty m:val="p"/>
              </m:rPr>
              <m:t>20</m:t>
            </m:r>
          </m:e>
          <m:sup>
            <m:r>
              <m:rPr>
                <m:sty m:val="p"/>
              </m:rPr>
              <m:t>∘</m:t>
            </m:r>
          </m:sup>
        </m:sSup>
        <m:r>
          <m:rPr>
            <m:sty m:val="p"/>
          </m:rPr>
          <m:t>C</m:t>
        </m:r>
      </m:oMath>
      <w:r>
        <w:rPr>
          <w:rFonts w:eastAsia="Georgia" w:cs="Georgia" w:ascii="Georgia" w:hAnsi="Georgia"/>
        </w:rPr>
        <w:t xml:space="preserve">, sachant que le Soleil est vu sous un diamètre angulaire apparent </w:t>
      </w:r>
      <m:oMath>
        <m:r>
          <m:rPr>
            <m:sty m:val="i"/>
          </m:rPr>
          <m:t>α</m:t>
        </m:r>
        <m:r>
          <m:rPr>
            <m:sty m:val="p"/>
          </m:rPr>
          <m:t>=</m:t>
        </m:r>
        <m:r>
          <m:rPr>
            <m:sty m:val="p"/>
          </m:rPr>
          <m:t>32</m:t>
        </m:r>
      </m:oMath>
      <w:r>
        <w:rPr/>
        <w:t xml:space="preserve"> minutes d'arc.</w:t>
      </w:r>
      <w:r>
        <w:rPr/>
        <w:br w:type="textWrapping"/>
      </w:r>
      <w:r>
        <w:rPr>
          <w:rFonts w:eastAsia="Georgia" w:cs="Georgia" w:ascii="Georgia" w:hAnsi="Georgia"/>
        </w:rPr>
        <w:t xml:space="preserve">Q 4. La durée réelle devrait-elle être plus importante ou plus faible ? Le choix du papier noir est-il judicieux ?</w:t>
      </w:r>
    </w:p>
    <w:p>
      <w:pPr>
        <w:spacing w:line="271" w:before="330" w:lineRule="auto"/>
      </w:pPr>
      <w:r>
        <w:rPr>
          <w:b/>
          <w:sz w:val="42"/>
        </w:rPr>
        <w:t xml:space="preserve">I.B - Combustion du bois</w:t>
      </w:r>
    </w:p>
    <w:p>
      <w:pPr>
        <w:spacing w:after="220" w:lineRule="auto"/>
      </w:pPr>
      <w:r>
        <w:rPr>
          <w:rFonts w:eastAsia="Georgia" w:cs="Georgia" w:ascii="Georgia" w:hAnsi="Georgia"/>
        </w:rPr>
        <w:t xml:space="preserve">Un solide, en particulier le bois, passe par plusieurs phases au cours de son échauffement avant de bruler, avec apparition des flammes. D'abord l'eau qu'il contient s'évapore autour de </w:t>
      </w:r>
      <m:oMath>
        <m:sSup>
          <m:sSupPr/>
          <m:e>
            <m:r>
              <m:rPr>
                <m:sty m:val="p"/>
              </m:rPr>
              <m:t>100</m:t>
            </m:r>
          </m:e>
          <m:sup>
            <m:r>
              <m:rPr>
                <m:sty m:val="p"/>
              </m:rPr>
              <m:t>∘</m:t>
            </m:r>
          </m:sup>
        </m:sSup>
        <m:r>
          <m:rPr>
            <m:sty m:val="p"/>
          </m:rPr>
          <m:t>C</m:t>
        </m:r>
      </m:oMath>
      <w:r>
        <w:rPr>
          <w:rFonts w:eastAsia="Georgia" w:cs="Georgia" w:ascii="Georgia" w:hAnsi="Georgia"/>
        </w:rPr>
        <w:t xml:space="preserve"> à la pression atmosphérique, puis les constituants du bois commencent à se décomposer ; il s'agit du phénomène de pyrolyse, généralement observé entre </w:t>
      </w:r>
      <m:oMath>
        <m:sSup>
          <m:sSupPr/>
          <m:e>
            <m:r>
              <m:rPr>
                <m:sty m:val="p"/>
              </m:rPr>
              <m:t>250</m:t>
            </m:r>
          </m:e>
          <m:sup>
            <m:r>
              <m:rPr>
                <m:sty m:val="p"/>
              </m:rPr>
              <m:t>∘</m:t>
            </m:r>
          </m:sup>
        </m:sSup>
        <m:r>
          <m:rPr>
            <m:sty m:val="p"/>
          </m:rPr>
          <m:t>C</m:t>
        </m:r>
      </m:oMath>
      <w:r>
        <w:rPr/>
        <w:t xml:space="preserve"> et </w:t>
      </w:r>
      <m:oMath>
        <m:sSup>
          <m:sSupPr/>
          <m:e>
            <m:r>
              <m:rPr>
                <m:sty m:val="p"/>
              </m:rPr>
              <m:t>500</m:t>
            </m:r>
          </m:e>
          <m:sup>
            <m:r>
              <m:rPr>
                <m:sty m:val="p"/>
              </m:rPr>
              <m:t>∘</m:t>
            </m:r>
          </m:sup>
        </m:sSup>
        <m:r>
          <m:rPr>
            <m:sty m:val="p"/>
          </m:rPr>
          <m:t>C</m:t>
        </m:r>
      </m:oMath>
      <w:r>
        <w:rPr>
          <w:rFonts w:eastAsia="Georgia" w:cs="Georgia" w:ascii="Georgia" w:hAnsi="Georgia"/>
        </w:rPr>
        <w:t xml:space="preserve">, qui conduit à la formation de gaz. C'est une partie de l'énergie dégagée par la combustion de ces gaz de pyrolyse dans le dioxygène de l'air qui permet de perpétuer l'ensemble de ces étapes. Lorsque le processus de pyrolyse est terminé et qu'il n'y a plus de substances volatiles, il subsiste un résidu charbonneux rougeoyant qui dégage encore beaucoup d'énergie, sa surface extérieure atteignant </w:t>
      </w:r>
      <m:oMath>
        <m:sSup>
          <m:sSupPr/>
          <m:e>
            <m:r>
              <m:rPr>
                <m:sty m:val="p"/>
              </m:rPr>
              <m:t>800</m:t>
            </m:r>
          </m:e>
          <m:sup>
            <m:r>
              <m:rPr>
                <m:sty m:val="p"/>
              </m:rPr>
              <m:t>∘</m:t>
            </m:r>
          </m:sup>
        </m:sSup>
        <m:r>
          <m:rPr>
            <m:sty m:val="p"/>
          </m:rPr>
          <m:t>C</m:t>
        </m:r>
      </m:oMath>
      <w:r>
        <w:rPr/>
        <w:t xml:space="preserve">.</w:t>
      </w:r>
      <w:r>
        <w:rPr/>
        <w:br w:type="textWrapping"/>
      </w:r>
      <w:r>
        <w:rPr>
          <w:rFonts w:eastAsia="Georgia" w:cs="Georgia" w:ascii="Georgia" w:hAnsi="Georgia"/>
        </w:rPr>
        <w:t xml:space="preserve">Le bois de chêne est composé principalement d'environ </w:t>
      </w:r>
      <m:oMath>
        <m:r>
          <m:rPr>
            <m:sty m:val="p"/>
          </m:rPr>
          <m:t>25</m:t>
        </m:r>
        <m:r>
          <m:rPr>
            <m:sty m:val="p"/>
          </m:rPr>
          <m:t>%</m:t>
        </m:r>
      </m:oMath>
      <w:r>
        <w:rPr/>
        <w:t xml:space="preserve"> de lignine </w:t>
      </w:r>
      <m:oMath>
        <m:d>
          <m:dPr>
            <m:begChr m:val="("/>
            <m:endChr m:val=")"/>
            <m:ctrlPr>
              <w:rPr>
                <w:rFonts w:ascii="Cambria Math" w:hAnsi="Cambria Math"/>
              </w:rPr>
            </m:ctrlPr>
          </m:dPr>
          <m:e>
            <m:sSub>
              <m:sSubPr/>
              <m:e>
                <m:r>
                  <m:rPr>
                    <m:sty m:val="p"/>
                  </m:rPr>
                  <m:t>C</m:t>
                </m:r>
              </m:e>
              <m:sub>
                <m:r>
                  <m:rPr>
                    <m:sty m:val="p"/>
                  </m:rPr>
                  <m:t>40</m:t>
                </m:r>
              </m:sub>
            </m:sSub>
            <m:sSub>
              <m:sSubPr/>
              <m:e>
                <m:r>
                  <m:rPr>
                    <m:sty m:val="p"/>
                  </m:rPr>
                  <m:t>H</m:t>
                </m:r>
              </m:e>
              <m:sub>
                <m:r>
                  <m:rPr>
                    <m:sty m:val="p"/>
                  </m:rPr>
                  <m:t>44</m:t>
                </m:r>
              </m:sub>
            </m:sSub>
            <m:sSub>
              <m:sSubPr/>
              <m:e>
                <m:r>
                  <m:rPr>
                    <m:sty m:val="p"/>
                  </m:rPr>
                  <m:t>O</m:t>
                </m:r>
              </m:e>
              <m:sub>
                <m:r>
                  <m:rPr>
                    <m:sty m:val="p"/>
                  </m:rPr>
                  <m:t>6</m:t>
                </m:r>
              </m:sub>
            </m:sSub>
          </m:e>
        </m:d>
      </m:oMath>
      <w:r>
        <w:rPr/>
        <w:t xml:space="preserve"> et </w:t>
      </w:r>
      <m:oMath>
        <m:r>
          <m:rPr>
            <m:sty m:val="p"/>
          </m:rPr>
          <m:t>75</m:t>
        </m:r>
        <m:r>
          <m:rPr>
            <m:sty m:val="p"/>
          </m:rPr>
          <m:t>%</m:t>
        </m:r>
      </m:oMath>
      <w:r>
        <w:rPr/>
        <w:t xml:space="preserve"> de carbohydrates </w:t>
      </w:r>
      <m:oMath>
        <m:sSub>
          <m:sSubPr/>
          <m:e>
            <m:r>
              <m:rPr>
                <m:sty m:val="p"/>
              </m:rPr>
              <m:t>C</m:t>
            </m:r>
          </m:e>
          <m:sub>
            <m:r>
              <m:rPr>
                <m:sty m:val="i"/>
              </m:rPr>
              <m:t>n</m:t>
            </m:r>
          </m:sub>
        </m:sSub>
        <m:sSub>
          <m:sSubPr/>
          <m:e>
            <m:d>
              <m:dPr>
                <m:begChr m:val="("/>
                <m:endChr m:val=")"/>
                <m:ctrlPr>
                  <w:rPr>
                    <w:rFonts w:ascii="Cambria Math" w:hAnsi="Cambria Math"/>
                  </w:rPr>
                </m:ctrlPr>
              </m:dPr>
              <m:e>
                <m:sSub>
                  <m:sSubPr/>
                  <m:e>
                    <m:r>
                      <m:rPr>
                        <m:sty m:val="p"/>
                      </m:rPr>
                      <m:t>H</m:t>
                    </m:r>
                  </m:e>
                  <m:sub>
                    <m:r>
                      <m:rPr>
                        <m:sty m:val="p"/>
                      </m:rPr>
                      <m:t>2</m:t>
                    </m:r>
                  </m:sub>
                </m:sSub>
                <m:r>
                  <m:rPr>
                    <m:sty m:val="p"/>
                  </m:rPr>
                  <m:t>O</m:t>
                </m:r>
              </m:e>
            </m:d>
          </m:e>
          <m:sub>
            <m:r>
              <m:rPr>
                <m:sty m:val="i"/>
              </m:rPr>
              <m:t>m</m:t>
            </m:r>
          </m:sub>
        </m:sSub>
      </m:oMath>
      <w:r>
        <w:rPr/>
        <w:t xml:space="preserve"> (cellulose </w:t>
      </w:r>
      <m:oMath>
        <m:sSub>
          <m:sSubPr/>
          <m:e>
            <m:d>
              <m:dPr>
                <m:begChr m:val="("/>
                <m:endChr m:val=")"/>
                <m:ctrlPr>
                  <w:rPr>
                    <w:rFonts w:ascii="Cambria Math" w:hAnsi="Cambria Math"/>
                  </w:rPr>
                </m:ctrlPr>
              </m:dPr>
              <m:e>
                <m:sSub>
                  <m:sSubPr/>
                  <m:e>
                    <m:r>
                      <m:rPr>
                        <m:sty m:val="p"/>
                      </m:rPr>
                      <m:t>C</m:t>
                    </m:r>
                  </m:e>
                  <m:sub>
                    <m:r>
                      <m:rPr>
                        <m:sty m:val="p"/>
                      </m:rPr>
                      <m:t>6</m:t>
                    </m:r>
                  </m:sub>
                </m:sSub>
                <m:sSub>
                  <m:sSubPr/>
                  <m:e>
                    <m:r>
                      <m:rPr>
                        <m:sty m:val="p"/>
                      </m:rPr>
                      <m:t>H</m:t>
                    </m:r>
                  </m:e>
                  <m:sub>
                    <m:r>
                      <m:rPr>
                        <m:sty m:val="p"/>
                      </m:rPr>
                      <m:t>10</m:t>
                    </m:r>
                  </m:sub>
                </m:sSub>
                <m:sSub>
                  <m:sSubPr/>
                  <m:e>
                    <m:r>
                      <m:rPr>
                        <m:sty m:val="p"/>
                      </m:rPr>
                      <m:t>O</m:t>
                    </m:r>
                  </m:e>
                  <m:sub>
                    <m:r>
                      <m:rPr>
                        <m:sty m:val="p"/>
                      </m:rPr>
                      <m:t>5</m:t>
                    </m:r>
                  </m:sub>
                </m:sSub>
              </m:e>
            </m:d>
          </m:e>
          <m:sub>
            <m:r>
              <m:rPr>
                <m:sty m:val="i"/>
              </m:rPr>
              <m:t>p</m:t>
            </m:r>
          </m:sub>
        </m:sSub>
      </m:oMath>
      <w:r>
        <w:rPr/>
        <w:t xml:space="preserve"> et hemicellulose).</w:t>
      </w:r>
    </w:p>
    <w:p>
      <w:pPr>
        <w:spacing w:lineRule="auto"/>
        <w:jc w:val="center"/>
      </w:pPr>
      <w:r>
        <w:rPr/>
        <w:drawing>
          <wp:inline distB="0" distL="0" distR="0" distT="0">
            <wp:extent cx="5486400" cy="3530379"/>
            <wp:effectExtent b="0" l="0" r="0" t="0"/>
            <wp:docPr id="1" name="image-6d04b4c14dc46c338ec7b24c1b81404c2ab147db.jpg"/>
            <a:graphic>
              <a:graphicData uri="http://schemas.openxmlformats.org/drawingml/2006/picture">
                <pic:pic>
                  <pic:nvPicPr>
                    <pic:cNvPr id="1" name="image-6d04b4c14dc46c338ec7b24c1b81404c2ab147db.jpg" descr=""/>
                    <pic:cNvPicPr/>
                  </pic:nvPicPr>
                  <pic:blipFill>
                    <a:blip r:embed="rId5" cstate="print"/>
                    <a:srcRect b="0" l="0" r="0" t="0"/>
                    <a:stretch>
                      <a:fillRect/>
                    </a:stretch>
                  </pic:blipFill>
                  <pic:spPr>
                    <a:xfrm>
                      <a:off x="0" y="0"/>
                      <a:ext cx="5486400" cy="3530379"/>
                    </a:xfrm>
                    <a:prstGeom prst="rect"/>
                  </pic:spPr>
                </pic:pic>
              </a:graphicData>
            </a:graphic>
          </wp:inline>
        </w:drawing>
      </w:r>
    </w:p>
    <w:p>
      <w:pPr>
        <w:spacing w:lineRule="auto"/>
      </w:pPr>
      <w:r>
        <w:rPr>
          <w:rFonts w:eastAsia="Georgia" w:cs="Georgia" w:ascii="Georgia" w:hAnsi="Georgia"/>
        </w:rPr>
        <w:t xml:space="preserve">Figure 1 Différentes phases de combustion du bois </w:t>
      </w:r>
      <m:oMath>
        <m:sSup>
          <m:sSupPr/>
          <m:e>
            <m:r>
              <m:t xml:space="preserve"> </m:t>
            </m:r>
          </m:e>
          <m:sup>
            <m:r>
              <m:rPr>
                <m:sty m:val="p"/>
              </m:rPr>
              <m:t>1</m:t>
            </m:r>
          </m:sup>
        </m:sSup>
      </m:oMath>
    </w:p>
    <w:p>
      <w:pPr>
        <w:spacing w:after="220" w:lineRule="auto"/>
      </w:pPr>
      <w:r>
        <w:rPr>
          <w:rFonts w:eastAsia="Georgia" w:cs="Georgia" w:ascii="Georgia" w:hAnsi="Georgia"/>
        </w:rPr>
        <w:t xml:space="preserve">Q 5. Une analyse élémentaire a fourni les pourcentages massiques respectifs en élément carbone, hydrogène et oxygène de </w:t>
      </w:r>
      <m:oMath>
        <m:r>
          <m:rPr>
            <m:sty m:val="p"/>
          </m:rPr>
          <m:t>50</m:t>
        </m:r>
        <m:r>
          <m:rPr>
            <m:sty m:val="p"/>
          </m:rPr>
          <m:t>%</m:t>
        </m:r>
        <m:r>
          <m:rPr>
            <m:sty m:val="p"/>
          </m:rPr>
          <m:t>,</m:t>
        </m:r>
        <m:r>
          <m:rPr>
            <m:sty m:val="p"/>
          </m:rPr>
          <m:t>6</m:t>
        </m:r>
        <m:r>
          <m:rPr>
            <m:sty m:val="p"/>
          </m:rPr>
          <m:t>%</m:t>
        </m:r>
      </m:oMath>
      <w:r>
        <w:rPr/>
        <w:t xml:space="preserve"> et </w:t>
      </w:r>
      <m:oMath>
        <m:r>
          <m:rPr>
            <m:sty m:val="p"/>
          </m:rPr>
          <m:t>44</m:t>
        </m:r>
        <m:r>
          <m:rPr>
            <m:sty m:val="p"/>
          </m:rPr>
          <m:t>%</m:t>
        </m:r>
      </m:oMath>
      <w:r>
        <w:rPr>
          <w:rFonts w:eastAsia="Georgia" w:cs="Georgia" w:ascii="Georgia" w:hAnsi="Georgia"/>
        </w:rPr>
        <w:t xml:space="preserve">. Montrer que, si le bois pouvait être considéré comme un corps pur, sa formule chimique serait </w:t>
      </w:r>
      <m:oMath>
        <m:sSub>
          <m:sSubPr/>
          <m:e>
            <m:r>
              <m:rPr>
                <m:sty m:val="p"/>
              </m:rPr>
              <m:t>CH</m:t>
            </m:r>
          </m:e>
          <m:sub>
            <m:r>
              <m:rPr>
                <m:sty m:val="p"/>
              </m:rPr>
              <m:t>1</m:t>
            </m:r>
            <m:r>
              <m:rPr>
                <m:sty m:val="p"/>
              </m:rPr>
              <m:t>,</m:t>
            </m:r>
            <m:r>
              <m:rPr>
                <m:sty m:val="p"/>
              </m:rPr>
              <m:t>44</m:t>
            </m:r>
          </m:sub>
        </m:sSub>
        <m:sSub>
          <m:sSubPr/>
          <m:e>
            <m:r>
              <m:rPr>
                <m:sty m:val="p"/>
              </m:rPr>
              <m:t>O</m:t>
            </m:r>
          </m:e>
          <m:sub>
            <m:r>
              <m:rPr>
                <m:sty m:val="p"/>
              </m:rPr>
              <m:t>0</m:t>
            </m:r>
            <m:r>
              <m:rPr>
                <m:sty m:val="p"/>
              </m:rPr>
              <m:t>,</m:t>
            </m:r>
            <m:r>
              <m:rPr>
                <m:sty m:val="p"/>
              </m:rPr>
              <m:t>66</m:t>
            </m:r>
          </m:sub>
        </m:sSub>
      </m:oMath>
      <w:r>
        <w:rPr/>
        <w:t xml:space="preserve">.</w:t>
      </w:r>
      <w:r>
        <w:rPr/>
        <w:br w:type="textWrapping"/>
      </w:r>
      <w:r>
        <w:rPr>
          <w:rFonts w:eastAsia="Georgia" w:cs="Georgia" w:ascii="Georgia" w:hAnsi="Georgia"/>
        </w:rPr>
        <w:t xml:space="preserve">Dans la suite, on assimilera le bois à un corps pur de formule chimique brute </w:t>
      </w:r>
      <m:oMath>
        <m:sSub>
          <m:sSubPr/>
          <m:e>
            <m:r>
              <m:rPr>
                <m:sty m:val="p"/>
              </m:rPr>
              <m:t>CH</m:t>
            </m:r>
          </m:e>
          <m:sub>
            <m:r>
              <m:rPr>
                <m:sty m:val="p"/>
              </m:rPr>
              <m:t>1</m:t>
            </m:r>
            <m:r>
              <m:rPr>
                <m:sty m:val="p"/>
              </m:rPr>
              <m:t>,</m:t>
            </m:r>
            <m:r>
              <m:rPr>
                <m:sty m:val="p"/>
              </m:rPr>
              <m:t>44</m:t>
            </m:r>
          </m:sub>
        </m:sSub>
        <m:sSub>
          <m:sSubPr/>
          <m:e>
            <m:r>
              <m:rPr>
                <m:sty m:val="p"/>
              </m:rPr>
              <m:t>O</m:t>
            </m:r>
          </m:e>
          <m:sub>
            <m:r>
              <m:rPr>
                <m:sty m:val="p"/>
              </m:rPr>
              <m:t>0</m:t>
            </m:r>
            <m:r>
              <m:rPr>
                <m:sty m:val="p"/>
              </m:rPr>
              <m:t>,</m:t>
            </m:r>
            <m:r>
              <m:rPr>
                <m:sty m:val="p"/>
              </m:rPr>
              <m:t>66</m:t>
            </m:r>
          </m:sub>
        </m:sSub>
      </m:oMath>
      <w:r>
        <w:rPr/>
        <w:t xml:space="preserve">.</w:t>
      </w:r>
      <w:r>
        <w:rPr/>
        <w:br w:type="textWrapping"/>
      </w:r>
      <w:r>
        <w:rPr>
          <w:rFonts w:eastAsia="Georgia" w:cs="Georgia" w:ascii="Georgia" w:hAnsi="Georgia"/>
        </w:rPr>
        <w:t xml:space="preserve">Q 6. Écrire l'équation-bilan de la réaction de combustion du bois avec l'oxygène de l'air. La combustion est supposée complète et conduire à la formation de </w:t>
      </w:r>
      <m:oMath>
        <m:sSub>
          <m:sSubPr/>
          <m:e>
            <m:r>
              <m:rPr>
                <m:sty m:val="p"/>
              </m:rPr>
              <m:t>CO</m:t>
            </m:r>
          </m:e>
          <m:sub>
            <m:r>
              <m:rPr>
                <m:sty m:val="p"/>
              </m:rPr>
              <m:t>2</m:t>
            </m:r>
          </m:sub>
        </m:sSub>
      </m:oMath>
      <w:r>
        <w:rPr/>
        <w:t xml:space="preserve"> et </w:t>
      </w:r>
      <m:oMath>
        <m:sSub>
          <m:sSubPr/>
          <m:e>
            <m:r>
              <m:rPr>
                <m:sty m:val="p"/>
              </m:rPr>
              <m:t>H</m:t>
            </m:r>
          </m:e>
          <m:sub>
            <m:r>
              <m:rPr>
                <m:sty m:val="p"/>
              </m:rPr>
              <m:t>2</m:t>
            </m:r>
          </m:sub>
        </m:sSub>
        <m:r>
          <m:rPr>
            <m:sty m:val="p"/>
          </m:rPr>
          <m:t>O</m:t>
        </m:r>
      </m:oMath>
      <w:r>
        <w:rPr/>
        <w:t xml:space="preserve">.</w:t>
      </w:r>
      <w:r>
        <w:rPr/>
        <w:br w:type="textWrapping"/>
      </w:r>
      <w:r>
        <w:rPr>
          <w:rFonts w:eastAsia="Georgia" w:cs="Georgia" w:ascii="Georgia" w:hAnsi="Georgia"/>
        </w:rPr>
        <w:t xml:space="preserve">On appelle pouvoir calorifique inférieur (PCI) l'énergie dégagée par la combustion complète d'un kilogramme de combustible à pression constante, l'eau produite étant sous forme de vapeur.</w:t>
      </w:r>
      <w:r>
        <w:rPr/>
        <w:br w:type="textWrapping"/>
      </w:r>
      <w:r>
        <w:rPr>
          <w:rFonts w:eastAsia="Georgia" w:cs="Georgia" w:ascii="Georgia" w:hAnsi="Georgia"/>
        </w:rPr>
        <w:t xml:space="preserve">Q 7. Pour le chêne, on mesure un PCI de </w:t>
      </w:r>
      <m:oMath>
        <m:r>
          <m:rPr>
            <m:sty m:val="p"/>
          </m:rPr>
          <m:t>19</m:t>
        </m:r>
        <m:r>
          <m:rPr>
            <m:sty m:val="p"/>
          </m:rPr>
          <m:t>MJ</m:t>
        </m:r>
        <m:r>
          <m:rPr>
            <m:sty m:val="p"/>
          </m:rPr>
          <m:t>⋅</m:t>
        </m:r>
        <m:sSup>
          <m:sSupPr/>
          <m:e>
            <m:r>
              <m:rPr>
                <m:sty m:val="p"/>
              </m:rPr>
              <m:t>kg</m:t>
            </m:r>
          </m:e>
          <m:sup>
            <m:r>
              <m:rPr>
                <m:sty m:val="p"/>
              </m:rPr>
              <m:t>−</m:t>
            </m:r>
            <m:r>
              <m:rPr>
                <m:sty m:val="p"/>
              </m:rPr>
              <m:t>1</m:t>
            </m:r>
          </m:sup>
        </m:sSup>
      </m:oMath>
      <w:r>
        <w:rPr>
          <w:rFonts w:eastAsia="Georgia" w:cs="Georgia" w:ascii="Georgia" w:hAnsi="Georgia"/>
        </w:rPr>
        <w:t xml:space="preserve">. Quelle serait la valeur numérique de l'enthalpie de réaction de cette combustion?</w:t>
      </w:r>
      <w:r>
        <w:rPr/>
        <w:br w:type="textWrapping"/>
      </w:r>
      <w:r>
        <w:rPr>
          <w:rFonts w:eastAsia="Georgia" w:cs="Georgia" w:ascii="Georgia" w:hAnsi="Georgia"/>
        </w:rPr>
        <w:t xml:space="preserve">Q 8. En admettant qu'en fin de pyrolyse, les gaz libérés soient pour l'essentiel du dihydrogène </w:t>
      </w:r>
      <m:oMath>
        <m:sSub>
          <m:sSubPr/>
          <m:e>
            <m:r>
              <m:rPr>
                <m:sty m:val="p"/>
              </m:rPr>
              <m:t>H</m:t>
            </m:r>
          </m:e>
          <m:sub>
            <m:r>
              <m:rPr>
                <m:sty m:val="p"/>
              </m:rPr>
              <m:t>2</m:t>
            </m:r>
          </m:sub>
        </m:sSub>
      </m:oMath>
      <w:r>
        <w:rPr>
          <w:rFonts w:eastAsia="Georgia" w:cs="Georgia" w:ascii="Georgia" w:hAnsi="Georgia"/>
        </w:rPr>
        <w:t xml:space="preserve"> et du monoxyde de carbone CO , retrouver, à partir des données tabulées, la valeur de l'enthalpie standard de réaction de la combustion de ces gaz de pyrolyse dans le dioxygène de l'air. Conclure.</w:t>
      </w:r>
      <w:r>
        <w:rPr/>
        <w:br w:type="textWrapping"/>
      </w:r>
      <w:r>
        <w:rPr>
          <w:rFonts w:eastAsia="Georgia" w:cs="Georgia" w:ascii="Georgia" w:hAnsi="Georgia"/>
        </w:rPr>
        <w:t xml:space="preserve">Q 9. Dans une pièce calorifugée et fermée, initialement à </w:t>
      </w:r>
      <m:oMath>
        <m:sSup>
          <m:sSupPr/>
          <m:e>
            <m:r>
              <m:rPr>
                <m:sty m:val="p"/>
              </m:rPr>
              <m:t>20</m:t>
            </m:r>
          </m:e>
          <m:sup>
            <m:r>
              <m:rPr>
                <m:sty m:val="p"/>
              </m:rPr>
              <m:t>∘</m:t>
            </m:r>
          </m:sup>
        </m:sSup>
        <m:r>
          <m:rPr>
            <m:sty m:val="p"/>
          </m:rPr>
          <m:t>C</m:t>
        </m:r>
      </m:oMath>
      <w:r>
        <w:rPr>
          <w:rFonts w:eastAsia="Georgia" w:cs="Georgia" w:ascii="Georgia" w:hAnsi="Georgia"/>
        </w:rPr>
        <w:t xml:space="preserve"> et de capacité thermique totale de l'ordre de </w:t>
      </w:r>
      <m:oMath>
        <m:r>
          <m:rPr>
            <m:sty m:val="p"/>
          </m:rPr>
          <m:t>6</m:t>
        </m:r>
        <m:r>
          <m:rPr>
            <m:sty m:val="p"/>
          </m:rPr>
          <m:t>,</m:t>
        </m:r>
        <m:r>
          <m:rPr>
            <m:sty m:val="p"/>
          </m:rPr>
          <m:t>0</m:t>
        </m:r>
        <m:r>
          <m:rPr>
            <m:sty m:val="p"/>
          </m:rPr>
          <m:t>×</m:t>
        </m:r>
        <m:sSup>
          <m:sSupPr/>
          <m:e>
            <m:r>
              <m:rPr>
                <m:sty m:val="p"/>
              </m:rPr>
              <m:t>10</m:t>
            </m:r>
          </m:e>
          <m:sup>
            <m:r>
              <m:rPr>
                <m:sty m:val="p"/>
              </m:rPr>
              <m:t>5</m:t>
            </m:r>
          </m:sup>
        </m:sSup>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oMath>
      <w:r>
        <w:rPr>
          <w:rFonts w:eastAsia="Georgia" w:cs="Georgia" w:ascii="Georgia" w:hAnsi="Georgia"/>
        </w:rPr>
        <w:t xml:space="preserve">, brule une buche de bois de chêne de 1 kg . Quelle est la température maximale atteinte dans la pièce ? Commenter.</w:t>
      </w:r>
    </w:p>
    <w:p>
      <w:pPr>
        <w:spacing w:line="271" w:before="330" w:lineRule="auto"/>
      </w:pPr>
      <w:r>
        <w:rPr>
          <w:b/>
          <w:sz w:val="42"/>
        </w:rPr>
        <w:t xml:space="preserve">I.C - Propagation de la chaleur dans le combustible</w:t>
      </w:r>
    </w:p>
    <w:p>
      <w:pPr>
        <w:spacing w:after="220" w:lineRule="auto"/>
      </w:pPr>
      <w:r>
        <w:rPr>
          <w:rFonts w:eastAsia="Georgia" w:cs="Georgia" w:ascii="Georgia" w:hAnsi="Georgia"/>
        </w:rPr>
        <w:t xml:space="preserve">Q 10. Citer les trois modes de transfert thermique et donner leurs spécificités.</w:t>
      </w:r>
      <w:r>
        <w:rPr/>
        <w:br w:type="textWrapping"/>
      </w:r>
      <w:r>
        <w:rPr>
          <w:rFonts w:eastAsia="Georgia" w:cs="Georgia" w:ascii="Georgia" w:hAnsi="Georgia"/>
        </w:rPr>
        <w:t xml:space="preserve">Q 11. Indiquer le rôle de chacun de ces modes dans la propagation d'un incendie.</w:t>
      </w:r>
      <w:r>
        <w:rPr/>
        <w:br w:type="textWrapping"/>
      </w:r>
      <w:r>
        <w:rPr>
          <w:rFonts w:eastAsia="Georgia" w:cs="Georgia" w:ascii="Georgia" w:hAnsi="Georgia"/>
        </w:rPr>
        <w:t xml:space="preserve">On s'intéresse à l'avancée du front de combustion, au cours du temps, d'une poutre qui entre en combustion par l'une de ses extrémités. On fait l'hypothèse que les transferts thermiques dans le bois sont de nature purement diffusive.</w:t>
      </w:r>
      <w:r>
        <w:rPr/>
        <w:br w:type="textWrapping"/>
      </w:r>
      <w:r>
        <w:rPr>
          <w:rFonts w:eastAsia="Georgia" w:cs="Georgia" w:ascii="Georgia" w:hAnsi="Georgia"/>
        </w:rPr>
        <w:t xml:space="preserve">La poutre en combustion est un parallélépipède, infiniment long dans la direction ( </w:t>
      </w:r>
      <m:oMath>
        <m:r>
          <m:rPr>
            <m:sty m:val="i"/>
          </m:rPr>
          <m:t>O</m:t>
        </m:r>
        <m:r>
          <m:rPr>
            <m:sty m:val="i"/>
          </m:rPr>
          <m:t>x</m:t>
        </m:r>
      </m:oMath>
      <w:r>
        <w:rPr>
          <w:rFonts w:eastAsia="Georgia" w:cs="Georgia" w:ascii="Georgia" w:hAnsi="Georgia"/>
        </w:rPr>
        <w:t xml:space="preserve"> ). La température sur une section transverse d'aire </w:t>
      </w:r>
      <m:oMath>
        <m:r>
          <m:rPr>
            <m:sty m:val="i"/>
          </m:rPr>
          <m:t>S</m:t>
        </m:r>
      </m:oMath>
      <w:r>
        <w:rPr>
          <w:rFonts w:eastAsia="Georgia" w:cs="Georgia" w:ascii="Georgia" w:hAnsi="Georgia"/>
        </w:rPr>
        <w:t xml:space="preserve"> de la poutre est supposée uniforme. On note </w:t>
      </w:r>
      <m:oMath>
        <m:r>
          <m:rPr>
            <m:sty m:val="i"/>
          </m:rPr>
          <m:t>T</m:t>
        </m:r>
        <m:r>
          <m:rPr>
            <m:sty m:val="p"/>
          </m:rPr>
          <m:t>(</m:t>
        </m:r>
        <m:r>
          <m:rPr>
            <m:sty m:val="i"/>
          </m:rPr>
          <m:t>x</m:t>
        </m:r>
        <m:r>
          <m:rPr>
            <m:sty m:val="p"/>
          </m:rPr>
          <m:t>,</m:t>
        </m:r>
        <m:r>
          <m:rPr>
            <m:sty m:val="i"/>
          </m:rPr>
          <m:t>t</m:t>
        </m:r>
        <m:r>
          <m:rPr>
            <m:sty m:val="p"/>
          </m:rPr>
          <m:t>)</m:t>
        </m:r>
      </m:oMath>
      <w:r>
        <w:rPr>
          <w:rFonts w:eastAsia="Georgia" w:cs="Georgia" w:ascii="Georgia" w:hAnsi="Georgia"/>
        </w:rPr>
        <w:t xml:space="preserve"> la température à l'abscisse </w:t>
      </w:r>
      <m:oMath>
        <m:r>
          <m:rPr>
            <m:sty m:val="i"/>
          </m:rPr>
          <m:t>x</m:t>
        </m:r>
      </m:oMath>
      <w:r>
        <w:rPr>
          <w:rFonts w:eastAsia="Georgia" w:cs="Georgia" w:ascii="Georgia" w:hAnsi="Georgia"/>
        </w:rPr>
        <w:t xml:space="preserve"> de la poutre à un instant </w:t>
      </w:r>
      <m:oMath>
        <m:r>
          <m:rPr>
            <m:sty m:val="i"/>
          </m:rPr>
          <m:t>t</m:t>
        </m:r>
      </m:oMath>
      <w:r>
        <w:rPr>
          <w:rFonts w:eastAsia="Georgia" w:cs="Georgia" w:ascii="Georgia" w:hAnsi="Georgia"/>
        </w:rPr>
        <w:t xml:space="preserve">. On suppose que le feu prend à l'une de ses extrémités d'abscisse nulle à un instant pris comme origine des temps ( </w:t>
      </w:r>
      <m:oMath>
        <m:r>
          <m:rPr>
            <m:sty m:val="i"/>
          </m:rPr>
          <m:t>t</m:t>
        </m:r>
        <m:r>
          <m:rPr>
            <m:sty m:val="p"/>
          </m:rPr>
          <m:t>=</m:t>
        </m:r>
        <m:r>
          <m:rPr>
            <m:sty m:val="p"/>
          </m:rPr>
          <m:t>0</m:t>
        </m:r>
      </m:oMath>
      <w:r>
        <w:rPr>
          <w:rFonts w:eastAsia="Georgia" w:cs="Georgia" w:ascii="Georgia" w:hAnsi="Georgia"/>
        </w:rPr>
        <w:t xml:space="preserve"> ). À un instant </w:t>
      </w:r>
      <m:oMath>
        <m:r>
          <m:rPr>
            <m:sty m:val="i"/>
          </m:rPr>
          <m:t>t</m:t>
        </m:r>
      </m:oMath>
      <w:r>
        <w:rPr>
          <w:rFonts w:eastAsia="Georgia" w:cs="Georgia" w:ascii="Georgia" w:hAnsi="Georgia"/>
        </w:rPr>
        <w:t xml:space="preserve"> ultérieur, on estime, dans ce modèle simple, que la poutre peut-être découpée en trois zones (figure 2) :</w:t>
      </w:r>
    </w:p>
    <w:p>
      <w:pPr>
        <w:numPr>
          <w:ilvl w:val="0"/>
          <w:numId w:val="1"/>
        </w:numPr>
        <w:spacing w:lineRule="auto"/>
      </w:pPr>
      <w:r>
        <w:rPr>
          <w:rFonts w:eastAsia="Georgia" w:cs="Georgia" w:ascii="Georgia" w:hAnsi="Georgia"/>
        </w:rPr>
        <w:t xml:space="preserve">la zone ayant brulé entre l'instant initial et l'instant </w:t>
      </w:r>
      <m:oMath>
        <m:r>
          <m:rPr>
            <m:sty m:val="i"/>
          </m:rPr>
          <m:t>t</m:t>
        </m:r>
      </m:oMath>
      <w:r>
        <w:rPr>
          <w:rFonts w:eastAsia="Georgia" w:cs="Georgia" w:ascii="Georgia" w:hAnsi="Georgia"/>
        </w:rPr>
        <w:t xml:space="preserve">, dont la température est supposée constante et égale à la température </w:t>
      </w:r>
      <m:oMath>
        <m:sSub>
          <m:sSubPr/>
          <m:e>
            <m:r>
              <m:rPr>
                <m:sty m:val="i"/>
              </m:rPr>
              <m:t>T</m:t>
            </m:r>
          </m:e>
          <m:sub>
            <m:r>
              <m:rPr>
                <m:sty m:val="i"/>
              </m:rPr>
              <m:t>c</m:t>
            </m:r>
          </m:sub>
        </m:sSub>
      </m:oMath>
      <w:r>
        <w:rPr>
          <w:rFonts w:eastAsia="Georgia" w:cs="Georgia" w:ascii="Georgia" w:hAnsi="Georgia"/>
        </w:rPr>
        <w:t xml:space="preserve">, dite température de combustion, </w:t>
      </w:r>
      <m:oMath>
        <m:sSub>
          <m:sSubPr/>
          <m:e>
            <m:r>
              <m:rPr>
                <m:sty m:val="i"/>
              </m:rPr>
              <m:t>T</m:t>
            </m:r>
          </m:e>
          <m:sub>
            <m:r>
              <m:rPr>
                <m:sty m:val="i"/>
              </m:rPr>
              <m:t>c</m:t>
            </m:r>
          </m:sub>
        </m:sSub>
        <m:r>
          <m:rPr>
            <m:sty m:val="p"/>
          </m:rPr>
          <m:t>=</m:t>
        </m:r>
        <m:r>
          <m:rPr>
            <m:sty m:val="p"/>
          </m:rPr>
          <m:t>720</m:t>
        </m:r>
        <m:r>
          <m:rPr>
            <m:nor/>
          </m:rPr>
          <m:t xml:space="preserve"> </m:t>
        </m:r>
        <m:r>
          <m:rPr>
            <m:sty m:val="p"/>
          </m:rPr>
          <m:t>K</m:t>
        </m:r>
      </m:oMath>
      <w:r>
        <w:rPr/>
        <w:t xml:space="preserve">;</w:t>
      </w:r>
    </w:p>
    <w:p>
      <w:pPr>
        <w:numPr>
          <w:ilvl w:val="0"/>
          <w:numId w:val="1"/>
        </w:numPr>
        <w:spacing w:lineRule="auto"/>
      </w:pPr>
      <w:r>
        <w:rPr>
          <w:rFonts w:eastAsia="Georgia" w:cs="Georgia" w:ascii="Georgia" w:hAnsi="Georgia"/>
        </w:rPr>
        <w:t xml:space="preserve">une zone dans laquelle se déroule la combustion;</w:t>
      </w:r>
    </w:p>
    <w:p>
      <w:pPr>
        <w:numPr>
          <w:ilvl w:val="0"/>
          <w:numId w:val="1"/>
        </w:numPr>
        <w:spacing w:lineRule="auto"/>
      </w:pPr>
      <w:r>
        <w:rPr>
          <w:rFonts w:eastAsia="Georgia" w:cs="Georgia" w:ascii="Georgia" w:hAnsi="Georgia"/>
        </w:rPr>
        <w:t xml:space="preserve">la zone encore inaltérée.</w:t>
      </w:r>
    </w:p>
    <w:p>
      <w:pPr>
        <w:spacing w:after="220" w:lineRule="auto"/>
      </w:pPr>
      <w:r>
        <w:rPr/>
        <w:t xml:space="preserve">On note </w:t>
      </w:r>
      <m:oMath>
        <m:sSub>
          <m:sSubPr/>
          <m:e>
            <m:r>
              <m:rPr>
                <m:sty m:val="i"/>
              </m:rPr>
              <m:t>x</m:t>
            </m:r>
          </m:e>
          <m:sub>
            <m:r>
              <m:rPr>
                <m:sty m:val="p"/>
              </m:rPr>
              <m:t>1</m:t>
            </m:r>
          </m:sub>
        </m:sSub>
        <m:r>
          <m:rPr>
            <m:sty m:val="p"/>
          </m:rPr>
          <m:t>(</m:t>
        </m:r>
        <m:r>
          <m:rPr>
            <m:sty m:val="i"/>
          </m:rPr>
          <m:t>t</m:t>
        </m:r>
        <m:r>
          <m:rPr>
            <m:sty m:val="p"/>
          </m:rPr>
          <m:t>)</m:t>
        </m:r>
      </m:oMath>
      <w:r>
        <w:rPr>
          <w:rFonts w:eastAsia="Georgia" w:cs="Georgia" w:ascii="Georgia" w:hAnsi="Georgia"/>
        </w:rPr>
        <w:t xml:space="preserve"> l'abscisse de la frontière entre la zone brulée et la zone de combustion et </w:t>
      </w:r>
      <m:oMath>
        <m:sSub>
          <m:sSubPr/>
          <m:e>
            <m:r>
              <m:rPr>
                <m:sty m:val="i"/>
              </m:rPr>
              <m:t>x</m:t>
            </m:r>
          </m:e>
          <m:sub>
            <m:r>
              <m:rPr>
                <m:sty m:val="p"/>
              </m:rPr>
              <m:t>2</m:t>
            </m:r>
          </m:sub>
        </m:sSub>
        <m:r>
          <m:rPr>
            <m:sty m:val="p"/>
          </m:rPr>
          <m:t>(</m:t>
        </m:r>
        <m:r>
          <m:rPr>
            <m:sty m:val="i"/>
          </m:rPr>
          <m:t>t</m:t>
        </m:r>
        <m:r>
          <m:rPr>
            <m:sty m:val="p"/>
          </m:rPr>
          <m:t>)</m:t>
        </m:r>
      </m:oMath>
      <w:r>
        <w:rPr>
          <w:rFonts w:eastAsia="Georgia" w:cs="Georgia" w:ascii="Georgia" w:hAnsi="Georgia"/>
        </w:rPr>
        <w:t xml:space="preserve"> l'abscisse de la frontière entre la zone de combustion et la zone inaltérée. Loin de </w:t>
      </w:r>
      <m:oMath>
        <m:sSub>
          <m:sSubPr/>
          <m:e>
            <m:r>
              <m:rPr>
                <m:sty m:val="i"/>
              </m:rPr>
              <m:t>x</m:t>
            </m:r>
          </m:e>
          <m:sub>
            <m:r>
              <m:rPr>
                <m:sty m:val="p"/>
              </m:rPr>
              <m:t>2</m:t>
            </m:r>
          </m:sub>
        </m:sSub>
        <m:r>
          <m:rPr>
            <m:sty m:val="p"/>
          </m:rPr>
          <m:t>(</m:t>
        </m:r>
        <m:r>
          <m:rPr>
            <m:sty m:val="i"/>
          </m:rPr>
          <m:t>t</m:t>
        </m:r>
        <m:r>
          <m:rPr>
            <m:sty m:val="p"/>
          </m:rPr>
          <m:t>)</m:t>
        </m:r>
      </m:oMath>
      <w:r>
        <w:rPr>
          <w:rFonts w:eastAsia="Georgia" w:cs="Georgia" w:ascii="Georgia" w:hAnsi="Georgia"/>
        </w:rPr>
        <w:t xml:space="preserve">, la température est supposée constante et égale à </w:t>
      </w:r>
      <m:oMath>
        <m:sSub>
          <m:sSubPr/>
          <m:e>
            <m:r>
              <m:rPr>
                <m:sty m:val="i"/>
              </m:rPr>
              <m:t>T</m:t>
            </m:r>
          </m:e>
          <m:sub>
            <m:r>
              <m:rPr>
                <m:sty m:val="p"/>
              </m:rPr>
              <m:t>∞</m:t>
            </m:r>
          </m:sub>
        </m:sSub>
        <m:r>
          <m:rPr>
            <m:sty m:val="p"/>
          </m:rPr>
          <m:t>=</m:t>
        </m:r>
        <m:r>
          <m:rPr>
            <m:sty m:val="p"/>
          </m:rPr>
          <m:t>320</m:t>
        </m:r>
        <m:r>
          <m:rPr>
            <m:nor/>
          </m:rPr>
          <m:t xml:space="preserve"> </m:t>
        </m:r>
        <m:r>
          <m:rPr>
            <m:sty m:val="p"/>
          </m:rPr>
          <m:t>K</m:t>
        </m:r>
      </m:oMath>
      <w:r>
        <w:rPr/>
        <w:t xml:space="preserve">.</w:t>
      </w:r>
      <w:r>
        <w:rPr/>
        <w:br w:type="textWrapping"/>
      </w:r>
      <w:r>
        <w:rPr>
          <w:rFonts w:eastAsia="Georgia" w:cs="Georgia" w:ascii="Georgia" w:hAnsi="Georgia"/>
        </w:rPr>
        <w:t xml:space="preserve">La température </w:t>
      </w:r>
      <m:oMath>
        <m:r>
          <m:rPr>
            <m:sty m:val="i"/>
          </m:rPr>
          <m:t>T</m:t>
        </m:r>
        <m:r>
          <m:rPr>
            <m:sty m:val="p"/>
          </m:rPr>
          <m:t>(</m:t>
        </m:r>
        <m:r>
          <m:rPr>
            <m:sty m:val="i"/>
          </m:rPr>
          <m:t>x</m:t>
        </m:r>
        <m:r>
          <m:rPr>
            <m:sty m:val="p"/>
          </m:rPr>
          <m:t>,</m:t>
        </m:r>
        <m:r>
          <m:rPr>
            <m:sty m:val="i"/>
          </m:rPr>
          <m:t>t</m:t>
        </m:r>
        <m:r>
          <m:rPr>
            <m:sty m:val="p"/>
          </m:rPr>
          <m:t>)</m:t>
        </m:r>
      </m:oMath>
      <w:r>
        <w:rPr>
          <w:rFonts w:eastAsia="Georgia" w:cs="Georgia" w:ascii="Georgia" w:hAnsi="Georgia"/>
        </w:rPr>
        <w:t xml:space="preserve"> dans la zone en combustion et celle de la zone inaltérée augmentent par diffusion au cours du temps jusqu'à atteindre les températures de combustion </w:t>
      </w:r>
      <m:oMath>
        <m:sSub>
          <m:sSubPr/>
          <m:e>
            <m:r>
              <m:rPr>
                <m:sty m:val="i"/>
              </m:rPr>
              <m:t>T</m:t>
            </m:r>
          </m:e>
          <m:sub>
            <m:r>
              <m:rPr>
                <m:sty m:val="i"/>
              </m:rPr>
              <m:t>c</m:t>
            </m:r>
          </m:sub>
        </m:sSub>
      </m:oMath>
      <w:r>
        <w:rPr/>
        <w:t xml:space="preserve"> et d'inflammation du bois </w:t>
      </w:r>
      <m:oMath>
        <m:sSub>
          <m:sSubPr/>
          <m:e>
            <m:r>
              <m:rPr>
                <m:sty m:val="i"/>
              </m:rPr>
              <m:t>T</m:t>
            </m:r>
          </m:e>
          <m:sub>
            <m:r>
              <m:rPr>
                <m:sty m:val="i"/>
              </m:rPr>
              <m:t>i</m:t>
            </m:r>
          </m:sub>
        </m:sSub>
        <m:r>
          <m:rPr>
            <m:sty m:val="p"/>
          </m:rPr>
          <m:t>=</m:t>
        </m:r>
        <m:r>
          <m:rPr>
            <m:sty m:val="p"/>
          </m:rPr>
          <m:t>520</m:t>
        </m:r>
        <m:r>
          <m:rPr>
            <m:nor/>
          </m:rPr>
          <m:t xml:space="preserve"> </m:t>
        </m:r>
        <m:r>
          <m:rPr>
            <m:sty m:val="p"/>
          </m:rPr>
          <m:t>K</m:t>
        </m:r>
      </m:oMath>
      <w:r>
        <w:rPr>
          <w:rFonts w:eastAsia="Georgia" w:cs="Georgia" w:ascii="Georgia" w:hAnsi="Georgia"/>
        </w:rPr>
        <w:t xml:space="preserve">, conduisant à l'avancement des frontières </w:t>
      </w:r>
      <m:oMath>
        <m:sSub>
          <m:sSubPr/>
          <m:e>
            <m:r>
              <m:rPr>
                <m:sty m:val="i"/>
              </m:rPr>
              <m:t>x</m:t>
            </m:r>
          </m:e>
          <m:sub>
            <m:r>
              <m:rPr>
                <m:sty m:val="p"/>
              </m:rPr>
              <m:t>1</m:t>
            </m:r>
          </m:sub>
        </m:sSub>
      </m:oMath>
      <w:r>
        <w:rPr/>
        <w:t xml:space="preserve"> et </w:t>
      </w:r>
      <m:oMath>
        <m:sSub>
          <m:sSubPr/>
          <m:e>
            <m:r>
              <m:rPr>
                <m:sty m:val="i"/>
              </m:rPr>
              <m:t>x</m:t>
            </m:r>
          </m:e>
          <m:sub>
            <m:r>
              <m:rPr>
                <m:sty m:val="p"/>
              </m:rPr>
              <m:t>2</m:t>
            </m:r>
          </m:sub>
        </m:sSub>
      </m:oMath>
      <w:r>
        <w:rPr/>
        <w:t xml:space="preserve"> au cours du temps. Ainsi, tant que la poutre n'a pas fini de bruler, on a toujours </w:t>
      </w:r>
      <m:oMath>
        <m:r>
          <m:rPr>
            <m:sty m:val="i"/>
          </m:rPr>
          <m:t>T</m:t>
        </m:r>
        <m:d>
          <m:dPr>
            <m:begChr m:val="("/>
            <m:endChr m:val=")"/>
            <m:ctrlPr>
              <w:rPr>
                <w:rFonts w:ascii="Cambria Math" w:hAnsi="Cambria Math"/>
              </w:rPr>
            </m:ctrlPr>
          </m:dPr>
          <m:e>
            <m:sSub>
              <m:sSubPr/>
              <m:e>
                <m:r>
                  <m:rPr>
                    <m:sty m:val="i"/>
                  </m:rPr>
                  <m:t>x</m:t>
                </m:r>
              </m:e>
              <m:sub>
                <m:r>
                  <m:rPr>
                    <m:sty m:val="p"/>
                  </m:rPr>
                  <m:t>1</m:t>
                </m:r>
              </m:sub>
            </m:sSub>
            <m:r>
              <m:rPr>
                <m:sty m:val="p"/>
              </m:rPr>
              <m:t>(</m:t>
            </m:r>
            <m:r>
              <m:rPr>
                <m:sty m:val="i"/>
              </m:rPr>
              <m:t>t</m:t>
            </m:r>
            <m:r>
              <m:rPr>
                <m:sty m:val="p"/>
              </m:rPr>
              <m:t>)</m:t>
            </m:r>
            <m:r>
              <m:rPr>
                <m:sty m:val="p"/>
              </m:rPr>
              <m:t>,</m:t>
            </m:r>
            <m:r>
              <m:rPr>
                <m:sty m:val="i"/>
              </m:rPr>
              <m:t>t</m:t>
            </m:r>
          </m:e>
        </m:d>
        <m:r>
          <m:rPr>
            <m:sty m:val="p"/>
          </m:rPr>
          <m:t>=</m:t>
        </m:r>
        <m:sSub>
          <m:sSubPr/>
          <m:e>
            <m:r>
              <m:rPr>
                <m:sty m:val="i"/>
              </m:rPr>
              <m:t>T</m:t>
            </m:r>
          </m:e>
          <m:sub>
            <m:r>
              <m:rPr>
                <m:sty m:val="i"/>
              </m:rPr>
              <m:t>c</m:t>
            </m:r>
          </m:sub>
        </m:sSub>
      </m:oMath>
      <w:r>
        <w:rPr/>
        <w:t xml:space="preserve"> et </w:t>
      </w:r>
      <m:oMath>
        <m:r>
          <m:rPr>
            <m:sty m:val="i"/>
          </m:rPr>
          <m:t>T</m:t>
        </m:r>
        <m:d>
          <m:dPr>
            <m:begChr m:val="("/>
            <m:endChr m:val=")"/>
            <m:ctrlPr>
              <w:rPr>
                <w:rFonts w:ascii="Cambria Math" w:hAnsi="Cambria Math"/>
              </w:rPr>
            </m:ctrlPr>
          </m:dPr>
          <m:e>
            <m:sSub>
              <m:sSubPr/>
              <m:e>
                <m:r>
                  <m:rPr>
                    <m:sty m:val="i"/>
                  </m:rPr>
                  <m:t>x</m:t>
                </m:r>
              </m:e>
              <m:sub>
                <m:r>
                  <m:rPr>
                    <m:sty m:val="p"/>
                  </m:rPr>
                  <m:t>2</m:t>
                </m:r>
              </m:sub>
            </m:sSub>
            <m:r>
              <m:rPr>
                <m:sty m:val="p"/>
              </m:rPr>
              <m:t>(</m:t>
            </m:r>
            <m:r>
              <m:rPr>
                <m:sty m:val="i"/>
              </m:rPr>
              <m:t>t</m:t>
            </m:r>
            <m:r>
              <m:rPr>
                <m:sty m:val="p"/>
              </m:rPr>
              <m:t>)</m:t>
            </m:r>
            <m:r>
              <m:rPr>
                <m:sty m:val="p"/>
              </m:rPr>
              <m:t>,</m:t>
            </m:r>
            <m:r>
              <m:rPr>
                <m:sty m:val="i"/>
              </m:rPr>
              <m:t>t</m:t>
            </m:r>
          </m:e>
        </m:d>
        <m:r>
          <m:rPr>
            <m:sty m:val="p"/>
          </m:rPr>
          <m:t>=</m:t>
        </m:r>
        <m:sSub>
          <m:sSubPr/>
          <m:e>
            <m:r>
              <m:rPr>
                <m:sty m:val="i"/>
              </m:rPr>
              <m:t>T</m:t>
            </m:r>
          </m:e>
          <m:sub>
            <m:r>
              <m:rPr>
                <m:sty m:val="i"/>
              </m:rPr>
              <m:t>i</m:t>
            </m:r>
          </m:sub>
        </m:sSub>
      </m:oMath>
      <w:r>
        <w:rPr/>
        <w:t xml:space="preserve">.</w:t>
      </w:r>
    </w:p>
    <w:p>
      <w:pPr>
        <w:spacing w:lineRule="auto"/>
        <w:jc w:val="center"/>
      </w:pPr>
      <w:r>
        <w:rPr/>
        <w:drawing>
          <wp:inline distB="0" distL="0" distR="0" distT="0">
            <wp:extent cx="5486400" cy="1415491"/>
            <wp:effectExtent b="0" l="0" r="0" t="0"/>
            <wp:docPr id="2" name="image-8919c640804ebc484fe799fd85a7fd05d560a185.jpg"/>
            <a:graphic>
              <a:graphicData uri="http://schemas.openxmlformats.org/drawingml/2006/picture">
                <pic:pic>
                  <pic:nvPicPr>
                    <pic:cNvPr id="2" name="image-8919c640804ebc484fe799fd85a7fd05d560a185.jpg" descr=""/>
                    <pic:cNvPicPr/>
                  </pic:nvPicPr>
                  <pic:blipFill>
                    <a:blip r:embed="rId6" cstate="print"/>
                    <a:srcRect b="0" l="0" r="0" t="0"/>
                    <a:stretch>
                      <a:fillRect/>
                    </a:stretch>
                  </pic:blipFill>
                  <pic:spPr>
                    <a:xfrm>
                      <a:off x="0" y="0"/>
                      <a:ext cx="5486400" cy="1415491"/>
                    </a:xfrm>
                    <a:prstGeom prst="rect"/>
                  </pic:spPr>
                </pic:pic>
              </a:graphicData>
            </a:graphic>
          </wp:inline>
        </w:drawing>
      </w:r>
    </w:p>
    <w:p>
      <w:pPr>
        <w:spacing w:lineRule="auto"/>
      </w:pPr>
      <w:r>
        <w:rPr>
          <w:rFonts w:eastAsia="Georgia" w:cs="Georgia" w:ascii="Georgia" w:hAnsi="Georgia"/>
        </w:rPr>
        <w:t xml:space="preserve">Figure 2 Schéma de la poutre à l'instant </w:t>
      </w:r>
      <m:oMath>
        <m:r>
          <m:rPr>
            <m:sty m:val="i"/>
          </m:rPr>
          <m:t>t</m:t>
        </m:r>
      </m:oMath>
    </w:p>
    <w:p>
      <w:pPr>
        <w:spacing w:after="220" w:lineRule="auto"/>
      </w:pPr>
      <w:r>
        <w:rPr>
          <w:rFonts w:eastAsia="Georgia" w:cs="Georgia" w:ascii="Georgia" w:hAnsi="Georgia"/>
        </w:rPr>
        <w:t xml:space="preserve">Les valeurs des conductivités thermiques, notées </w:t>
      </w:r>
      <m:oMath>
        <m:r>
          <m:rPr>
            <m:sty m:val="i"/>
          </m:rPr>
          <m:t>λ</m:t>
        </m:r>
      </m:oMath>
      <w:r>
        <w:rPr>
          <w:rFonts w:eastAsia="Georgia" w:cs="Georgia" w:ascii="Georgia" w:hAnsi="Georgia"/>
        </w:rPr>
        <w:t xml:space="preserve">, et des diffusivités thermiques, notées </w:t>
      </w:r>
      <m:oMath>
        <m:r>
          <m:rPr>
            <m:sty m:val="i"/>
          </m:rPr>
          <m:t>D</m:t>
        </m:r>
      </m:oMath>
      <w:r>
        <w:rPr>
          <w:rFonts w:eastAsia="Georgia" w:cs="Georgia" w:ascii="Georgia" w:hAnsi="Georgia"/>
        </w:rPr>
        <w:t xml:space="preserve">, du charbon et du bois étant relativement proches, nous considérerons qu'elles sont égales dans les trois zones. Nous prendrons comme valeur de la diffusivité thermique </w:t>
      </w:r>
      <m:oMath>
        <m:r>
          <m:rPr>
            <m:sty m:val="i"/>
          </m:rPr>
          <m:t>D</m:t>
        </m:r>
        <m:r>
          <m:rPr>
            <m:sty m:val="p"/>
          </m:rPr>
          <m:t>=</m:t>
        </m:r>
        <m:r>
          <m:rPr>
            <m:sty m:val="p"/>
          </m:rPr>
          <m:t>1</m:t>
        </m:r>
        <m:r>
          <m:rPr>
            <m:sty m:val="p"/>
          </m:rPr>
          <m:t>,</m:t>
        </m:r>
        <m:r>
          <m:rPr>
            <m:sty m:val="p"/>
          </m:rPr>
          <m:t>0</m:t>
        </m:r>
        <m:r>
          <m:rPr>
            <m:sty m:val="p"/>
          </m:rPr>
          <m:t>×</m:t>
        </m:r>
        <m:sSup>
          <m:sSupPr/>
          <m:e>
            <m:r>
              <m:rPr>
                <m:sty m:val="p"/>
              </m:rPr>
              <m:t>10</m:t>
            </m:r>
          </m:e>
          <m:sup>
            <m:r>
              <m:rPr>
                <m:sty m:val="p"/>
              </m:rPr>
              <m:t>−</m:t>
            </m:r>
            <m:r>
              <m:rPr>
                <m:sty m:val="p"/>
              </m:rPr>
              <m:t>7</m:t>
            </m:r>
          </m:sup>
        </m:sSup>
        <m:sSup>
          <m:sSupPr/>
          <m:e>
            <m:r>
              <m:rPr>
                <m:nor/>
              </m:rPr>
              <m:t xml:space="preserve"> </m:t>
            </m:r>
            <m:r>
              <m:rPr>
                <m:sty m:val="p"/>
              </m:rPr>
              <m:t>m</m:t>
            </m:r>
          </m:e>
          <m:sup>
            <m:r>
              <m:rPr>
                <m:sty m:val="p"/>
              </m:rPr>
              <m:t>2</m:t>
            </m:r>
          </m:sup>
        </m:sSup>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On rappelle que la diffusivité thermique d'un matériau est le rapport entre sa conductivité thermique et sa capacité thermique volumique à pression constante. On note </w:t>
      </w:r>
      <m:oMath>
        <m:sSub>
          <m:sSubPr/>
          <m:e>
            <m:r>
              <m:rPr>
                <m:sty m:val="i"/>
              </m:rPr>
              <m:t>c</m:t>
            </m:r>
          </m:e>
          <m:sub>
            <m:r>
              <m:rPr>
                <m:sty m:val="i"/>
              </m:rPr>
              <m:t>p</m:t>
            </m:r>
          </m:sub>
        </m:sSub>
      </m:oMath>
      <w:r>
        <w:rPr>
          <w:rFonts w:eastAsia="Georgia" w:cs="Georgia" w:ascii="Georgia" w:hAnsi="Georgia"/>
        </w:rPr>
        <w:t xml:space="preserve"> la capacité thermique massique à pression constante du bois dans la zone de combustion, </w:t>
      </w:r>
      <m:oMath>
        <m:r>
          <m:rPr>
            <m:sty m:val="i"/>
          </m:rPr>
          <m:t>μ</m:t>
        </m:r>
      </m:oMath>
      <w:r>
        <w:rPr/>
        <w:t xml:space="preserve"> sa masse volumique et </w:t>
      </w:r>
      <m:oMath>
        <m:sSub>
          <m:sSubPr/>
          <m:e>
            <m:r>
              <m:rPr>
                <m:sty m:val="i"/>
              </m:rPr>
              <m:t>P</m:t>
            </m:r>
          </m:e>
          <m:sub>
            <m:r>
              <m:rPr>
                <m:sty m:val="i"/>
              </m:rPr>
              <m:t>c</m:t>
            </m:r>
          </m:sub>
        </m:sSub>
      </m:oMath>
      <w:r>
        <w:rPr>
          <w:rFonts w:eastAsia="Georgia" w:cs="Georgia" w:ascii="Georgia" w:hAnsi="Georgia"/>
        </w:rPr>
        <w:t xml:space="preserve"> la puissance thermique massique correspondant à l'enthalpie de réaction de combustion par unité de masse de bois et par unité de temps. On donne </w:t>
      </w:r>
      <m:oMath>
        <m:sSub>
          <m:sSubPr/>
          <m:e>
            <m:r>
              <m:rPr>
                <m:sty m:val="i"/>
              </m:rPr>
              <m:t>P</m:t>
            </m:r>
          </m:e>
          <m:sub>
            <m:r>
              <m:rPr>
                <m:sty m:val="i"/>
              </m:rPr>
              <m:t>c</m:t>
            </m:r>
          </m:sub>
        </m:sSub>
        <m:r>
          <m:rPr>
            <m:sty m:val="p"/>
          </m:rPr>
          <m:t>=</m:t>
        </m:r>
        <m:r>
          <m:rPr>
            <m:sty m:val="p"/>
          </m:rPr>
          <m:t>4</m:t>
        </m:r>
        <m:r>
          <m:rPr>
            <m:sty m:val="p"/>
          </m:rPr>
          <m:t>,</m:t>
        </m:r>
        <m:r>
          <m:rPr>
            <m:sty m:val="p"/>
          </m:rPr>
          <m:t>0</m:t>
        </m:r>
        <m:r>
          <m:rPr>
            <m:sty m:val="p"/>
          </m:rPr>
          <m:t>×</m:t>
        </m:r>
        <m:sSup>
          <m:sSupPr/>
          <m:e>
            <m:r>
              <m:rPr>
                <m:sty m:val="p"/>
              </m:rPr>
              <m:t>10</m:t>
            </m:r>
          </m:e>
          <m:sup>
            <m:r>
              <m:rPr>
                <m:sty m:val="p"/>
              </m:rPr>
              <m:t>3</m:t>
            </m:r>
          </m:sup>
        </m:sSup>
        <m:r>
          <m:rPr>
            <m:nor/>
          </m:rPr>
          <m:t xml:space="preserve"> </m:t>
        </m:r>
        <m:r>
          <m:rPr>
            <m:sty m:val="p"/>
          </m:rPr>
          <m:t>W</m:t>
        </m:r>
        <m:r>
          <m:rPr>
            <m:sty m:val="p"/>
          </m:rPr>
          <m:t>⋅</m:t>
        </m:r>
        <m:sSup>
          <m:sSupPr/>
          <m:e>
            <m:r>
              <m:rPr>
                <m:nor/>
              </m:rPr>
              <m:t xml:space="preserve"> </m:t>
            </m:r>
            <m:r>
              <m:rPr>
                <m:sty m:val="p"/>
              </m:rPr>
              <m:t>kg</m:t>
            </m:r>
          </m:e>
          <m:sup>
            <m:r>
              <m:rPr>
                <m:sty m:val="p"/>
              </m:rPr>
              <m:t>−</m:t>
            </m:r>
            <m:r>
              <m:rPr>
                <m:sty m:val="p"/>
              </m:rPr>
              <m:t>1</m:t>
            </m:r>
          </m:sup>
        </m:sSup>
      </m:oMath>
      <w:r>
        <w:rPr/>
        <w:t xml:space="preserve"> et </w:t>
      </w:r>
      <m:oMath>
        <m:sSub>
          <m:sSubPr/>
          <m:e>
            <m:r>
              <m:rPr>
                <m:sty m:val="i"/>
              </m:rPr>
              <m:t>c</m:t>
            </m:r>
          </m:e>
          <m:sub>
            <m:r>
              <m:rPr>
                <m:sty m:val="i"/>
              </m:rPr>
              <m:t>p</m:t>
            </m:r>
          </m:sub>
        </m:sSub>
        <m:r>
          <m:rPr>
            <m:sty m:val="p"/>
          </m:rPr>
          <m:t>=</m:t>
        </m:r>
        <m:r>
          <m:rPr>
            <m:sty m:val="p"/>
          </m:rPr>
          <m:t>2</m:t>
        </m:r>
        <m:r>
          <m:rPr>
            <m:sty m:val="p"/>
          </m:rPr>
          <m:t>,</m:t>
        </m:r>
        <m:r>
          <m:rPr>
            <m:sty m:val="p"/>
          </m:rPr>
          <m:t>0</m:t>
        </m:r>
        <m:r>
          <m:rPr>
            <m:sty m:val="p"/>
          </m:rPr>
          <m:t>×</m:t>
        </m:r>
        <m:sSup>
          <m:sSupPr/>
          <m:e>
            <m:r>
              <m:rPr>
                <m:sty m:val="p"/>
              </m:rPr>
              <m:t>10</m:t>
            </m:r>
          </m:e>
          <m:sup>
            <m:r>
              <m:rPr>
                <m:sty m:val="p"/>
              </m:rPr>
              <m:t>3</m:t>
            </m:r>
          </m:sup>
        </m:sSup>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oMath>
      <w:r>
        <w:rPr/>
        <w:t xml:space="preserve">.</w:t>
      </w:r>
      <w:r>
        <w:rPr/>
        <w:br w:type="textWrapping"/>
      </w:r>
      <w:r>
        <w:rPr>
          <w:rFonts w:eastAsia="Georgia" w:cs="Georgia" w:ascii="Georgia" w:hAnsi="Georgia"/>
        </w:rPr>
        <w:t xml:space="preserve">Q 12. Effectuer un bilan d'enthalpie sur un élément de longueur </w:t>
      </w:r>
      <m:oMath>
        <m:r>
          <m:rPr>
            <m:sty m:val="p"/>
          </m:rPr>
          <m:t>d</m:t>
        </m:r>
        <m:r>
          <m:rPr>
            <m:sty m:val="i"/>
          </m:rPr>
          <m:t>x</m:t>
        </m:r>
      </m:oMath>
      <w:r>
        <w:rPr/>
        <w:t xml:space="preserve"> de poutre de bois de section </w:t>
      </w:r>
      <m:oMath>
        <m:r>
          <m:rPr>
            <m:sty m:val="i"/>
          </m:rPr>
          <m:t>S</m:t>
        </m:r>
      </m:oMath>
      <w:r>
        <w:rPr/>
        <w:t xml:space="preserve"> compris entre </w:t>
      </w:r>
      <m:oMath>
        <m:r>
          <m:rPr>
            <m:sty m:val="i"/>
          </m:rPr>
          <m:t>x</m:t>
        </m:r>
      </m:oMath>
      <w:r>
        <w:rPr/>
        <w:t xml:space="preserve"> et </w:t>
      </w:r>
      <m:oMath>
        <m:r>
          <m:rPr>
            <m:sty m:val="i"/>
          </m:rPr>
          <m:t>x</m:t>
        </m:r>
        <m:r>
          <m:rPr>
            <m:sty m:val="p"/>
          </m:rPr>
          <m:t>+</m:t>
        </m:r>
        <m:r>
          <m:rPr>
            <m:sty m:val="p"/>
          </m:rPr>
          <m:t>d</m:t>
        </m:r>
        <m:r>
          <m:rPr>
            <m:sty m:val="i"/>
          </m:rPr>
          <m:t>x</m:t>
        </m:r>
      </m:oMath>
      <w:r>
        <w:rPr>
          <w:rFonts w:eastAsia="Georgia" w:cs="Georgia" w:ascii="Georgia" w:hAnsi="Georgia"/>
        </w:rPr>
        <w:t xml:space="preserve">, dans la zone de combustion. En supposant la loi de Fourier applicable, en déduire l'équation régissant l'évolution de la température </w:t>
      </w:r>
      <m:oMath>
        <m:r>
          <m:rPr>
            <m:sty m:val="i"/>
          </m:rPr>
          <m:t>T</m:t>
        </m:r>
        <m:r>
          <m:rPr>
            <m:sty m:val="p"/>
          </m:rPr>
          <m:t>(</m:t>
        </m:r>
        <m:r>
          <m:rPr>
            <m:sty m:val="i"/>
          </m:rPr>
          <m:t>x</m:t>
        </m:r>
        <m:r>
          <m:rPr>
            <m:sty m:val="p"/>
          </m:rPr>
          <m:t>,</m:t>
        </m:r>
        <m:r>
          <m:rPr>
            <m:sty m:val="i"/>
          </m:rPr>
          <m:t>t</m:t>
        </m:r>
        <m:r>
          <m:rPr>
            <m:sty m:val="p"/>
          </m:rPr>
          <m:t>)</m:t>
        </m:r>
      </m:oMath>
      <w:r>
        <w:rPr>
          <w:rFonts w:eastAsia="Georgia" w:cs="Georgia" w:ascii="Georgia" w:hAnsi="Georgia"/>
        </w:rPr>
        <w:t xml:space="preserve"> dans la zone de combustion. Mettre cette équation sous la forme</w:t>
      </w:r>
    </w:p>
    <w:p>
      <w:pPr>
        <w:spacing w:after="220" w:lineRule="auto"/>
      </w:pPr>
      <m:oMathPara>
        <m:oMath>
          <m:f>
            <m:fPr>
              <m:ctrlPr>
                <w:rPr>
                  <w:rFonts w:ascii="Cambria Math" w:hAnsi="Cambria Math"/>
                </w:rPr>
              </m:ctrlPr>
            </m:fPr>
            <m:num>
              <m:r>
                <m:rPr>
                  <m:sty m:val="i"/>
                </m:rPr>
                <m:t>∂</m:t>
              </m:r>
              <m:r>
                <m:rPr>
                  <m:sty m:val="i"/>
                </m:rPr>
                <m:t>T</m:t>
              </m:r>
            </m:num>
            <m:den>
              <m:r>
                <m:rPr>
                  <m:sty m:val="i"/>
                </m:rPr>
                <m:t>∂</m:t>
              </m:r>
              <m:r>
                <m:rPr>
                  <m:sty m:val="i"/>
                </m:rPr>
                <m:t>t</m:t>
              </m:r>
            </m:den>
          </m:f>
          <m:r>
            <m:rPr>
              <m:sty m:val="p"/>
            </m:rPr>
            <m:t>=</m:t>
          </m:r>
          <m:r>
            <m:rPr>
              <m:sty m:val="i"/>
            </m:rPr>
            <m:t>D</m:t>
          </m:r>
          <m:f>
            <m:fPr>
              <m:ctrlPr>
                <w:rPr>
                  <w:rFonts w:ascii="Cambria Math" w:hAnsi="Cambria Math"/>
                </w:rPr>
              </m:ctrlPr>
            </m:fPr>
            <m:num>
              <m:sSup>
                <m:sSupPr/>
                <m:e>
                  <m:r>
                    <m:rPr>
                      <m:sty m:val="i"/>
                    </m:rPr>
                    <m:t>∂</m:t>
                  </m:r>
                </m:e>
                <m:sup>
                  <m:r>
                    <m:rPr>
                      <m:sty m:val="p"/>
                    </m:rPr>
                    <m:t>2</m:t>
                  </m:r>
                </m:sup>
              </m:sSup>
              <m:r>
                <m:rPr>
                  <m:sty m:val="i"/>
                </m:rPr>
                <m:t>T</m:t>
              </m:r>
            </m:num>
            <m:den>
              <m:r>
                <m:rPr>
                  <m:sty m:val="i"/>
                </m:rPr>
                <m:t>∂</m:t>
              </m:r>
              <m:sSup>
                <m:sSupPr/>
                <m:e>
                  <m:r>
                    <m:rPr>
                      <m:sty m:val="i"/>
                    </m:rPr>
                    <m:t>x</m:t>
                  </m:r>
                </m:e>
                <m:sup>
                  <m:r>
                    <m:rPr>
                      <m:sty m:val="p"/>
                    </m:rPr>
                    <m:t>2</m:t>
                  </m:r>
                </m:sup>
              </m:sSup>
            </m:den>
          </m:f>
          <m:r>
            <m:rPr>
              <m:sty m:val="p"/>
            </m:rPr>
            <m:t>+</m:t>
          </m:r>
          <m:r>
            <m:rPr>
              <m:sty m:val="i"/>
            </m:rPr>
            <m:t>κ</m:t>
          </m:r>
        </m:oMath>
      </m:oMathPara>
    </w:p>
    <w:p>
      <w:pPr>
        <w:spacing w:after="220" w:lineRule="auto"/>
      </w:pPr>
      <w:r>
        <w:rPr>
          <w:rFonts w:eastAsia="Georgia" w:cs="Georgia" w:ascii="Georgia" w:hAnsi="Georgia"/>
        </w:rPr>
        <w:t xml:space="preserve">en précisant les expressions de </w:t>
      </w:r>
      <m:oMath>
        <m:r>
          <m:rPr>
            <m:sty m:val="i"/>
          </m:rPr>
          <m:t>D</m:t>
        </m:r>
      </m:oMath>
      <w:r>
        <w:rPr/>
        <w:t xml:space="preserve"> et </w:t>
      </w:r>
      <m:oMath>
        <m:r>
          <m:rPr>
            <m:sty m:val="i"/>
          </m:rPr>
          <m:t>κ</m:t>
        </m:r>
      </m:oMath>
      <w:r>
        <w:rPr>
          <w:rFonts w:eastAsia="Georgia" w:cs="Georgia" w:ascii="Georgia" w:hAnsi="Georgia"/>
        </w:rPr>
        <w:t xml:space="preserve"> en fonction des données du problème.</w:t>
      </w:r>
      <w:r>
        <w:rPr/>
        <w:br w:type="textWrapping"/>
      </w:r>
      <w:r>
        <w:rPr>
          <w:rFonts w:eastAsia="Georgia" w:cs="Georgia" w:ascii="Georgia" w:hAnsi="Georgia"/>
        </w:rPr>
        <w:t xml:space="preserve">Q 13. De même, écrire l'équation régissant l'évolution de la température </w:t>
      </w:r>
      <m:oMath>
        <m:r>
          <m:rPr>
            <m:sty m:val="i"/>
          </m:rPr>
          <m:t>T</m:t>
        </m:r>
        <m:r>
          <m:rPr>
            <m:sty m:val="p"/>
          </m:rPr>
          <m:t>(</m:t>
        </m:r>
        <m:r>
          <m:rPr>
            <m:sty m:val="i"/>
          </m:rPr>
          <m:t>x</m:t>
        </m:r>
        <m:r>
          <m:rPr>
            <m:sty m:val="p"/>
          </m:rPr>
          <m:t>,</m:t>
        </m:r>
        <m:r>
          <m:rPr>
            <m:sty m:val="i"/>
          </m:rPr>
          <m:t>t</m:t>
        </m:r>
        <m:r>
          <m:rPr>
            <m:sty m:val="p"/>
          </m:rPr>
          <m:t>)</m:t>
        </m:r>
      </m:oMath>
      <w:r>
        <w:rPr>
          <w:rFonts w:eastAsia="Georgia" w:cs="Georgia" w:ascii="Georgia" w:hAnsi="Georgia"/>
        </w:rPr>
        <w:t xml:space="preserve"> dans la zone non altérée.</w:t>
      </w:r>
      <w:r>
        <w:rPr/>
        <w:br w:type="textWrapping"/>
      </w:r>
      <w:r>
        <w:rPr>
          <w:rFonts w:eastAsia="Georgia" w:cs="Georgia" w:ascii="Georgia" w:hAnsi="Georgia"/>
        </w:rPr>
        <w:t xml:space="preserve">On souhaite dans un premier temps vérifier si l'on peut se placer dans le cadre simplifié de l'approximation des régimes quasi stationnaires thermiques.</w:t>
      </w:r>
      <w:r>
        <w:rPr/>
        <w:br w:type="textWrapping"/>
      </w:r>
      <w:r>
        <w:rPr>
          <w:rFonts w:eastAsia="Georgia" w:cs="Georgia" w:ascii="Georgia" w:hAnsi="Georgia"/>
        </w:rPr>
        <w:t xml:space="preserve">Q 14. Calculer la durée caractéristique </w:t>
      </w:r>
      <m:oMath>
        <m:sSub>
          <m:sSubPr/>
          <m:e>
            <m:r>
              <m:rPr>
                <m:sty m:val="i"/>
              </m:rPr>
              <m:t>τ</m:t>
            </m:r>
          </m:e>
          <m:sub>
            <m:r>
              <m:rPr>
                <m:sty m:val="i"/>
              </m:rPr>
              <m:t>d</m:t>
            </m:r>
          </m:sub>
        </m:sSub>
      </m:oMath>
      <w:r>
        <w:rPr>
          <w:rFonts w:eastAsia="Georgia" w:cs="Georgia" w:ascii="Georgia" w:hAnsi="Georgia"/>
        </w:rPr>
        <w:t xml:space="preserve"> de diffusion thermique pour une longueur d'une dizaine de centimètres d'un tronçon de poutre. Comparer ce temps de diffusion à l'ordre de grandeur de la durée </w:t>
      </w:r>
      <m:oMath>
        <m:sSub>
          <m:sSubPr/>
          <m:e>
            <m:r>
              <m:rPr>
                <m:sty m:val="i"/>
              </m:rPr>
              <m:t>τ</m:t>
            </m:r>
          </m:e>
          <m:sub>
            <m:r>
              <m:rPr>
                <m:sty m:val="i"/>
              </m:rPr>
              <m:t>c</m:t>
            </m:r>
          </m:sub>
        </m:sSub>
      </m:oMath>
      <w:r>
        <w:rPr>
          <w:rFonts w:eastAsia="Georgia" w:cs="Georgia" w:ascii="Georgia" w:hAnsi="Georgia"/>
        </w:rPr>
        <w:t xml:space="preserve"> de combustion d'une même longueur de poutre. Conclure.</w:t>
      </w:r>
      <w:r>
        <w:rPr/>
        <w:br w:type="textWrapping"/>
      </w:r>
      <w:r>
        <w:rPr>
          <w:rFonts w:eastAsia="Georgia" w:cs="Georgia" w:ascii="Georgia" w:hAnsi="Georgia"/>
        </w:rPr>
        <w:t xml:space="preserve">On se propose de résoudre les équations précédentes sous forme d'une onde se propageant dans la poutre. On pose </w:t>
      </w:r>
      <m:oMath>
        <m:r>
          <m:rPr>
            <m:sty m:val="i"/>
          </m:rPr>
          <m:t>u</m:t>
        </m:r>
        <m:r>
          <m:rPr>
            <m:sty m:val="p"/>
          </m:rPr>
          <m:t>=</m:t>
        </m:r>
        <m:r>
          <m:rPr>
            <m:sty m:val="i"/>
          </m:rPr>
          <m:t>x</m:t>
        </m:r>
        <m:r>
          <m:rPr>
            <m:sty m:val="p"/>
          </m:rPr>
          <m:t>−</m:t>
        </m:r>
        <m:r>
          <m:rPr>
            <m:sty m:val="i"/>
          </m:rPr>
          <m:t>c</m:t>
        </m:r>
        <m:r>
          <m:rPr>
            <m:sty m:val="i"/>
          </m:rPr>
          <m:t>t</m:t>
        </m:r>
      </m:oMath>
      <w:r>
        <w:rPr>
          <w:rFonts w:eastAsia="Georgia" w:cs="Georgia" w:ascii="Georgia" w:hAnsi="Georgia"/>
        </w:rPr>
        <w:t xml:space="preserve"> où </w:t>
      </w:r>
      <m:oMath>
        <m:r>
          <m:rPr>
            <m:sty m:val="i"/>
          </m:rPr>
          <m:t>c</m:t>
        </m:r>
      </m:oMath>
      <w:r>
        <w:rPr/>
        <w:t xml:space="preserve"> est une constante positive et on effectue le changement de variables tel que </w:t>
      </w:r>
      <m:oMath>
        <m:r>
          <m:rPr>
            <m:sty m:val="i"/>
          </m:rPr>
          <m:t>T</m:t>
        </m:r>
        <m:r>
          <m:rPr>
            <m:sty m:val="p"/>
          </m:rPr>
          <m:t>(</m:t>
        </m:r>
        <m:r>
          <m:rPr>
            <m:sty m:val="i"/>
          </m:rPr>
          <m:t>x</m:t>
        </m:r>
        <m:r>
          <m:rPr>
            <m:sty m:val="p"/>
          </m:rPr>
          <m:t>,</m:t>
        </m:r>
        <m:r>
          <m:rPr>
            <m:sty m:val="i"/>
          </m:rPr>
          <m:t>t</m:t>
        </m:r>
        <m:r>
          <m:rPr>
            <m:sty m:val="p"/>
          </m:rPr>
          <m:t>)</m:t>
        </m:r>
        <m:r>
          <m:rPr>
            <m:sty m:val="p"/>
          </m:rPr>
          <m:t>=</m:t>
        </m:r>
        <m:r>
          <m:rPr>
            <m:sty m:val="i"/>
          </m:rPr>
          <m:t>θ</m:t>
        </m:r>
        <m:r>
          <m:rPr>
            <m:sty m:val="p"/>
          </m:rPr>
          <m:t>(</m:t>
        </m:r>
        <m:r>
          <m:rPr>
            <m:sty m:val="i"/>
          </m:rPr>
          <m:t>u</m:t>
        </m:r>
        <m:r>
          <m:rPr>
            <m:sty m:val="p"/>
          </m:rPr>
          <m:t>)</m:t>
        </m:r>
      </m:oMath>
      <w:r>
        <w:rPr/>
        <w:t xml:space="preserve">.</w:t>
      </w:r>
      <w:r>
        <w:rPr/>
        <w:br w:type="textWrapping"/>
      </w:r>
      <w:r>
        <w:rPr>
          <w:rFonts w:eastAsia="Georgia" w:cs="Georgia" w:ascii="Georgia" w:hAnsi="Georgia"/>
        </w:rPr>
        <w:t xml:space="preserve">Q 15. Donner une interprétation de la quantité </w:t>
      </w:r>
      <m:oMath>
        <m:r>
          <m:rPr>
            <m:sty m:val="i"/>
          </m:rPr>
          <m:t>c</m:t>
        </m:r>
      </m:oMath>
      <w:r>
        <w:rPr/>
        <w:t xml:space="preserve">.</w:t>
      </w:r>
      <w:r>
        <w:rPr/>
        <w:br w:type="textWrapping"/>
      </w:r>
      <w:r>
        <w:rPr>
          <w:rFonts w:eastAsia="Georgia" w:cs="Georgia" w:ascii="Georgia" w:hAnsi="Georgia"/>
        </w:rPr>
        <w:t xml:space="preserve">Q 16. Déterminer les équations différentielles régissant l'évolution de la dérivée de </w:t>
      </w:r>
      <m:oMath>
        <m:r>
          <m:rPr>
            <m:sty m:val="i"/>
          </m:rPr>
          <m:t>θ</m:t>
        </m:r>
        <m:r>
          <m:rPr>
            <m:sty m:val="p"/>
          </m:rPr>
          <m:t>(</m:t>
        </m:r>
        <m:r>
          <m:rPr>
            <m:sty m:val="i"/>
          </m:rPr>
          <m:t>u</m:t>
        </m:r>
        <m:r>
          <m:rPr>
            <m:sty m:val="p"/>
          </m:rPr>
          <m:t>)</m:t>
        </m:r>
      </m:oMath>
      <w:r>
        <w:rPr>
          <w:rFonts w:eastAsia="Georgia" w:cs="Georgia" w:ascii="Georgia" w:hAnsi="Georgia"/>
        </w:rPr>
        <w:t xml:space="preserve"> dans la zone inaltérée et dans la zone en combustion.</w:t>
      </w:r>
      <w:r>
        <w:rPr/>
        <w:br w:type="textWrapping"/>
      </w:r>
      <w:r>
        <w:rPr>
          <w:rFonts w:eastAsia="Georgia" w:cs="Georgia" w:ascii="Georgia" w:hAnsi="Georgia"/>
        </w:rPr>
        <w:t xml:space="preserve">Q 17. Montrer que la forme générale des solutions </w:t>
      </w:r>
      <m:oMath>
        <m:sSub>
          <m:sSubPr/>
          <m:e>
            <m:r>
              <m:rPr>
                <m:sty m:val="i"/>
              </m:rPr>
              <m:t>θ</m:t>
            </m:r>
          </m:e>
          <m:sub>
            <m:r>
              <m:rPr>
                <m:sty m:val="i"/>
              </m:rPr>
              <m:t>i</m:t>
            </m:r>
          </m:sub>
        </m:sSub>
        <m:r>
          <m:rPr>
            <m:sty m:val="p"/>
          </m:rPr>
          <m:t>(</m:t>
        </m:r>
        <m:r>
          <m:rPr>
            <m:sty m:val="i"/>
          </m:rPr>
          <m:t>u</m:t>
        </m:r>
        <m:r>
          <m:rPr>
            <m:sty m:val="p"/>
          </m:rPr>
          <m:t>)</m:t>
        </m:r>
        <m:r>
          <m:rPr>
            <m:sty m:val="p"/>
          </m:rPr>
          <m:t>(</m:t>
        </m:r>
        <m:r>
          <m:rPr>
            <m:sty m:val="i"/>
          </m:rPr>
          <m:t>i</m:t>
        </m:r>
        <m:r>
          <m:rPr>
            <m:sty m:val="p"/>
          </m:rPr>
          <m:t>=</m:t>
        </m:r>
        <m:r>
          <m:rPr>
            <m:sty m:val="p"/>
          </m:rPr>
          <m:t>1</m:t>
        </m:r>
        <m:r>
          <m:rPr>
            <m:sty m:val="p"/>
          </m:rPr>
          <m:t>,</m:t>
        </m:r>
        <m:r>
          <m:rPr>
            <m:sty m:val="p"/>
          </m:rPr>
          <m:t>2</m:t>
        </m:r>
      </m:oMath>
      <w:r>
        <w:rPr/>
        <w:t xml:space="preserve"> ou 3</w:t>
      </w:r>
      <m:oMath>
        <m:r>
          <m:rPr>
            <m:sty m:val="p"/>
          </m:rPr>
          <m:t>)</m:t>
        </m:r>
      </m:oMath>
      <w:r>
        <w:rPr>
          <w:rFonts w:eastAsia="Georgia" w:cs="Georgia" w:ascii="Georgia" w:hAnsi="Georgia"/>
        </w:rPr>
        <w:t xml:space="preserve"> dans chacune des trois zones respectives peut s'écrire</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sSub>
                      <m:sSubPr/>
                      <m:e>
                        <m:r>
                          <m:rPr>
                            <m:sty m:val="i"/>
                          </m:rPr>
                          <m:t>θ</m:t>
                        </m:r>
                      </m:e>
                      <m:sub>
                        <m:r>
                          <m:rPr>
                            <m:sty m:val="p"/>
                          </m:rPr>
                          <m:t>1</m:t>
                        </m:r>
                      </m:sub>
                    </m:sSub>
                    <m:r>
                      <m:rPr>
                        <m:sty m:val="p"/>
                      </m:rPr>
                      <m:t>(</m:t>
                    </m:r>
                    <m:r>
                      <m:rPr>
                        <m:sty m:val="i"/>
                      </m:rPr>
                      <m:t>u</m:t>
                    </m:r>
                    <m:r>
                      <m:rPr>
                        <m:sty m:val="p"/>
                      </m:rPr>
                      <m:t>)</m:t>
                    </m:r>
                    <m:r>
                      <m:rPr>
                        <m:sty m:val="p"/>
                      </m:rPr>
                      <m:t>=</m:t>
                    </m:r>
                    <m:sSub>
                      <m:sSubPr/>
                      <m:e>
                        <m:r>
                          <m:rPr>
                            <m:sty m:val="i"/>
                          </m:rPr>
                          <m:t>a</m:t>
                        </m:r>
                      </m:e>
                      <m:sub>
                        <m:r>
                          <m:rPr>
                            <m:sty m:val="p"/>
                          </m:rPr>
                          <m:t>1</m:t>
                        </m:r>
                      </m:sub>
                    </m:sSub>
                  </m:e>
                  <m:e>
                    <m:r>
                      <m:rPr>
                        <m:nor/>
                      </m:rPr>
                      <m:t> pour </m:t>
                    </m:r>
                    <m:r>
                      <m:rPr>
                        <m:sty m:val="i"/>
                      </m:rPr>
                      <m:t>u</m:t>
                    </m:r>
                    <m:r>
                      <m:rPr>
                        <m:sty m:val="p"/>
                      </m:rPr>
                      <m:t>&lt;</m:t>
                    </m:r>
                    <m:sSub>
                      <m:sSubPr/>
                      <m:e>
                        <m:r>
                          <m:rPr>
                            <m:sty m:val="i"/>
                          </m:rPr>
                          <m:t>u</m:t>
                        </m:r>
                      </m:e>
                      <m:sub>
                        <m:r>
                          <m:rPr>
                            <m:sty m:val="p"/>
                          </m:rPr>
                          <m:t>1</m:t>
                        </m:r>
                      </m:sub>
                    </m:sSub>
                  </m:e>
                </m:mr>
                <m:mr>
                  <m:e>
                    <m:sSub>
                      <m:sSubPr/>
                      <m:e>
                        <m:r>
                          <m:rPr>
                            <m:sty m:val="i"/>
                          </m:rPr>
                          <m:t>θ</m:t>
                        </m:r>
                      </m:e>
                      <m:sub>
                        <m:r>
                          <m:rPr>
                            <m:sty m:val="p"/>
                          </m:rPr>
                          <m:t>2</m:t>
                        </m:r>
                      </m:sub>
                    </m:sSub>
                    <m:r>
                      <m:rPr>
                        <m:sty m:val="p"/>
                      </m:rPr>
                      <m:t>(</m:t>
                    </m:r>
                    <m:r>
                      <m:rPr>
                        <m:sty m:val="i"/>
                      </m:rPr>
                      <m:t>u</m:t>
                    </m:r>
                    <m:r>
                      <m:rPr>
                        <m:sty m:val="p"/>
                      </m:rPr>
                      <m:t>)</m:t>
                    </m:r>
                    <m:r>
                      <m:rPr>
                        <m:sty m:val="p"/>
                      </m:rPr>
                      <m:t>=</m:t>
                    </m:r>
                    <m:sSub>
                      <m:sSubPr/>
                      <m:e>
                        <m:r>
                          <m:rPr>
                            <m:sty m:val="i"/>
                          </m:rPr>
                          <m:t>a</m:t>
                        </m:r>
                      </m:e>
                      <m:sub>
                        <m:r>
                          <m:rPr>
                            <m:sty m:val="p"/>
                          </m:rPr>
                          <m:t>2</m:t>
                        </m:r>
                      </m:sub>
                    </m:sSub>
                    <m:r>
                      <m:rPr>
                        <m:sty m:val="p"/>
                      </m:rPr>
                      <m:t>+</m:t>
                    </m:r>
                    <m:sSub>
                      <m:sSubPr/>
                      <m:e>
                        <m:r>
                          <m:rPr>
                            <m:sty m:val="i"/>
                          </m:rPr>
                          <m:t>b</m:t>
                        </m:r>
                      </m:e>
                      <m:sub>
                        <m:r>
                          <m:rPr>
                            <m:sty m:val="p"/>
                          </m:rPr>
                          <m:t>2</m:t>
                        </m:r>
                      </m:sub>
                    </m:sSub>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r>
                              <m:rPr>
                                <m:sty m:val="i"/>
                              </m:rPr>
                              <m:t>c</m:t>
                            </m:r>
                          </m:num>
                          <m:den>
                            <m:r>
                              <m:rPr>
                                <m:sty m:val="i"/>
                              </m:rPr>
                              <m:t>D</m:t>
                            </m:r>
                          </m:den>
                        </m:f>
                        <m:r>
                          <m:rPr>
                            <m:sty m:val="i"/>
                          </m:rPr>
                          <m:t>u</m:t>
                        </m:r>
                      </m:e>
                    </m:d>
                    <m:r>
                      <m:rPr>
                        <m:sty m:val="p"/>
                      </m:rPr>
                      <m:t>−</m:t>
                    </m:r>
                    <m:f>
                      <m:fPr>
                        <m:ctrlPr>
                          <w:rPr>
                            <w:rFonts w:ascii="Cambria Math" w:hAnsi="Cambria Math"/>
                          </w:rPr>
                        </m:ctrlPr>
                      </m:fPr>
                      <m:num>
                        <m:r>
                          <m:rPr>
                            <m:sty m:val="i"/>
                          </m:rPr>
                          <m:t>κ</m:t>
                        </m:r>
                      </m:num>
                      <m:den>
                        <m:r>
                          <m:rPr>
                            <m:sty m:val="i"/>
                          </m:rPr>
                          <m:t>c</m:t>
                        </m:r>
                      </m:den>
                    </m:f>
                    <m:r>
                      <m:rPr>
                        <m:sty m:val="i"/>
                      </m:rPr>
                      <m:t>u</m:t>
                    </m:r>
                  </m:e>
                  <m:e>
                    <m:r>
                      <m:rPr>
                        <m:nor/>
                      </m:rPr>
                      <m:t> pour </m:t>
                    </m:r>
                    <m:sSub>
                      <m:sSubPr/>
                      <m:e>
                        <m:r>
                          <m:rPr>
                            <m:sty m:val="i"/>
                          </m:rPr>
                          <m:t>u</m:t>
                        </m:r>
                      </m:e>
                      <m:sub>
                        <m:r>
                          <m:rPr>
                            <m:sty m:val="p"/>
                          </m:rPr>
                          <m:t>1</m:t>
                        </m:r>
                      </m:sub>
                    </m:sSub>
                    <m:r>
                      <m:rPr>
                        <m:sty m:val="p"/>
                      </m:rPr>
                      <m:t>&lt;</m:t>
                    </m:r>
                    <m:r>
                      <m:rPr>
                        <m:sty m:val="i"/>
                      </m:rPr>
                      <m:t>u</m:t>
                    </m:r>
                    <m:r>
                      <m:rPr>
                        <m:sty m:val="p"/>
                      </m:rPr>
                      <m:t>&lt;</m:t>
                    </m:r>
                    <m:sSub>
                      <m:sSubPr/>
                      <m:e>
                        <m:r>
                          <m:rPr>
                            <m:sty m:val="i"/>
                          </m:rPr>
                          <m:t>u</m:t>
                        </m:r>
                      </m:e>
                      <m:sub>
                        <m:r>
                          <m:rPr>
                            <m:sty m:val="p"/>
                          </m:rPr>
                          <m:t>2</m:t>
                        </m:r>
                      </m:sub>
                    </m:sSub>
                  </m:e>
                </m:mr>
                <m:mr>
                  <m:e>
                    <m:sSub>
                      <m:sSubPr/>
                      <m:e>
                        <m:r>
                          <m:rPr>
                            <m:sty m:val="i"/>
                          </m:rPr>
                          <m:t>θ</m:t>
                        </m:r>
                      </m:e>
                      <m:sub>
                        <m:r>
                          <m:rPr>
                            <m:sty m:val="p"/>
                          </m:rPr>
                          <m:t>3</m:t>
                        </m:r>
                      </m:sub>
                    </m:sSub>
                    <m:r>
                      <m:rPr>
                        <m:sty m:val="p"/>
                      </m:rPr>
                      <m:t>(</m:t>
                    </m:r>
                    <m:r>
                      <m:rPr>
                        <m:sty m:val="i"/>
                      </m:rPr>
                      <m:t>u</m:t>
                    </m:r>
                    <m:r>
                      <m:rPr>
                        <m:sty m:val="p"/>
                      </m:rPr>
                      <m:t>)</m:t>
                    </m:r>
                    <m:r>
                      <m:rPr>
                        <m:sty m:val="p"/>
                      </m:rPr>
                      <m:t>=</m:t>
                    </m:r>
                    <m:sSub>
                      <m:sSubPr/>
                      <m:e>
                        <m:r>
                          <m:rPr>
                            <m:sty m:val="i"/>
                          </m:rPr>
                          <m:t>a</m:t>
                        </m:r>
                      </m:e>
                      <m:sub>
                        <m:r>
                          <m:rPr>
                            <m:sty m:val="p"/>
                          </m:rPr>
                          <m:t>3</m:t>
                        </m:r>
                      </m:sub>
                    </m:sSub>
                    <m:r>
                      <m:rPr>
                        <m:sty m:val="p"/>
                      </m:rPr>
                      <m:t>+</m:t>
                    </m:r>
                    <m:sSub>
                      <m:sSubPr/>
                      <m:e>
                        <m:r>
                          <m:rPr>
                            <m:sty m:val="i"/>
                          </m:rPr>
                          <m:t>b</m:t>
                        </m:r>
                      </m:e>
                      <m:sub>
                        <m:r>
                          <m:rPr>
                            <m:sty m:val="p"/>
                          </m:rPr>
                          <m:t>3</m:t>
                        </m:r>
                      </m:sub>
                    </m:sSub>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r>
                              <m:rPr>
                                <m:sty m:val="i"/>
                              </m:rPr>
                              <m:t>c</m:t>
                            </m:r>
                          </m:num>
                          <m:den>
                            <m:r>
                              <m:rPr>
                                <m:sty m:val="i"/>
                              </m:rPr>
                              <m:t>D</m:t>
                            </m:r>
                          </m:den>
                        </m:f>
                        <m:r>
                          <m:rPr>
                            <m:sty m:val="i"/>
                          </m:rPr>
                          <m:t>u</m:t>
                        </m:r>
                      </m:e>
                    </m:d>
                  </m:e>
                  <m:e>
                    <m:r>
                      <m:rPr>
                        <m:nor/>
                      </m:rPr>
                      <m:t> pour </m:t>
                    </m:r>
                    <m:r>
                      <m:rPr>
                        <m:sty m:val="i"/>
                      </m:rPr>
                      <m:t>u</m:t>
                    </m:r>
                    <m:r>
                      <m:rPr>
                        <m:sty m:val="p"/>
                      </m:rPr>
                      <m:t>&gt;</m:t>
                    </m:r>
                    <m:sSub>
                      <m:sSubPr/>
                      <m:e>
                        <m:r>
                          <m:rPr>
                            <m:sty m:val="i"/>
                          </m:rPr>
                          <m:t>u</m:t>
                        </m:r>
                      </m:e>
                      <m:sub>
                        <m:r>
                          <m:rPr>
                            <m:sty m:val="p"/>
                          </m:rPr>
                          <m:t>2</m:t>
                        </m:r>
                      </m:sub>
                    </m:sSub>
                  </m:e>
                </m:mr>
              </m:m>
            </m:e>
          </m:d>
        </m:oMath>
      </m:oMathPara>
    </w:p>
    <w:p>
      <w:pPr>
        <w:spacing w:after="220" w:lineRule="auto"/>
      </w:pPr>
      <w:r>
        <w:rPr>
          <w:rFonts w:eastAsia="Georgia" w:cs="Georgia" w:ascii="Georgia" w:hAnsi="Georgia"/>
        </w:rPr>
        <w:t xml:space="preserve">Q 18. Déterminer, en justifiant la réponse, les expressions de </w:t>
      </w:r>
      <m:oMath>
        <m:sSub>
          <m:sSubPr/>
          <m:e>
            <m:r>
              <m:rPr>
                <m:sty m:val="i"/>
              </m:rPr>
              <m:t>a</m:t>
            </m:r>
          </m:e>
          <m:sub>
            <m:r>
              <m:rPr>
                <m:sty m:val="p"/>
              </m:rPr>
              <m:t>1</m:t>
            </m:r>
          </m:sub>
        </m:sSub>
      </m:oMath>
      <w:r>
        <w:rPr/>
        <w:t xml:space="preserve"> et </w:t>
      </w:r>
      <m:oMath>
        <m:sSub>
          <m:sSubPr/>
          <m:e>
            <m:r>
              <m:rPr>
                <m:sty m:val="i"/>
              </m:rPr>
              <m:t>a</m:t>
            </m:r>
          </m:e>
          <m:sub>
            <m:r>
              <m:rPr>
                <m:sty m:val="p"/>
              </m:rPr>
              <m:t>3</m:t>
            </m:r>
          </m:sub>
        </m:sSub>
      </m:oMath>
      <w:r>
        <w:rPr>
          <w:rFonts w:eastAsia="Georgia" w:cs="Georgia" w:ascii="Georgia" w:hAnsi="Georgia"/>
        </w:rPr>
        <w:t xml:space="preserve"> en fonction des données.</w:t>
      </w:r>
      <w:r>
        <w:rPr/>
        <w:br w:type="textWrapping"/>
      </w:r>
      <w:r>
        <w:rPr/>
        <w:t xml:space="preserve">Q 19. Tracer l'allure de la fonction </w:t>
      </w:r>
      <m:oMath>
        <m:r>
          <m:rPr>
            <m:sty m:val="i"/>
          </m:rPr>
          <m:t>θ</m:t>
        </m:r>
        <m:r>
          <m:rPr>
            <m:sty m:val="p"/>
          </m:rPr>
          <m:t>(</m:t>
        </m:r>
        <m:r>
          <m:rPr>
            <m:sty m:val="i"/>
          </m:rPr>
          <m:t>u</m:t>
        </m:r>
        <m:r>
          <m:rPr>
            <m:sty m:val="p"/>
          </m:rPr>
          <m:t>)</m:t>
        </m:r>
      </m:oMath>
      <w:r>
        <w:rPr/>
        <w:t xml:space="preserve"> dans la poutre.</w:t>
      </w:r>
      <w:r>
        <w:rPr/>
        <w:br w:type="textWrapping"/>
      </w:r>
      <w:r>
        <w:rPr/>
        <w:t xml:space="preserve">Q 20. Quelles conditions permettent d'obtenir les constantes </w:t>
      </w:r>
      <m:oMath>
        <m:sSub>
          <m:sSubPr/>
          <m:e>
            <m:r>
              <m:rPr>
                <m:sty m:val="i"/>
              </m:rPr>
              <m:t>a</m:t>
            </m:r>
          </m:e>
          <m:sub>
            <m:r>
              <m:rPr>
                <m:sty m:val="p"/>
              </m:rPr>
              <m:t>2</m:t>
            </m:r>
          </m:sub>
        </m:sSub>
        <m:r>
          <m:rPr>
            <m:sty m:val="p"/>
          </m:rPr>
          <m:t>,</m:t>
        </m:r>
        <m:sSub>
          <m:sSubPr/>
          <m:e>
            <m:r>
              <m:rPr>
                <m:sty m:val="i"/>
              </m:rPr>
              <m:t>b</m:t>
            </m:r>
          </m:e>
          <m:sub>
            <m:r>
              <m:rPr>
                <m:sty m:val="p"/>
              </m:rPr>
              <m:t>2</m:t>
            </m:r>
          </m:sub>
        </m:sSub>
      </m:oMath>
      <w:r>
        <w:rPr/>
        <w:t xml:space="preserve"> et </w:t>
      </w:r>
      <m:oMath>
        <m:sSub>
          <m:sSubPr/>
          <m:e>
            <m:r>
              <m:rPr>
                <m:sty m:val="i"/>
              </m:rPr>
              <m:t>b</m:t>
            </m:r>
          </m:e>
          <m:sub>
            <m:r>
              <m:rPr>
                <m:sty m:val="p"/>
              </m:rPr>
              <m:t>3</m:t>
            </m:r>
          </m:sub>
        </m:sSub>
      </m:oMath>
      <w:r>
        <w:rPr>
          <w:rFonts w:eastAsia="Georgia" w:cs="Georgia" w:ascii="Georgia" w:hAnsi="Georgia"/>
        </w:rPr>
        <w:t xml:space="preserve"> ? On ne cherchera pas à les expliciter littéralement.</w:t>
      </w:r>
      <w:r>
        <w:rPr/>
        <w:br w:type="textWrapping"/>
      </w:r>
      <w:r>
        <w:rPr/>
        <w:t xml:space="preserve">On montre que la constante </w:t>
      </w:r>
      <m:oMath>
        <m:r>
          <m:rPr>
            <m:sty m:val="i"/>
          </m:rPr>
          <m:t>c</m:t>
        </m:r>
      </m:oMath>
      <w:r>
        <w:rPr>
          <w:rFonts w:eastAsia="Georgia" w:cs="Georgia" w:ascii="Georgia" w:hAnsi="Georgia"/>
        </w:rPr>
        <w:t xml:space="preserve"> est solution de l'équation</w:t>
      </w:r>
    </w:p>
    <w:p>
      <w:pPr>
        <w:spacing w:after="220" w:lineRule="auto"/>
      </w:pPr>
      <m:oMathPara>
        <m:oMath>
          <m:f>
            <m:fPr>
              <m:ctrlPr>
                <w:rPr>
                  <w:rFonts w:ascii="Cambria Math" w:hAnsi="Cambria Math"/>
                </w:rPr>
              </m:ctrlPr>
            </m:fPr>
            <m:num>
              <m:sSup>
                <m:sSupPr/>
                <m:e>
                  <m:r>
                    <m:rPr>
                      <m:sty m:val="i"/>
                    </m:rPr>
                    <m:t>c</m:t>
                  </m:r>
                </m:e>
                <m:sup>
                  <m:r>
                    <m:rPr>
                      <m:sty m:val="p"/>
                    </m:rPr>
                    <m:t>2</m:t>
                  </m:r>
                </m:sup>
              </m:sSup>
            </m:num>
            <m:den>
              <m:r>
                <m:rPr>
                  <m:sty m:val="i"/>
                </m:rPr>
                <m:t>κ</m:t>
              </m:r>
              <m:r>
                <m:rPr>
                  <m:sty m:val="i"/>
                </m:rPr>
                <m:t>D</m:t>
              </m:r>
            </m:den>
          </m:f>
          <m:d>
            <m:dPr>
              <m:begChr m:val="("/>
              <m:endChr m:val=")"/>
              <m:ctrlPr>
                <w:rPr>
                  <w:rFonts w:ascii="Cambria Math" w:hAnsi="Cambria Math"/>
                </w:rPr>
              </m:ctrlPr>
            </m:dPr>
            <m:e>
              <m:sSub>
                <m:sSubPr/>
                <m:e>
                  <m:r>
                    <m:rPr>
                      <m:sty m:val="i"/>
                    </m:rPr>
                    <m:t>T</m:t>
                  </m:r>
                </m:e>
                <m:sub>
                  <m:r>
                    <m:rPr>
                      <m:sty m:val="i"/>
                    </m:rPr>
                    <m:t>c</m:t>
                  </m:r>
                </m:sub>
              </m:sSub>
              <m:r>
                <m:rPr>
                  <m:sty m:val="p"/>
                </m:rPr>
                <m:t>−</m:t>
              </m:r>
              <m:sSub>
                <m:sSubPr/>
                <m:e>
                  <m:r>
                    <m:rPr>
                      <m:sty m:val="i"/>
                    </m:rPr>
                    <m:t>T</m:t>
                  </m:r>
                </m:e>
                <m:sub>
                  <m:r>
                    <m:rPr>
                      <m:sty m:val="p"/>
                    </m:rPr>
                    <m:t>∞</m:t>
                  </m:r>
                </m:sub>
              </m:sSub>
            </m:e>
          </m:d>
          <m:r>
            <m:rPr>
              <m:sty m:val="p"/>
            </m:rPr>
            <m:t>=</m:t>
          </m:r>
          <m:r>
            <m:rPr>
              <m:sty m:val="p"/>
            </m:rPr>
            <m:t>−</m:t>
          </m:r>
          <m:r>
            <m:rPr>
              <m:sty m:val="p"/>
            </m:rPr>
            <m:t>ln</m:t>
          </m:r>
          <m:r>
            <m:rPr>
              <m:sty m:val="p"/>
            </m:rPr>
            <m:t>⁡</m:t>
          </m:r>
          <m:d>
            <m:dPr>
              <m:begChr m:val="("/>
              <m:endChr m:val=")"/>
              <m:ctrlPr>
                <w:rPr>
                  <w:rFonts w:ascii="Cambria Math" w:hAnsi="Cambria Math"/>
                </w:rPr>
              </m:ctrlPr>
            </m:dPr>
            <m:e>
              <m:r>
                <m:rPr>
                  <m:sty m:val="p"/>
                </m:rPr>
                <m:t>1</m:t>
              </m:r>
              <m:r>
                <m:rPr>
                  <m:sty m:val="p"/>
                </m:rPr>
                <m:t>−</m:t>
              </m:r>
              <m:f>
                <m:fPr>
                  <m:ctrlPr>
                    <w:rPr>
                      <w:rFonts w:ascii="Cambria Math" w:hAnsi="Cambria Math"/>
                    </w:rPr>
                  </m:ctrlPr>
                </m:fPr>
                <m:num>
                  <m:sSup>
                    <m:sSupPr/>
                    <m:e>
                      <m:r>
                        <m:rPr>
                          <m:sty m:val="i"/>
                        </m:rPr>
                        <m:t>c</m:t>
                      </m:r>
                    </m:e>
                    <m:sup>
                      <m:r>
                        <m:rPr>
                          <m:sty m:val="p"/>
                        </m:rPr>
                        <m:t>2</m:t>
                      </m:r>
                    </m:sup>
                  </m:sSup>
                </m:num>
                <m:den>
                  <m:r>
                    <m:rPr>
                      <m:sty m:val="i"/>
                    </m:rPr>
                    <m:t>κ</m:t>
                  </m:r>
                  <m:r>
                    <m:rPr>
                      <m:sty m:val="i"/>
                    </m:rPr>
                    <m:t>D</m:t>
                  </m:r>
                </m:den>
              </m:f>
              <m:d>
                <m:dPr>
                  <m:begChr m:val="("/>
                  <m:endChr m:val=")"/>
                  <m:ctrlPr>
                    <w:rPr>
                      <w:rFonts w:ascii="Cambria Math" w:hAnsi="Cambria Math"/>
                    </w:rPr>
                  </m:ctrlPr>
                </m:dPr>
                <m:e>
                  <m:sSub>
                    <m:sSubPr/>
                    <m:e>
                      <m:r>
                        <m:rPr>
                          <m:sty m:val="i"/>
                        </m:rPr>
                        <m:t>T</m:t>
                      </m:r>
                    </m:e>
                    <m:sub>
                      <m:r>
                        <m:rPr>
                          <m:sty m:val="i"/>
                        </m:rPr>
                        <m:t>i</m:t>
                      </m:r>
                    </m:sub>
                  </m:sSub>
                  <m:r>
                    <m:rPr>
                      <m:sty m:val="p"/>
                    </m:rPr>
                    <m:t>−</m:t>
                  </m:r>
                  <m:sSub>
                    <m:sSubPr/>
                    <m:e>
                      <m:r>
                        <m:rPr>
                          <m:sty m:val="i"/>
                        </m:rPr>
                        <m:t>T</m:t>
                      </m:r>
                    </m:e>
                    <m:sub>
                      <m:r>
                        <m:rPr>
                          <m:sty m:val="p"/>
                        </m:rPr>
                        <m:t>∞</m:t>
                      </m:r>
                    </m:sub>
                  </m:sSub>
                </m:e>
              </m:d>
            </m:e>
          </m:d>
        </m:oMath>
      </m:oMathPara>
    </w:p>
    <w:p>
      <w:pPr>
        <w:spacing w:after="220" w:lineRule="auto"/>
      </w:pPr>
      <w:r>
        <w:rPr>
          <w:rFonts w:eastAsia="Georgia" w:cs="Georgia" w:ascii="Georgia" w:hAnsi="Georgia"/>
        </w:rPr>
        <w:t xml:space="preserve">On se propose de déterminer la valeur de </w:t>
      </w:r>
      <m:oMath>
        <m:r>
          <m:rPr>
            <m:sty m:val="i"/>
          </m:rPr>
          <m:t>c</m:t>
        </m:r>
      </m:oMath>
      <w:r>
        <w:rPr>
          <w:rFonts w:eastAsia="Georgia" w:cs="Georgia" w:ascii="Georgia" w:hAnsi="Georgia"/>
        </w:rPr>
        <w:t xml:space="preserve"> par une méthode graphique. La représentation graphique de la fonction </w:t>
      </w:r>
      <m:oMath>
        <m:r>
          <m:rPr>
            <m:sty m:val="i"/>
          </m:rPr>
          <m:t>x</m:t>
        </m:r>
        <m:r>
          <m:rPr>
            <m:sty m:val="p"/>
          </m:rPr>
          <m:t>↦</m:t>
        </m:r>
        <m:r>
          <m:rPr>
            <m:sty m:val="p"/>
          </m:rPr>
          <m:t>ln</m:t>
        </m:r>
        <m:r>
          <m:rPr>
            <m:sty m:val="p"/>
          </m:rPr>
          <m:t>⁡</m:t>
        </m:r>
        <m:r>
          <m:rPr>
            <m:sty m:val="p"/>
          </m:rPr>
          <m:t>(</m:t>
        </m:r>
        <m:r>
          <m:rPr>
            <m:sty m:val="p"/>
          </m:rPr>
          <m:t>1</m:t>
        </m:r>
        <m:r>
          <m:rPr>
            <m:sty m:val="p"/>
          </m:rPr>
          <m:t>−</m:t>
        </m:r>
        <m:r>
          <m:rPr>
            <m:sty m:val="i"/>
          </m:rPr>
          <m:t>x</m:t>
        </m:r>
        <m:r>
          <m:rPr>
            <m:sty m:val="p"/>
          </m:rPr>
          <m:t>)</m:t>
        </m:r>
      </m:oMath>
      <w:r>
        <w:rPr/>
        <w:t xml:space="preserve"> est fournie en annexe.</w:t>
      </w:r>
      <w:r>
        <w:rPr/>
        <w:br w:type="textWrapping"/>
      </w:r>
      <w:r>
        <w:rPr>
          <w:rFonts w:eastAsia="Georgia" w:cs="Georgia" w:ascii="Georgia" w:hAnsi="Georgia"/>
        </w:rPr>
        <w:t xml:space="preserve">Q 21. Déterminer une valeur approchée de c. Conclure.</w:t>
      </w:r>
      <w:r>
        <w:rPr/>
        <w:br w:type="textWrapping"/>
      </w:r>
      <w:r>
        <w:rPr>
          <w:rFonts w:eastAsia="Georgia" w:cs="Georgia" w:ascii="Georgia" w:hAnsi="Georgia"/>
        </w:rPr>
        <w:t xml:space="preserve">Q 22. Estimer la durée de combustion complète d'un mètre de poutre.</w:t>
      </w:r>
    </w:p>
    <w:p>
      <w:pPr>
        <w:spacing w:line="271" w:before="330" w:lineRule="auto"/>
      </w:pPr>
      <w:r>
        <w:rPr>
          <w:b/>
          <w:sz w:val="42"/>
        </w:rPr>
        <w:t xml:space="preserve">II Le plomb</w:t>
      </w:r>
    </w:p>
    <w:p>
      <w:pPr>
        <w:spacing w:after="220" w:lineRule="auto"/>
      </w:pPr>
      <w:r>
        <w:rPr>
          <w:rFonts w:eastAsia="Georgia" w:cs="Georgia" w:ascii="Georgia" w:hAnsi="Georgia"/>
        </w:rPr>
        <w:t xml:space="preserve">La toiture de la cathédrale Notre-Dame de Paris contenait du plomb qui a été porté au dessus de la température de formation des oxydes. Ainsi, les fumées de l'incendie ont pris une coloration jaune.</w:t>
      </w:r>
      <w:r>
        <w:rPr/>
        <w:br w:type="textWrapping"/>
      </w:r>
      <w:r>
        <w:rPr>
          <w:rFonts w:eastAsia="Georgia" w:cs="Georgia" w:ascii="Georgia" w:hAnsi="Georgia"/>
        </w:rPr>
        <w:t xml:space="preserve">Les données concernant l'élément plomb figurent en annexe.</w:t>
      </w:r>
    </w:p>
    <w:p>
      <w:pPr>
        <w:spacing w:line="271" w:before="330" w:lineRule="auto"/>
      </w:pPr>
      <w:r>
        <w:rPr>
          <w:rFonts w:eastAsia="Georgia" w:cs="Georgia" w:ascii="Georgia" w:hAnsi="Georgia"/>
          <w:b/>
          <w:sz w:val="42"/>
        </w:rPr>
        <w:t xml:space="preserve">II.A - L'élément plomb - Oxydation du plomb</w:t>
      </w:r>
    </w:p>
    <w:p>
      <w:pPr>
        <w:spacing w:after="220" w:lineRule="auto"/>
      </w:pPr>
      <w:r>
        <w:rPr>
          <w:rFonts w:eastAsia="Georgia" w:cs="Georgia" w:ascii="Georgia" w:hAnsi="Georgia"/>
        </w:rPr>
        <w:t xml:space="preserve">On supposera que dans le domaine de température étudié, l'enthalpie standard de formation et l'entropie molaire standard sont indépendantes de la température en dehors des changements d'état.</w:t>
      </w:r>
      <w:r>
        <w:rPr/>
        <w:br w:type="textWrapping"/>
      </w:r>
      <w:r>
        <w:rPr>
          <w:rFonts w:eastAsia="Georgia" w:cs="Georgia" w:ascii="Georgia" w:hAnsi="Georgia"/>
        </w:rPr>
        <w:t xml:space="preserve">Q 23. Le plomb solide cristallise dans un réseau cubique face centrée. Calculer le paramètre de maille </w:t>
      </w:r>
      <m:oMath>
        <m:r>
          <m:rPr>
            <m:sty m:val="i"/>
          </m:rPr>
          <m:t>a</m:t>
        </m:r>
      </m:oMath>
      <w:r>
        <w:rPr/>
        <w:t xml:space="preserve">.</w:t>
      </w:r>
      <w:r>
        <w:rPr/>
        <w:br w:type="textWrapping"/>
      </w:r>
      <w:r>
        <w:rPr>
          <w:rFonts w:eastAsia="Georgia" w:cs="Georgia" w:ascii="Georgia" w:hAnsi="Georgia"/>
        </w:rPr>
        <w:t xml:space="preserve">Q 24. Lors de l'incendie, la température a dépassé </w:t>
      </w:r>
      <m:oMath>
        <m:sSup>
          <m:sSupPr/>
          <m:e>
            <m:r>
              <m:rPr>
                <m:sty m:val="p"/>
              </m:rPr>
              <m:t>800</m:t>
            </m:r>
          </m:e>
          <m:sup>
            <m:r>
              <m:rPr>
                <m:sty m:val="p"/>
              </m:rPr>
              <m:t>∘</m:t>
            </m:r>
          </m:sup>
        </m:sSup>
        <m:r>
          <m:rPr>
            <m:sty m:val="p"/>
          </m:rPr>
          <m:t>C</m:t>
        </m:r>
      </m:oMath>
      <w:r>
        <w:rPr>
          <w:rFonts w:eastAsia="Georgia" w:cs="Georgia" w:ascii="Georgia" w:hAnsi="Georgia"/>
        </w:rPr>
        <w:t xml:space="preserve">. Sous quel(s) état(s) pouvait-on trouver du plomb sur les lieux de l'incendie?</w:t>
      </w:r>
      <w:r>
        <w:rPr/>
        <w:br w:type="textWrapping"/>
      </w:r>
      <w:r>
        <w:rPr>
          <w:rFonts w:eastAsia="Georgia" w:cs="Georgia" w:ascii="Georgia" w:hAnsi="Georgia"/>
        </w:rPr>
        <w:t xml:space="preserve">Q 25. Écrire les réactions du dioxygène de l'air sur le plomb solide conduisant aux oxydes </w:t>
      </w:r>
      <m:oMath>
        <m:sSub>
          <m:sSubPr/>
          <m:e>
            <m:r>
              <m:rPr>
                <m:sty m:val="p"/>
              </m:rPr>
              <m:t>PbO</m:t>
            </m:r>
          </m:e>
          <m:sub>
            <m:r>
              <m:rPr>
                <m:sty m:val="p"/>
              </m:rPr>
              <m:t>(</m:t>
            </m:r>
            <m:r>
              <m:rPr>
                <m:sty m:val="p"/>
              </m:rPr>
              <m:t>s</m:t>
            </m:r>
            <m:r>
              <m:rPr>
                <m:sty m:val="p"/>
              </m:rPr>
              <m:t>)</m:t>
            </m:r>
          </m:sub>
        </m:sSub>
        <m:r>
          <m:rPr>
            <m:sty m:val="p"/>
          </m:rPr>
          <m:t>,</m:t>
        </m:r>
        <m:sSub>
          <m:sSubPr/>
          <m:e>
            <m:r>
              <m:rPr>
                <m:sty m:val="p"/>
              </m:rPr>
              <m:t>Pb</m:t>
            </m:r>
          </m:e>
          <m:sub>
            <m:r>
              <m:rPr>
                <m:sty m:val="p"/>
              </m:rPr>
              <m:t>3</m:t>
            </m:r>
          </m:sub>
        </m:sSub>
        <m:sSub>
          <m:sSubPr/>
          <m:e>
            <m:r>
              <m:rPr>
                <m:sty m:val="p"/>
              </m:rPr>
              <m:t>O</m:t>
            </m:r>
          </m:e>
          <m:sub>
            <m:r>
              <m:rPr>
                <m:sty m:val="p"/>
              </m:rPr>
              <m:t>4</m:t>
            </m:r>
            <m:r>
              <m:rPr>
                <m:sty m:val="p"/>
              </m:rPr>
              <m:t>(</m:t>
            </m:r>
            <m:r>
              <m:rPr>
                <m:nor/>
              </m:rPr>
              <m:t xml:space="preserve"> </m:t>
            </m:r>
            <m:r>
              <m:rPr>
                <m:sty m:val="p"/>
              </m:rPr>
              <m:t>s</m:t>
            </m:r>
            <m:r>
              <m:rPr>
                <m:sty m:val="p"/>
              </m:rPr>
              <m:t>)</m:t>
            </m:r>
          </m:sub>
        </m:sSub>
      </m:oMath>
      <w:r>
        <w:rPr/>
        <w:t xml:space="preserve"> et </w:t>
      </w:r>
      <m:oMath>
        <m:sSub>
          <m:sSubPr/>
          <m:e>
            <m:r>
              <m:rPr>
                <m:sty m:val="p"/>
              </m:rPr>
              <m:t>PbO</m:t>
            </m:r>
          </m:e>
          <m:sub>
            <m:r>
              <m:rPr>
                <m:sty m:val="p"/>
              </m:rPr>
              <m:t>2</m:t>
            </m:r>
            <m:r>
              <m:rPr>
                <m:sty m:val="p"/>
              </m:rPr>
              <m:t>(</m:t>
            </m:r>
            <m:r>
              <m:rPr>
                <m:nor/>
              </m:rPr>
              <m:t xml:space="preserve"> </m:t>
            </m:r>
            <m:r>
              <m:rPr>
                <m:sty m:val="p"/>
              </m:rPr>
              <m:t>s</m:t>
            </m:r>
            <m:r>
              <m:rPr>
                <m:sty m:val="p"/>
              </m:rPr>
              <m:t>)</m:t>
            </m:r>
          </m:sub>
        </m:sSub>
      </m:oMath>
      <w:r>
        <w:rPr>
          <w:rFonts w:eastAsia="Georgia" w:cs="Georgia" w:ascii="Georgia" w:hAnsi="Georgia"/>
        </w:rPr>
        <w:t xml:space="preserve"> à température ambiante. On prendra un coefficient stœchiométrique de 1 pour le dioxygène.</w:t>
      </w:r>
      <w:r>
        <w:rPr/>
        <w:br w:type="textWrapping"/>
      </w:r>
      <w:r>
        <w:rPr>
          <w:rFonts w:eastAsia="Georgia" w:cs="Georgia" w:ascii="Georgia" w:hAnsi="Georgia"/>
        </w:rPr>
        <w:t xml:space="preserve">Q 26. Préciser la valeur du nombre d'oxydation du plomb dans ces oxydes. Commenter la valeur pour </w:t>
      </w:r>
      <m:oMath>
        <m:sSub>
          <m:sSubPr/>
          <m:e>
            <m:r>
              <m:rPr>
                <m:sty m:val="p"/>
              </m:rPr>
              <m:t>Pb</m:t>
            </m:r>
          </m:e>
          <m:sub>
            <m:r>
              <m:rPr>
                <m:sty m:val="p"/>
              </m:rPr>
              <m:t>3</m:t>
            </m:r>
          </m:sub>
        </m:sSub>
        <m:sSub>
          <m:sSubPr/>
          <m:e>
            <m:r>
              <m:rPr>
                <m:sty m:val="p"/>
              </m:rPr>
              <m:t>O</m:t>
            </m:r>
          </m:e>
          <m:sub>
            <m:r>
              <m:rPr>
                <m:sty m:val="p"/>
              </m:rPr>
              <m:t>4</m:t>
            </m:r>
            <m:r>
              <m:rPr>
                <m:sty m:val="p"/>
              </m:rPr>
              <m:t>(</m:t>
            </m:r>
            <m:r>
              <m:rPr>
                <m:nor/>
              </m:rPr>
              <m:t xml:space="preserve"> </m:t>
            </m:r>
            <m:r>
              <m:rPr>
                <m:sty m:val="p"/>
              </m:rPr>
              <m:t>s</m:t>
            </m:r>
            <m:r>
              <m:rPr>
                <m:sty m:val="p"/>
              </m:rPr>
              <m:t>)</m:t>
            </m:r>
          </m:sub>
        </m:sSub>
      </m:oMath>
      <w:r>
        <w:rPr/>
        <w:t xml:space="preserve">.</w:t>
      </w:r>
      <w:r>
        <w:rPr/>
        <w:br w:type="textWrapping"/>
      </w:r>
      <w:r>
        <w:rPr>
          <w:rFonts w:eastAsia="Georgia" w:cs="Georgia" w:ascii="Georgia" w:hAnsi="Georgia"/>
        </w:rPr>
        <w:t xml:space="preserve">Q 27. Calculer la constante d'équilibre à 298 K de la réaction conduisant à </w:t>
      </w:r>
      <m:oMath>
        <m:sSub>
          <m:sSubPr/>
          <m:e>
            <m:r>
              <m:rPr>
                <m:sty m:val="p"/>
              </m:rPr>
              <m:t>PbO</m:t>
            </m:r>
          </m:e>
          <m:sub>
            <m:r>
              <m:rPr>
                <m:sty m:val="p"/>
              </m:rPr>
              <m:t>(</m:t>
            </m:r>
            <m:r>
              <m:rPr>
                <m:sty m:val="p"/>
              </m:rPr>
              <m:t>s</m:t>
            </m:r>
            <m:r>
              <m:rPr>
                <m:sty m:val="p"/>
              </m:rPr>
              <m:t>)</m:t>
            </m:r>
          </m:sub>
        </m:sSub>
      </m:oMath>
      <w:r>
        <w:rPr>
          <w:rFonts w:eastAsia="Georgia" w:cs="Georgia" w:ascii="Georgia" w:hAnsi="Georgia"/>
        </w:rPr>
        <w:t xml:space="preserve"> à partir des données thermodynamiques fournies en fin d'énoncé.</w:t>
      </w:r>
      <w:r>
        <w:rPr/>
        <w:br w:type="textWrapping"/>
      </w:r>
      <w:r>
        <w:rPr>
          <w:rFonts w:eastAsia="Georgia" w:cs="Georgia" w:ascii="Georgia" w:hAnsi="Georgia"/>
        </w:rPr>
        <w:t xml:space="preserve">Q 28. Calculer la variance de chacun de ces trois équilibres. Quel serait l'effet d'une diminution de la pression en dioxygène à température constante ?</w:t>
      </w:r>
      <w:r>
        <w:rPr/>
        <w:br w:type="textWrapping"/>
      </w:r>
      <w:r>
        <w:rPr/>
        <w:t xml:space="preserve">La figure 3 donne les domaines d'existence du plomb et de ses oxydes dans un diagramme </w:t>
      </w:r>
      <m:oMath>
        <m:r>
          <m:rPr>
            <m:sty m:val="i"/>
          </m:rPr>
          <m:t>R</m:t>
        </m:r>
        <m:r>
          <m:rPr>
            <m:sty m:val="i"/>
          </m:rPr>
          <m:t>T</m:t>
        </m:r>
        <m:r>
          <m:rPr>
            <m:sty m:val="p"/>
          </m:rPr>
          <m:t>ln</m:t>
        </m:r>
        <m:r>
          <m:rPr>
            <m:sty m:val="p"/>
          </m:rPr>
          <m:t>⁡</m:t>
        </m:r>
        <m:f>
          <m:fPr>
            <m:ctrlPr>
              <w:rPr>
                <w:rFonts w:ascii="Cambria Math" w:hAnsi="Cambria Math"/>
              </w:rPr>
            </m:ctrlPr>
          </m:fPr>
          <m:num>
            <m:sSub>
              <m:sSubPr/>
              <m:e>
                <m:r>
                  <m:rPr>
                    <m:sty m:val="i"/>
                  </m:rPr>
                  <m:t>P</m:t>
                </m:r>
              </m:e>
              <m:sub>
                <m:sSub>
                  <m:sSubPr/>
                  <m:e>
                    <m:r>
                      <m:rPr>
                        <m:sty m:val="p"/>
                      </m:rPr>
                      <m:t>O</m:t>
                    </m:r>
                  </m:e>
                  <m:sub>
                    <m:r>
                      <m:rPr>
                        <m:sty m:val="p"/>
                      </m:rPr>
                      <m:t>2</m:t>
                    </m:r>
                  </m:sub>
                </m:sSub>
              </m:sub>
            </m:sSub>
          </m:num>
          <m:den>
            <m:sSup>
              <m:sSupPr/>
              <m:e>
                <m:r>
                  <m:rPr>
                    <m:sty m:val="i"/>
                  </m:rPr>
                  <m:t>P</m:t>
                </m:r>
              </m:e>
              <m:sup>
                <m:r>
                  <m:rPr>
                    <m:sty m:val="p"/>
                  </m:rPr>
                  <m:t>∘</m:t>
                </m:r>
              </m:sup>
            </m:sSup>
          </m:den>
        </m:f>
        <m:r>
          <m:rPr>
            <m:sty m:val="p"/>
          </m:rPr>
          <m:t>=</m:t>
        </m:r>
        <m:r>
          <m:rPr>
            <m:sty m:val="i"/>
          </m:rPr>
          <m:t>f</m:t>
        </m:r>
        <m:r>
          <m:rPr>
            <m:sty m:val="p"/>
          </m:rPr>
          <m:t>(</m:t>
        </m:r>
        <m:r>
          <m:rPr>
            <m:sty m:val="i"/>
          </m:rPr>
          <m:t>T</m:t>
        </m:r>
        <m:r>
          <m:rPr>
            <m:sty m:val="p"/>
          </m:rPr>
          <m:t>)</m:t>
        </m:r>
      </m:oMath>
      <w:r>
        <w:rPr/>
        <w:t xml:space="preserve">.</w:t>
      </w:r>
    </w:p>
    <w:p>
      <w:pPr>
        <w:spacing w:lineRule="auto"/>
        <w:jc w:val="center"/>
      </w:pPr>
      <w:r>
        <w:rPr/>
        <w:drawing>
          <wp:inline distB="0" distL="0" distR="0" distT="0">
            <wp:extent cx="5486400" cy="3431294"/>
            <wp:effectExtent b="0" l="0" r="0" t="0"/>
            <wp:docPr id="3" name="image-624a201a8bcf7b0a01fe3c346482e55900d6e516.jpg"/>
            <a:graphic>
              <a:graphicData uri="http://schemas.openxmlformats.org/drawingml/2006/picture">
                <pic:pic>
                  <pic:nvPicPr>
                    <pic:cNvPr id="3" name="image-624a201a8bcf7b0a01fe3c346482e55900d6e516.jpg" descr=""/>
                    <pic:cNvPicPr/>
                  </pic:nvPicPr>
                  <pic:blipFill>
                    <a:blip r:embed="rId7" cstate="print"/>
                    <a:srcRect b="0" l="0" r="0" t="0"/>
                    <a:stretch>
                      <a:fillRect/>
                    </a:stretch>
                  </pic:blipFill>
                  <pic:spPr>
                    <a:xfrm>
                      <a:off x="0" y="0"/>
                      <a:ext cx="5486400" cy="3431294"/>
                    </a:xfrm>
                    <a:prstGeom prst="rect"/>
                  </pic:spPr>
                </pic:pic>
              </a:graphicData>
            </a:graphic>
          </wp:inline>
        </w:drawing>
      </w:r>
    </w:p>
    <w:p>
      <w:pPr>
        <w:spacing w:lineRule="auto"/>
      </w:pPr>
      <w:r>
        <w:rPr/>
        <w:t xml:space="preserve">Figure 3 Domaines d'existence</w:t>
      </w:r>
    </w:p>
    <w:p>
      <w:pPr>
        <w:spacing w:after="220" w:lineRule="auto"/>
      </w:pPr>
      <w:r>
        <w:rPr>
          <w:rFonts w:eastAsia="Georgia" w:cs="Georgia" w:ascii="Georgia" w:hAnsi="Georgia"/>
        </w:rPr>
        <w:t xml:space="preserve">Q 29. Retrouver la valeur de la constante d'équilibre calculée à la question 27.</w:t>
      </w:r>
      <w:r>
        <w:rPr/>
        <w:br w:type="textWrapping"/>
      </w:r>
      <w:r>
        <w:rPr>
          <w:rFonts w:eastAsia="Georgia" w:cs="Georgia" w:ascii="Georgia" w:hAnsi="Georgia"/>
        </w:rPr>
        <w:t xml:space="preserve">Q 30. Quel(s) composé(s) du plomb peu(ven)t être présent(s) dans un nuage de fumée à température </w:t>
      </w:r>
      <m:oMath>
        <m:sSup>
          <m:sSupPr/>
          <m:e>
            <m:r>
              <m:rPr>
                <m:sty m:val="p"/>
              </m:rPr>
              <m:t>500</m:t>
            </m:r>
          </m:e>
          <m:sup>
            <m:r>
              <m:rPr>
                <m:sty m:val="p"/>
              </m:rPr>
              <m:t>∘</m:t>
            </m:r>
          </m:sup>
        </m:sSup>
        <m:r>
          <m:rPr>
            <m:sty m:val="p"/>
          </m:rPr>
          <m:t>C</m:t>
        </m:r>
      </m:oMath>
      <w:r>
        <w:rPr/>
        <w:t xml:space="preserve"> ?</w:t>
      </w:r>
    </w:p>
    <w:p>
      <w:pPr>
        <w:spacing w:line="271" w:before="330" w:lineRule="auto"/>
      </w:pPr>
      <w:r>
        <w:rPr>
          <w:rFonts w:eastAsia="Georgia" w:cs="Georgia" w:ascii="Georgia" w:hAnsi="Georgia"/>
          <w:b/>
          <w:sz w:val="42"/>
        </w:rPr>
        <w:t xml:space="preserve">II.B - Détection du plomb</w:t>
      </w:r>
    </w:p>
    <w:p>
      <w:pPr>
        <w:spacing w:after="220" w:lineRule="auto"/>
      </w:pPr>
      <w:r>
        <w:rPr>
          <w:rFonts w:eastAsia="Georgia" w:cs="Georgia" w:ascii="Georgia" w:hAnsi="Georgia"/>
        </w:rPr>
        <w:t xml:space="preserve">Différents organismes ont effectué des mesures de teneur en plomb dans les zones atteintes par les fumées de l'incendie. Le plomb est détecté par fluorescence </w:t>
      </w:r>
      <m:oMath>
        <m:r>
          <m:rPr>
            <m:sty m:val="i"/>
          </m:rPr>
          <m:t>X</m:t>
        </m:r>
      </m:oMath>
      <w:r>
        <w:rPr>
          <w:rFonts w:eastAsia="Georgia" w:cs="Georgia" w:ascii="Georgia" w:hAnsi="Georgia"/>
        </w:rPr>
        <w:t xml:space="preserve">, méthode non destructrice qui consiste à irradier un échantillon par des rayons </w:t>
      </w:r>
      <m:oMath>
        <m:r>
          <m:rPr>
            <m:sty m:val="i"/>
          </m:rPr>
          <m:t>X</m:t>
        </m:r>
      </m:oMath>
      <w:r>
        <w:rPr>
          <w:rFonts w:eastAsia="Georgia" w:cs="Georgia" w:ascii="Georgia" w:hAnsi="Georgia"/>
        </w:rPr>
        <w:t xml:space="preserve"> énergétiques qui arrachent un électron interne (couche </w:t>
      </w:r>
      <m:oMath>
        <m:r>
          <m:rPr>
            <m:sty m:val="i"/>
          </m:rPr>
          <m:t>K</m:t>
        </m:r>
      </m:oMath>
      <w:r>
        <w:rPr>
          <w:rFonts w:eastAsia="Georgia" w:cs="Georgia" w:ascii="Georgia" w:hAnsi="Georgia"/>
        </w:rPr>
        <w:t xml:space="preserve"> ). Les atomes ainsi excités se désexcitent, les électrons descendent vers des niveaux d'énergie inférieurs en émettant des photons. Les énergies de ces photons sont caractéristiques de chacun des éléments présents dans l'échantillon. C'est ainsi que le spectre obtenu permet de reconnaitre la présence et la quantité de plomb dans un échantillon.</w:t>
      </w:r>
      <w:r>
        <w:rPr/>
        <w:br w:type="textWrapping"/>
      </w:r>
      <w:r>
        <w:rPr>
          <w:rFonts w:eastAsia="Georgia" w:cs="Georgia" w:ascii="Georgia" w:hAnsi="Georgia"/>
        </w:rPr>
        <w:t xml:space="preserve">Le tableau 1 donne les valeurs des énergies pour les niveaux K , L et M du plomb.</w:t>
      </w:r>
      <w:r>
        <w:rPr/>
        <w:br w:type="textWrapping"/>
      </w:r>
      <w:r>
        <w:rPr>
          <w:rFonts w:eastAsia="Georgia" w:cs="Georgia" w:ascii="Georgia" w:hAnsi="Georgia"/>
        </w:rPr>
        <w:t xml:space="preserve">Les rayons utilisés sont produits à partir de cadmium </w:t>
      </w:r>
      <m:oMath>
        <m:sSubSup>
          <m:sSubSupPr/>
          <m:e>
            <m:r>
              <m:t xml:space="preserve"> </m:t>
            </m:r>
          </m:e>
          <m:sub>
            <m:r>
              <m:rPr>
                <m:sty m:val="p"/>
              </m:rPr>
              <m:t>48</m:t>
            </m:r>
          </m:sub>
          <m:sup>
            <m:r>
              <m:rPr>
                <m:sty m:val="p"/>
              </m:rPr>
              <m:t>109</m:t>
            </m:r>
          </m:sup>
        </m:sSubSup>
        <m:r>
          <m:rPr>
            <m:sty m:val="p"/>
          </m:rPr>
          <m:t>Cd</m:t>
        </m:r>
      </m:oMath>
      <w:r>
        <w:rPr>
          <w:rFonts w:eastAsia="Georgia" w:cs="Georgia" w:ascii="Georgia" w:hAnsi="Georgia"/>
        </w:rPr>
        <w:t xml:space="preserve"> radioactif qui, en se désintégrant émet un photon </w:t>
      </w:r>
      <m:oMath>
        <m:r>
          <m:rPr>
            <m:sty m:val="i"/>
          </m:rPr>
          <m:t>γ</m:t>
        </m:r>
      </m:oMath>
      <w:r>
        <w:rPr>
          <w:rFonts w:eastAsia="Georgia" w:cs="Georgia" w:ascii="Georgia" w:hAnsi="Georgia"/>
        </w:rPr>
        <w:t xml:space="preserve"> d'énergie 88 keV et des rayons X ; sa durée de vie vaut 5,3 ans. Les notices des constructeurs précisent que les</w:t>
      </w:r>
    </w:p>
    <w:p>
      <w:pPr>
        <w:spacing w:lineRule="auto"/>
        <w:jc w:val="center"/>
      </w:pPr>
      <w:r>
        <w:rPr/>
        <w:drawing>
          <wp:inline distB="0" distL="0" distR="0" distT="0">
            <wp:extent cx="5486400" cy="3806190"/>
            <wp:effectExtent b="0" l="0" r="0" t="0"/>
            <wp:docPr id="4" name="image-aa9412f218ab1b1f594b1e396cda98043876370c.jpg"/>
            <a:graphic>
              <a:graphicData uri="http://schemas.openxmlformats.org/drawingml/2006/picture">
                <pic:pic>
                  <pic:nvPicPr>
                    <pic:cNvPr id="4" name="image-aa9412f218ab1b1f594b1e396cda98043876370c.jpg" descr=""/>
                    <pic:cNvPicPr/>
                  </pic:nvPicPr>
                  <pic:blipFill>
                    <a:blip r:embed="rId8" cstate="print"/>
                    <a:srcRect b="0" l="0" r="0" t="0"/>
                    <a:stretch>
                      <a:fillRect/>
                    </a:stretch>
                  </pic:blipFill>
                  <pic:spPr>
                    <a:xfrm>
                      <a:off x="0" y="0"/>
                      <a:ext cx="5486400" cy="3806190"/>
                    </a:xfrm>
                    <a:prstGeom prst="rect"/>
                  </pic:spPr>
                </pic:pic>
              </a:graphicData>
            </a:graphic>
          </wp:inline>
        </w:drawing>
      </w:r>
    </w:p>
    <w:p>
      <w:pPr>
        <w:spacing w:lineRule="auto"/>
      </w:pPr>
      <w:r>
        <w:rPr>
          <w:rFonts w:eastAsia="Georgia" w:cs="Georgia" w:ascii="Georgia" w:hAnsi="Georgia"/>
        </w:rPr>
        <w:t xml:space="preserve">Figure 4 Diagramme énergétique simplifié du plomb Les couches K, L et M correspondent respectivement à des états de nombre quantique principal </w:t>
      </w:r>
      <m:oMath>
        <m:r>
          <m:rPr>
            <m:sty m:val="i"/>
          </m:rPr>
          <m:t>n</m:t>
        </m:r>
        <m:r>
          <m:rPr>
            <m:sty m:val="p"/>
          </m:rPr>
          <m:t>=</m:t>
        </m:r>
        <m:r>
          <m:rPr>
            <m:sty m:val="p"/>
          </m:rPr>
          <m:t>1</m:t>
        </m:r>
        <m:r>
          <m:rPr>
            <m:sty m:val="p"/>
          </m:rPr>
          <m:t>,</m:t>
        </m:r>
        <m:r>
          <m:rPr>
            <m:sty m:val="p"/>
          </m:rPr>
          <m:t>2</m:t>
        </m:r>
        <m:r>
          <m:rPr>
            <m:sty m:val="p"/>
          </m:rPr>
          <m:t>,</m:t>
        </m:r>
        <m:r>
          <m:rPr>
            <m:sty m:val="p"/>
          </m:rPr>
          <m:t>3</m:t>
        </m:r>
      </m:oMath>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Niveau</w:t>
            </w:r>
          </w:p>
        </w:tc>
        <w:tc>
          <w:tcPr>
            <w:tcBorders>
              <w:top w:val="single" w:sz="8" w:space="0" w:color="000000"/>
              <w:bottom w:val="single" w:sz="8" w:space="0" w:color="000000"/>
              <w:right w:val="single" w:sz="8" w:space="0" w:color="000000"/>
            </w:tcBorders>
            <w:vAlign w:val="center"/>
          </w:tcPr>
          <w:p>
            <w:pPr>
              <w:spacing w:lineRule="auto"/>
              <w:jc w:val="center"/>
            </w:pPr>
            <w:r>
              <w:rPr/>
              <w:t xml:space="preserve">K</w:t>
            </w:r>
          </w:p>
        </w:tc>
        <w:tc>
          <w:tcPr>
            <w:tcBorders>
              <w:top w:val="single" w:sz="8" w:space="0" w:color="000000"/>
              <w:bottom w:val="single" w:sz="8" w:space="0" w:color="000000"/>
              <w:right w:val="single" w:sz="8" w:space="0" w:color="000000"/>
            </w:tcBorders>
            <w:vAlign w:val="center"/>
          </w:tcPr>
          <w:p>
            <w:pPr>
              <w:spacing w:lineRule="auto"/>
              <w:jc w:val="center"/>
            </w:pPr>
            <w:r>
              <w:rPr/>
              <w:t xml:space="preserve">L</w:t>
            </w:r>
          </w:p>
        </w:tc>
        <w:tc>
          <w:tcPr>
            <w:tcBorders>
              <w:top w:val="single" w:sz="8" w:space="0" w:color="000000"/>
              <w:bottom w:val="single" w:sz="8" w:space="0" w:color="000000"/>
              <w:right w:val="single" w:sz="8" w:space="0" w:color="000000"/>
            </w:tcBorders>
            <w:vAlign w:val="center"/>
          </w:tcPr>
          <w:p>
            <w:pPr>
              <w:spacing w:lineRule="auto"/>
              <w:jc w:val="center"/>
            </w:pPr>
            <w:r>
              <w:rPr/>
              <w:t xml:space="preserve">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Énergie (keV)</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88</m:t>
                </m:r>
                <m:r>
                  <m:rPr>
                    <m:sty m:val="p"/>
                  </m:rPr>
                  <m:t>,</m:t>
                </m:r>
                <m:r>
                  <m:rPr>
                    <m:sty m:val="p"/>
                  </m:rPr>
                  <m:t>0</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14</m:t>
                </m:r>
                <m:r>
                  <m:rPr>
                    <m:sty m:val="p"/>
                  </m:rPr>
                  <m:t>,</m:t>
                </m:r>
                <m:r>
                  <m:rPr>
                    <m:sty m:val="p"/>
                  </m:rPr>
                  <m:t>3</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3</m:t>
                </m:r>
                <m:r>
                  <m:rPr>
                    <m:sty m:val="p"/>
                  </m:rPr>
                  <m:t>,</m:t>
                </m:r>
                <m:r>
                  <m:rPr>
                    <m:sty m:val="p"/>
                  </m:rPr>
                  <m:t>0</m:t>
                </m:r>
              </m:oMath>
            </m:oMathPara>
          </w:p>
        </w:tc>
      </w:tr>
    </w:tbl>
    <w:p>
      <w:pPr>
        <w:spacing w:lineRule="auto"/>
      </w:pPr>
    </w:p>
    <w:p>
      <w:pPr>
        <w:spacing w:lineRule="auto"/>
      </w:pPr>
      <w:r>
        <w:rPr>
          <w:rFonts w:eastAsia="Georgia" w:cs="Georgia" w:ascii="Georgia" w:hAnsi="Georgia"/>
        </w:rPr>
        <w:t xml:space="preserve">Tableau 1 Énergies pour les niveaux K, L et M de l'atome de plomb</w:t>
      </w:r>
    </w:p>
    <w:p>
      <w:pPr>
        <w:spacing w:after="220" w:lineRule="auto"/>
      </w:pPr>
      <w:r>
        <w:rPr>
          <w:rFonts w:eastAsia="Georgia" w:cs="Georgia" w:ascii="Georgia" w:hAnsi="Georgia"/>
        </w:rPr>
        <w:t xml:space="preserve">appareils à source de cadmium détectent les raies K et L du plomb, alors que les appareils à tube à rayons X (énergie 15 keV ) détectent les raies L du plomb mais pas les raies K .</w:t>
      </w:r>
      <w:r>
        <w:rPr/>
        <w:br w:type="textWrapping"/>
      </w:r>
      <w:r>
        <w:rPr>
          <w:rFonts w:eastAsia="Georgia" w:cs="Georgia" w:ascii="Georgia" w:hAnsi="Georgia"/>
        </w:rPr>
        <w:t xml:space="preserve">Q 31. Justifier cette dernière assertion.</w:t>
      </w:r>
      <w:r>
        <w:rPr/>
        <w:br w:type="textWrapping"/>
      </w:r>
      <w:r>
        <w:rPr>
          <w:rFonts w:eastAsia="Georgia" w:cs="Georgia" w:ascii="Georgia" w:hAnsi="Georgia"/>
        </w:rPr>
        <w:t xml:space="preserve">Q 32. Quelles sont les énergies libérées lors des passages des couches M , puis L , au niveau fondamental ? Les photons correspondants sont-ils visibles?</w:t>
      </w:r>
      <w:r>
        <w:rPr/>
        <w:br w:type="textWrapping"/>
      </w:r>
      <w:r>
        <w:rPr>
          <w:rFonts w:eastAsia="Georgia" w:cs="Georgia" w:ascii="Georgia" w:hAnsi="Georgia"/>
        </w:rPr>
        <w:t xml:space="preserve">Q 33. La figure 5 donne deux spectres obtenus pour un échantillon contenant du plomb. L'abscisse est l'énergie du rayonnement émis exprimée en keV. Quelles raies ces spectres permettent-ils d'identifier ? Le modèle simple proposé permet-il de rendre compte des deux raies à </w:t>
      </w:r>
      <m:oMath>
        <m:r>
          <m:rPr>
            <m:sty m:val="p"/>
          </m:rPr>
          <m:t>10</m:t>
        </m:r>
        <m:r>
          <m:rPr>
            <m:sty m:val="p"/>
          </m:rPr>
          <m:t>,</m:t>
        </m:r>
        <m:r>
          <m:rPr>
            <m:sty m:val="p"/>
          </m:rPr>
          <m:t>5</m:t>
        </m:r>
        <m:r>
          <m:rPr>
            <m:sty m:val="p"/>
          </m:rPr>
          <m:t>keV</m:t>
        </m:r>
      </m:oMath>
      <w:r>
        <w:rPr/>
        <w:t xml:space="preserve"> et </w:t>
      </w:r>
      <m:oMath>
        <m:r>
          <m:rPr>
            <m:sty m:val="p"/>
          </m:rPr>
          <m:t>12</m:t>
        </m:r>
        <m:r>
          <m:rPr>
            <m:sty m:val="p"/>
          </m:rPr>
          <m:t>,</m:t>
        </m:r>
        <m:r>
          <m:rPr>
            <m:sty m:val="p"/>
          </m:rPr>
          <m:t>6</m:t>
        </m:r>
        <m:r>
          <m:rPr>
            <m:sty m:val="p"/>
          </m:rPr>
          <m:t>keV</m:t>
        </m:r>
      </m:oMath>
      <w:r>
        <w:rPr/>
        <w:t xml:space="preserve"> ? Proposer une explication possible pour l'existence de ces deux raies.</w:t>
      </w:r>
    </w:p>
    <w:p>
      <w:pPr>
        <w:spacing w:lineRule="auto"/>
        <w:jc w:val="center"/>
      </w:pPr>
      <w:r>
        <w:rPr/>
        <w:drawing>
          <wp:inline distB="0" distL="0" distR="0" distT="0">
            <wp:extent cx="5486400" cy="1528615"/>
            <wp:effectExtent b="0" l="0" r="0" t="0"/>
            <wp:docPr id="5" name="image-e7f8cb43606bfb44a969209b305e5046c6134aee.jpg"/>
            <a:graphic>
              <a:graphicData uri="http://schemas.openxmlformats.org/drawingml/2006/picture">
                <pic:pic>
                  <pic:nvPicPr>
                    <pic:cNvPr id="5" name="image-e7f8cb43606bfb44a969209b305e5046c6134aee.jpg" descr=""/>
                    <pic:cNvPicPr/>
                  </pic:nvPicPr>
                  <pic:blipFill>
                    <a:blip r:embed="rId9" cstate="print"/>
                    <a:srcRect b="0" l="0" r="0" t="0"/>
                    <a:stretch>
                      <a:fillRect/>
                    </a:stretch>
                  </pic:blipFill>
                  <pic:spPr>
                    <a:xfrm>
                      <a:off x="0" y="0"/>
                      <a:ext cx="5486400" cy="1528615"/>
                    </a:xfrm>
                    <a:prstGeom prst="rect"/>
                  </pic:spPr>
                </pic:pic>
              </a:graphicData>
            </a:graphic>
          </wp:inline>
        </w:drawing>
      </w:r>
    </w:p>
    <w:p>
      <w:pPr>
        <w:spacing w:lineRule="auto"/>
      </w:pPr>
      <w:r>
        <w:rPr>
          <w:rFonts w:eastAsia="Georgia" w:cs="Georgia" w:ascii="Georgia" w:hAnsi="Georgia"/>
        </w:rPr>
        <w:t xml:space="preserve">Figure 5 Spectres rayons X obtenus pour un échantillon de plomb</w:t>
      </w:r>
    </w:p>
    <w:p>
      <w:pPr>
        <w:spacing w:line="271" w:before="330" w:lineRule="auto"/>
      </w:pPr>
      <w:r>
        <w:rPr>
          <w:b/>
          <w:sz w:val="42"/>
        </w:rPr>
        <w:t xml:space="preserve">III L'eau</w:t>
      </w:r>
    </w:p>
    <w:p>
      <w:pPr>
        <w:spacing w:line="271" w:before="330" w:lineRule="auto"/>
      </w:pPr>
      <w:r>
        <w:rPr>
          <w:b/>
          <w:sz w:val="42"/>
        </w:rPr>
        <w:t xml:space="preserve">III.A - Extinction du feu</w:t>
      </w:r>
    </w:p>
    <w:p>
      <w:pPr>
        <w:spacing w:after="220" w:lineRule="auto"/>
      </w:pPr>
      <w:r>
        <w:rPr>
          <w:rFonts w:eastAsia="Georgia" w:cs="Georgia" w:ascii="Georgia" w:hAnsi="Georgia"/>
        </w:rPr>
        <w:t xml:space="preserve">Comme évoqué en première partie, éteindre un feu nécessite la suppression d'un élément du triangle du feu : le combustible, le comburant ou l'apport d'énergie nécessaire à l'amorçage de la combustion. L'eau, par ses deux effets, permet d'agir sur deux des éléments du triangle du feu:</w:t>
      </w:r>
    </w:p>
    <w:p>
      <w:pPr>
        <w:numPr>
          <w:ilvl w:val="0"/>
          <w:numId w:val="2"/>
        </w:numPr>
        <w:spacing w:lineRule="auto"/>
      </w:pPr>
      <w:r>
        <w:rPr>
          <w:rFonts w:eastAsia="Georgia" w:cs="Georgia" w:ascii="Georgia" w:hAnsi="Georgia"/>
        </w:rPr>
        <w:t xml:space="preserve">l'eau présente une grande capacité thermique et une enthalpie de vaporisation élevée, elle utilise de l'énergie pour se vaporiser. Elle peut donc «refroidir» le feu;</w:t>
      </w:r>
    </w:p>
    <w:p>
      <w:pPr>
        <w:numPr>
          <w:ilvl w:val="0"/>
          <w:numId w:val="2"/>
        </w:numPr>
        <w:spacing w:lineRule="auto"/>
      </w:pPr>
      <w:r>
        <w:rPr>
          <w:rFonts w:eastAsia="Georgia" w:cs="Georgia" w:ascii="Georgia" w:hAnsi="Georgia"/>
        </w:rPr>
        <w:t xml:space="preserve">l'eau vaporisée remplace partiellement l'air, et donc le dioxygène, à proximité des gaz de pyrolyse et des flammes.</w:t>
      </w:r>
      <w:r>
        <w:rPr/>
        <w:br w:type="textWrapping"/>
      </w:r>
      <w:r>
        <w:rPr>
          <w:rFonts w:eastAsia="Georgia" w:cs="Georgia" w:ascii="Georgia" w:hAnsi="Georgia"/>
        </w:rPr>
        <w:t xml:space="preserve">Q 34. Vérifier dans un premier temps que la molécule d'eau ne se décompose pas en </w:t>
      </w:r>
      <m:oMath>
        <m:sSub>
          <m:sSubPr/>
          <m:e>
            <m:r>
              <m:rPr>
                <m:sty m:val="p"/>
              </m:rPr>
              <m:t>H</m:t>
            </m:r>
          </m:e>
          <m:sub>
            <m:r>
              <m:rPr>
                <m:sty m:val="p"/>
              </m:rPr>
              <m:t>2</m:t>
            </m:r>
          </m:sub>
        </m:sSub>
      </m:oMath>
      <w:r>
        <w:rPr/>
        <w:t xml:space="preserve"> et </w:t>
      </w:r>
      <m:oMath>
        <m:sSub>
          <m:sSubPr/>
          <m:e>
            <m:r>
              <m:rPr>
                <m:sty m:val="p"/>
              </m:rPr>
              <m:t>O</m:t>
            </m:r>
          </m:e>
          <m:sub>
            <m:r>
              <m:rPr>
                <m:sty m:val="p"/>
              </m:rPr>
              <m:t>2</m:t>
            </m:r>
          </m:sub>
        </m:sSub>
      </m:oMath>
      <w:r>
        <w:rPr>
          <w:rFonts w:eastAsia="Georgia" w:cs="Georgia" w:ascii="Georgia" w:hAnsi="Georgia"/>
        </w:rPr>
        <w:t xml:space="preserve"> à haute température.</w:t>
      </w:r>
      <w:r>
        <w:rPr/>
        <w:br w:type="textWrapping"/>
      </w:r>
      <w:r>
        <w:rPr>
          <w:rFonts w:eastAsia="Georgia" w:cs="Georgia" w:ascii="Georgia" w:hAnsi="Georgia"/>
        </w:rPr>
        <w:t xml:space="preserve">Q 35. Quelle est l'énergie nécessaire pour vaporiser à pression constante 1 kg d'eau initialement à </w:t>
      </w:r>
      <m:oMath>
        <m:sSup>
          <m:sSupPr/>
          <m:e>
            <m:r>
              <m:rPr>
                <m:sty m:val="p"/>
              </m:rPr>
              <m:t>15</m:t>
            </m:r>
          </m:e>
          <m:sup>
            <m:r>
              <m:rPr>
                <m:sty m:val="p"/>
              </m:rPr>
              <m:t>∘</m:t>
            </m:r>
          </m:sup>
        </m:sSup>
        <m:r>
          <m:rPr>
            <m:sty m:val="p"/>
          </m:rPr>
          <m:t>C</m:t>
        </m:r>
      </m:oMath>
      <w:r>
        <w:rPr>
          <w:rFonts w:eastAsia="Georgia" w:cs="Georgia" w:ascii="Georgia" w:hAnsi="Georgia"/>
        </w:rPr>
        <w:t xml:space="preserve"> et de température finale </w:t>
      </w:r>
      <m:oMath>
        <m:sSup>
          <m:sSupPr/>
          <m:e>
            <m:r>
              <m:rPr>
                <m:sty m:val="p"/>
              </m:rPr>
              <m:t>800</m:t>
            </m:r>
          </m:e>
          <m:sup>
            <m:r>
              <m:rPr>
                <m:sty m:val="p"/>
              </m:rPr>
              <m:t>∘</m:t>
            </m:r>
          </m:sup>
        </m:sSup>
        <m:r>
          <m:rPr>
            <m:sty m:val="p"/>
          </m:rPr>
          <m:t>C</m:t>
        </m:r>
      </m:oMath>
      <w:r>
        <w:rPr/>
        <w:t xml:space="preserve"> ?</w:t>
      </w:r>
    </w:p>
    <w:p>
      <w:pPr>
        <w:spacing w:after="220" w:lineRule="auto"/>
      </w:pPr>
      <w:r>
        <w:rPr>
          <w:rFonts w:eastAsia="Georgia" w:cs="Georgia" w:ascii="Georgia" w:hAnsi="Georgia"/>
        </w:rPr>
        <w:t xml:space="preserve">Q 36. Les pompiers appellent puissance d'un feu l'énergie thermique qu'il dégage chaque seconde. On constate que, pendant l'aspersion d'eau, seulement un tiers de l'eau se vaporise. Estimer dans ce cas la puissance de feu que peut traiter une lance de débit </w:t>
      </w:r>
      <m:oMath>
        <m:r>
          <m:rPr>
            <m:sty m:val="p"/>
          </m:rPr>
          <m:t>500</m:t>
        </m:r>
        <m:r>
          <m:rPr>
            <m:nor/>
          </m:rPr>
          <m:t xml:space="preserve"> </m:t>
        </m:r>
        <m:r>
          <m:rPr>
            <m:sty m:val="p"/>
          </m:rPr>
          <m:t>L</m:t>
        </m:r>
        <m:r>
          <m:rPr>
            <m:sty m:val="p"/>
          </m:rPr>
          <m:t>⋅</m:t>
        </m:r>
        <m:sSup>
          <m:sSupPr/>
          <m:e>
            <m:r>
              <m:rPr>
                <m:nor/>
              </m:rPr>
              <m:t xml:space="preserve"> </m:t>
            </m:r>
            <m:r>
              <m:rPr>
                <m:sty m:val="p"/>
              </m:rPr>
              <m:t>min</m:t>
            </m:r>
          </m:e>
          <m:sup>
            <m:r>
              <m:rPr>
                <m:sty m:val="p"/>
              </m:rPr>
              <m:t>−</m:t>
            </m:r>
            <m:r>
              <m:rPr>
                <m:sty m:val="p"/>
              </m:rPr>
              <m:t>1</m:t>
            </m:r>
          </m:sup>
        </m:sSup>
      </m:oMath>
      <w:r>
        <w:rPr>
          <w:rFonts w:eastAsia="Georgia" w:cs="Georgia" w:ascii="Georgia" w:hAnsi="Georgia"/>
        </w:rPr>
        <w:t xml:space="preserve">. Dans le cas de l'incendie de Notre-Dame, les pompiers ont estimé que la puissance du feu a atteint 1500 MW . Commenter.</w:t>
      </w:r>
      <w:r>
        <w:rPr/>
        <w:br w:type="textWrapping"/>
      </w:r>
      <w:r>
        <w:rPr>
          <w:rFonts w:eastAsia="Georgia" w:cs="Georgia" w:ascii="Georgia" w:hAnsi="Georgia"/>
        </w:rPr>
        <w:t xml:space="preserve">Q 37. Estimer la quantité d'eau réellement évaporée par minute, toujours pour un débit de </w:t>
      </w:r>
      <m:oMath>
        <m:r>
          <m:rPr>
            <m:sty m:val="p"/>
          </m:rPr>
          <m:t>500</m:t>
        </m:r>
        <m:r>
          <m:rPr>
            <m:nor/>
          </m:rPr>
          <m:t xml:space="preserve"> </m:t>
        </m:r>
        <m:r>
          <m:rPr>
            <m:sty m:val="p"/>
          </m:rPr>
          <m:t>L</m:t>
        </m:r>
        <m:r>
          <m:rPr>
            <m:sty m:val="p"/>
          </m:rPr>
          <m:t>⋅</m:t>
        </m:r>
        <m:sSup>
          <m:sSupPr/>
          <m:e>
            <m:r>
              <m:rPr>
                <m:nor/>
              </m:rPr>
              <m:t xml:space="preserve"> </m:t>
            </m:r>
            <m:r>
              <m:rPr>
                <m:sty m:val="p"/>
              </m:rPr>
              <m:t>min</m:t>
            </m:r>
          </m:e>
          <m:sup>
            <m:r>
              <m:rPr>
                <m:sty m:val="p"/>
              </m:rPr>
              <m:t>−</m:t>
            </m:r>
            <m:r>
              <m:rPr>
                <m:sty m:val="p"/>
              </m:rPr>
              <m:t>1</m:t>
            </m:r>
          </m:sup>
        </m:sSup>
      </m:oMath>
      <w:r>
        <w:rPr>
          <w:rFonts w:eastAsia="Georgia" w:cs="Georgia" w:ascii="Georgia" w:hAnsi="Georgia"/>
        </w:rPr>
        <w:t xml:space="preserve">. En déduire le volume de vapeur d'eau produit par minute.</w:t>
      </w:r>
    </w:p>
    <w:p>
      <w:pPr>
        <w:spacing w:line="271" w:before="330" w:lineRule="auto"/>
      </w:pPr>
      <w:r>
        <w:rPr>
          <w:rFonts w:eastAsia="Georgia" w:cs="Georgia" w:ascii="Georgia" w:hAnsi="Georgia"/>
          <w:b/>
          <w:sz w:val="42"/>
        </w:rPr>
        <w:t xml:space="preserve">III.B - Lances à incendie</w:t>
      </w:r>
    </w:p>
    <w:p>
      <w:pPr>
        <w:spacing w:after="220" w:lineRule="auto"/>
      </w:pPr>
      <w:r>
        <w:rPr>
          <w:rFonts w:eastAsia="Georgia" w:cs="Georgia" w:ascii="Georgia" w:hAnsi="Georgia"/>
        </w:rPr>
        <w:t xml:space="preserve">Pour éteindre les feux, les pompiers utilisent des lances à incendie, reliées à de longs tuyaux acheminant l'eau depuis des fourgons ou des moto-pompes. Ces lances permettent de régler le débit et la forme du jet. Lors de l'incendie de Notre-Dame de Paris, le débit </w:t>
      </w:r>
      <m:oMath>
        <m:r>
          <m:rPr>
            <m:sty m:val="i"/>
          </m:rPr>
          <m:t>Q</m:t>
        </m:r>
      </m:oMath>
      <w:r>
        <w:rPr>
          <w:rFonts w:eastAsia="Georgia" w:cs="Georgia" w:ascii="Georgia" w:hAnsi="Georgia"/>
        </w:rPr>
        <w:t xml:space="preserve"> des lances utilisées était de l'ordre de </w:t>
      </w:r>
      <m:oMath>
        <m:r>
          <m:rPr>
            <m:sty m:val="p"/>
          </m:rPr>
          <m:t>500</m:t>
        </m:r>
        <m:r>
          <m:rPr>
            <m:nor/>
          </m:rPr>
          <m:t xml:space="preserve"> </m:t>
        </m:r>
        <m:r>
          <m:rPr>
            <m:sty m:val="p"/>
          </m:rPr>
          <m:t>L</m:t>
        </m:r>
        <m:r>
          <m:rPr>
            <m:sty m:val="p"/>
          </m:rPr>
          <m:t>⋅</m:t>
        </m:r>
        <m:sSup>
          <m:sSupPr/>
          <m:e>
            <m:r>
              <m:rPr>
                <m:nor/>
              </m:rPr>
              <m:t xml:space="preserve"> </m:t>
            </m:r>
            <m:r>
              <m:rPr>
                <m:sty m:val="p"/>
              </m:rPr>
              <m:t>min</m:t>
            </m:r>
          </m:e>
          <m:sup>
            <m:r>
              <m:rPr>
                <m:sty m:val="p"/>
              </m:rPr>
              <m:t>−</m:t>
            </m:r>
            <m:r>
              <m:rPr>
                <m:sty m:val="p"/>
              </m:rPr>
              <m:t>1</m:t>
            </m:r>
          </m:sup>
        </m:sSup>
      </m:oMath>
      <w:r>
        <w:rPr>
          <w:rFonts w:eastAsia="Georgia" w:cs="Georgia" w:ascii="Georgia" w:hAnsi="Georgia"/>
        </w:rPr>
        <w:t xml:space="preserve"> et le diamètre </w:t>
      </w:r>
      <m:oMath>
        <m:r>
          <m:rPr>
            <m:sty m:val="i"/>
          </m:rPr>
          <m:t>d</m:t>
        </m:r>
      </m:oMath>
      <w:r>
        <w:rPr/>
        <w:t xml:space="preserve"> de 70 mm .</w:t>
      </w:r>
      <w:r>
        <w:rPr/>
        <w:br w:type="textWrapping"/>
      </w:r>
      <w:r>
        <w:rPr>
          <w:rFonts w:eastAsia="Georgia" w:cs="Georgia" w:ascii="Georgia" w:hAnsi="Georgia"/>
        </w:rPr>
        <w:t xml:space="preserve">Q 38. Estimer la valeur de la vitesse d'éjection </w:t>
      </w:r>
      <m:oMath>
        <m:sSub>
          <m:sSubPr/>
          <m:e>
            <m:r>
              <m:rPr>
                <m:sty m:val="i"/>
              </m:rPr>
              <m:t>V</m:t>
            </m:r>
          </m:e>
          <m:sub>
            <m:r>
              <m:rPr>
                <m:sty m:val="i"/>
              </m:rPr>
              <m:t>e</m:t>
            </m:r>
          </m:sub>
        </m:sSub>
      </m:oMath>
      <w:r>
        <w:rPr>
          <w:rFonts w:eastAsia="Georgia" w:cs="Georgia" w:ascii="Georgia" w:hAnsi="Georgia"/>
        </w:rPr>
        <w:t xml:space="preserve"> du jet arrosant la charpente du chevet de la cathédrale situé le plus en avant sur la photographie présentée figure 6 . On admettra que cette image ne présente pas de déformation de perspective.</w:t>
      </w:r>
    </w:p>
    <w:p>
      <w:pPr>
        <w:spacing w:lineRule="auto"/>
        <w:jc w:val="center"/>
      </w:pPr>
      <w:r>
        <w:rPr/>
        <w:drawing>
          <wp:inline distB="0" distL="0" distR="0" distT="0">
            <wp:extent cx="5486400" cy="3672487"/>
            <wp:effectExtent b="0" l="0" r="0" t="0"/>
            <wp:docPr id="6" name="image-1677141972ee34dd52070a8567a7381e0123911d.jpg"/>
            <a:graphic>
              <a:graphicData uri="http://schemas.openxmlformats.org/drawingml/2006/picture">
                <pic:pic>
                  <pic:nvPicPr>
                    <pic:cNvPr id="6" name="image-1677141972ee34dd52070a8567a7381e0123911d.jpg" descr=""/>
                    <pic:cNvPicPr/>
                  </pic:nvPicPr>
                  <pic:blipFill>
                    <a:blip r:embed="rId10" cstate="print"/>
                    <a:srcRect b="0" l="0" r="0" t="0"/>
                    <a:stretch>
                      <a:fillRect/>
                    </a:stretch>
                  </pic:blipFill>
                  <pic:spPr>
                    <a:xfrm>
                      <a:off x="0" y="0"/>
                      <a:ext cx="5486400" cy="3672487"/>
                    </a:xfrm>
                    <a:prstGeom prst="rect"/>
                  </pic:spPr>
                </pic:pic>
              </a:graphicData>
            </a:graphic>
          </wp:inline>
        </w:drawing>
      </w:r>
    </w:p>
    <w:p>
      <w:pPr>
        <w:spacing w:lineRule="auto"/>
      </w:pPr>
      <w:r>
        <w:rPr>
          <w:rFonts w:eastAsia="Georgia" w:cs="Georgia" w:ascii="Georgia" w:hAnsi="Georgia"/>
        </w:rPr>
        <w:t xml:space="preserve">Figure 6 Photographie du chevet (côté Est) de Notre-Dame de Paris le soir de l'incendie</w:t>
      </w:r>
    </w:p>
    <w:p>
      <w:pPr>
        <w:spacing w:after="220" w:lineRule="auto"/>
      </w:pPr>
      <w:r>
        <w:rPr/>
        <w:t xml:space="preserve">Q 39. Comparer la valeur de </w:t>
      </w:r>
      <m:oMath>
        <m:sSub>
          <m:sSubPr/>
          <m:e>
            <m:r>
              <m:rPr>
                <m:sty m:val="i"/>
              </m:rPr>
              <m:t>V</m:t>
            </m:r>
          </m:e>
          <m:sub>
            <m:r>
              <m:rPr>
                <m:sty m:val="i"/>
              </m:rPr>
              <m:t>e</m:t>
            </m:r>
          </m:sub>
        </m:sSub>
      </m:oMath>
      <w:r>
        <w:rPr>
          <w:rFonts w:eastAsia="Georgia" w:cs="Georgia" w:ascii="Georgia" w:hAnsi="Georgia"/>
        </w:rPr>
        <w:t xml:space="preserve"> à la vitesse de l'eau dans le tuyau et expliquer la différence observée.</w:t>
      </w:r>
      <w:r>
        <w:rPr/>
        <w:br w:type="textWrapping"/>
      </w:r>
      <w:r>
        <w:rPr>
          <w:rFonts w:eastAsia="Georgia" w:cs="Georgia" w:ascii="Georgia" w:hAnsi="Georgia"/>
        </w:rPr>
        <w:t xml:space="preserve">L'eau utilisée est pompée dans un camion-citerne ou fourgon-pompe stationné sur la route (figure 7). On appelle </w:t>
      </w:r>
      <m:oMath>
        <m:r>
          <m:rPr>
            <m:sty m:val="p"/>
          </m:rPr>
          <m:t>Δ</m:t>
        </m:r>
        <m:r>
          <m:rPr>
            <m:sty m:val="i"/>
          </m:rPr>
          <m:t>P</m:t>
        </m:r>
        <m:r>
          <m:rPr>
            <m:sty m:val="p"/>
          </m:rPr>
          <m:t>=</m:t>
        </m:r>
        <m:sSub>
          <m:sSubPr/>
          <m:e>
            <m:r>
              <m:rPr>
                <m:sty m:val="i"/>
              </m:rPr>
              <m:t>P</m:t>
            </m:r>
          </m:e>
          <m:sub>
            <m:r>
              <m:rPr>
                <m:sty m:val="i"/>
              </m:rPr>
              <m:t>p</m:t>
            </m:r>
          </m:sub>
        </m:sSub>
        <m:r>
          <m:rPr>
            <m:sty m:val="p"/>
          </m:rPr>
          <m:t>−</m:t>
        </m:r>
        <m:sSub>
          <m:sSubPr/>
          <m:e>
            <m:r>
              <m:rPr>
                <m:sty m:val="i"/>
              </m:rPr>
              <m:t>P</m:t>
            </m:r>
          </m:e>
          <m:sub>
            <m:r>
              <m:rPr>
                <m:sty m:val="i"/>
              </m:rPr>
              <m:t>l</m:t>
            </m:r>
          </m:sub>
        </m:sSub>
      </m:oMath>
      <w:r>
        <w:rPr>
          <w:rFonts w:eastAsia="Georgia" w:cs="Georgia" w:ascii="Georgia" w:hAnsi="Georgia"/>
        </w:rPr>
        <w:t xml:space="preserve">, la différence de pression entre la sortie de la pompe (pression </w:t>
      </w:r>
      <m:oMath>
        <m:sSub>
          <m:sSubPr/>
          <m:e>
            <m:r>
              <m:rPr>
                <m:sty m:val="i"/>
              </m:rPr>
              <m:t>P</m:t>
            </m:r>
          </m:e>
          <m:sub>
            <m:r>
              <m:rPr>
                <m:sty m:val="i"/>
              </m:rPr>
              <m:t>p</m:t>
            </m:r>
          </m:sub>
        </m:sSub>
      </m:oMath>
      <w:r>
        <w:rPr>
          <w:rFonts w:eastAsia="Georgia" w:cs="Georgia" w:ascii="Georgia" w:hAnsi="Georgia"/>
        </w:rPr>
        <w:t xml:space="preserve"> ) et l'extrémité de la lance (pression </w:t>
      </w:r>
      <m:oMath>
        <m:sSub>
          <m:sSubPr/>
          <m:e>
            <m:r>
              <m:rPr>
                <m:sty m:val="i"/>
              </m:rPr>
              <m:t>P</m:t>
            </m:r>
          </m:e>
          <m:sub>
            <m:r>
              <m:rPr>
                <m:sty m:val="i"/>
              </m:rPr>
              <m:t>l</m:t>
            </m:r>
          </m:sub>
        </m:sSub>
      </m:oMath>
      <w:r>
        <w:rPr/>
        <w:t xml:space="preserve"> ).</w:t>
      </w:r>
      <w:r>
        <w:rPr/>
        <w:br w:type="textWrapping"/>
      </w:r>
      <w:r>
        <w:rPr>
          <w:rFonts w:eastAsia="Georgia" w:cs="Georgia" w:ascii="Georgia" w:hAnsi="Georgia"/>
        </w:rPr>
        <w:t xml:space="preserve">Q 40. En supposant le fluide parfait, quelle doit être, en régime permanent, la différence de pression pour que l'eau arrive au niveau d'une nacelle située à 30 m de hauteur?</w:t>
      </w:r>
      <w:r>
        <w:rPr/>
        <w:br w:type="textWrapping"/>
      </w:r>
      <w:r>
        <w:rPr>
          <w:rFonts w:eastAsia="Georgia" w:cs="Georgia" w:ascii="Georgia" w:hAnsi="Georgia"/>
        </w:rPr>
        <w:t xml:space="preserve">En réalité, l'eau est visqueuse ; il est nécessaire de prendre en compte des frottements sur la paroi interne des tuyaux.</w:t>
      </w:r>
      <w:r>
        <w:rPr/>
        <w:br w:type="textWrapping"/>
      </w:r>
      <w:r>
        <w:rPr>
          <w:rFonts w:eastAsia="Georgia" w:cs="Georgia" w:ascii="Georgia" w:hAnsi="Georgia"/>
        </w:rPr>
        <w:t xml:space="preserve">Q 41. Pour le débit des lances étudiées, l'écoulement dans les tuyaux est-il laminaire ou turbulent ?</w:t>
      </w:r>
      <w:r>
        <w:rPr/>
        <w:br w:type="textWrapping"/>
      </w:r>
      <w:r>
        <w:rPr>
          <w:rFonts w:eastAsia="Georgia" w:cs="Georgia" w:ascii="Georgia" w:hAnsi="Georgia"/>
        </w:rPr>
        <w:t xml:space="preserve">Les frottements induisent une perte de charge (diminution de pression) lors du passage dans les tuyaux. La perte de charge linéique, notée </w:t>
      </w:r>
      <m:oMath>
        <m:r>
          <m:rPr>
            <m:sty m:val="i"/>
          </m:rPr>
          <m:t>J</m:t>
        </m:r>
      </m:oMath>
      <w:r>
        <w:rPr>
          <w:rFonts w:eastAsia="Georgia" w:cs="Georgia" w:ascii="Georgia" w:hAnsi="Georgia"/>
        </w:rPr>
        <w:t xml:space="preserve">, est donnée par la formule de Darcy-Weisbach</w:t>
      </w:r>
    </w:p>
    <w:p>
      <w:pPr>
        <w:spacing w:after="220" w:lineRule="auto"/>
      </w:pPr>
      <m:oMathPara>
        <m:oMath>
          <m:r>
            <m:rPr>
              <m:sty m:val="i"/>
            </m:rPr>
            <m:t>J</m:t>
          </m:r>
          <m:r>
            <m:rPr>
              <m:sty m:val="p"/>
            </m:rPr>
            <m:t>=</m:t>
          </m:r>
          <m:r>
            <m:rPr>
              <m:sty m:val="i"/>
            </m:rPr>
            <m:t>f</m:t>
          </m:r>
          <m:f>
            <m:fPr>
              <m:ctrlPr>
                <w:rPr>
                  <w:rFonts w:ascii="Cambria Math" w:hAnsi="Cambria Math"/>
                </w:rPr>
              </m:ctrlPr>
            </m:fPr>
            <m:num>
              <m:r>
                <m:rPr>
                  <m:sty m:val="i"/>
                </m:rPr>
                <m:t>ρ</m:t>
              </m:r>
              <m:sSup>
                <m:sSupPr/>
                <m:e>
                  <m:r>
                    <m:rPr>
                      <m:sty m:val="i"/>
                    </m:rPr>
                    <m:t>V</m:t>
                  </m:r>
                </m:e>
                <m:sup>
                  <m:r>
                    <m:rPr>
                      <m:sty m:val="p"/>
                    </m:rPr>
                    <m:t>2</m:t>
                  </m:r>
                </m:sup>
              </m:sSup>
            </m:num>
            <m:den>
              <m:r>
                <m:rPr>
                  <m:sty m:val="p"/>
                </m:rPr>
                <m:t>2</m:t>
              </m:r>
              <m:r>
                <m:rPr>
                  <m:sty m:val="i"/>
                </m:rPr>
                <m:t>d</m:t>
              </m:r>
            </m:den>
          </m:f>
        </m:oMath>
      </m:oMathPara>
    </w:p>
    <w:p>
      <w:pPr>
        <w:spacing w:after="220" w:lineRule="auto"/>
      </w:pPr>
      <w:r>
        <w:rPr>
          <w:rFonts w:eastAsia="Georgia" w:cs="Georgia" w:ascii="Georgia" w:hAnsi="Georgia"/>
        </w:rPr>
        <w:t xml:space="preserve">où </w:t>
      </w:r>
      <m:oMath>
        <m:r>
          <m:rPr>
            <m:sty m:val="i"/>
          </m:rPr>
          <m:t>d</m:t>
        </m:r>
      </m:oMath>
      <w:r>
        <w:rPr>
          <w:rFonts w:eastAsia="Georgia" w:cs="Georgia" w:ascii="Georgia" w:hAnsi="Georgia"/>
        </w:rPr>
        <w:t xml:space="preserve"> est le diamètre intérieur du tuyau, </w:t>
      </w:r>
      <m:oMath>
        <m:r>
          <m:rPr>
            <m:sty m:val="i"/>
          </m:rPr>
          <m:t>V</m:t>
        </m:r>
      </m:oMath>
      <w:r>
        <w:rPr/>
        <w:t xml:space="preserve"> la vitesse moyenne du fluide, </w:t>
      </w:r>
      <m:oMath>
        <m:r>
          <m:rPr>
            <m:sty m:val="i"/>
          </m:rPr>
          <m:t>ρ</m:t>
        </m:r>
      </m:oMath>
      <w:r>
        <w:rPr/>
        <w:t xml:space="preserve"> sa masse volumique et </w:t>
      </w:r>
      <m:oMath>
        <m:r>
          <m:rPr>
            <m:sty m:val="i"/>
          </m:rPr>
          <m:t>f</m:t>
        </m:r>
      </m:oMath>
      <w:r>
        <w:rPr>
          <w:rFonts w:eastAsia="Georgia" w:cs="Georgia" w:ascii="Georgia" w:hAnsi="Georgia"/>
        </w:rPr>
        <w:t xml:space="preserve"> un facteur pouvant dépendre du nombre de Reynolds et de la rugosité relative </w:t>
      </w:r>
      <m:oMath>
        <m:r>
          <m:rPr>
            <m:sty m:val="i"/>
          </m:rPr>
          <m:t>ε</m:t>
        </m:r>
        <m:r>
          <m:rPr>
            <m:sty m:val="p"/>
          </m:rPr>
          <m:t>/</m:t>
        </m:r>
        <m:r>
          <m:rPr>
            <m:sty m:val="i"/>
          </m:rPr>
          <m:t>d</m:t>
        </m:r>
      </m:oMath>
      <w:r>
        <w:rPr/>
        <w:t xml:space="preserve">.</w:t>
      </w:r>
      <w:r>
        <w:rPr/>
        <w:br w:type="textWrapping"/>
      </w:r>
      <w:r>
        <w:rPr/>
        <w:t xml:space="preserve">Q 42. Quelle est la dimension du facteur </w:t>
      </w:r>
      <m:oMath>
        <m:r>
          <m:rPr>
            <m:sty m:val="i"/>
          </m:rPr>
          <m:t>f</m:t>
        </m:r>
      </m:oMath>
      <w:r>
        <w:rPr/>
        <w:t xml:space="preserve"> ?</w:t>
      </w:r>
    </w:p>
    <w:p>
      <w:pPr>
        <w:spacing w:lineRule="auto"/>
        <w:jc w:val="center"/>
      </w:pPr>
      <w:r>
        <w:rPr/>
        <w:drawing>
          <wp:inline distB="0" distL="0" distR="0" distT="0">
            <wp:extent cx="5486400" cy="2379806"/>
            <wp:effectExtent b="0" l="0" r="0" t="0"/>
            <wp:docPr id="7" name="image-5ab7d7176e9f5a8720da7c55689b1135f953a713.jpg"/>
            <a:graphic>
              <a:graphicData uri="http://schemas.openxmlformats.org/drawingml/2006/picture">
                <pic:pic>
                  <pic:nvPicPr>
                    <pic:cNvPr id="7" name="image-5ab7d7176e9f5a8720da7c55689b1135f953a713.jpg" descr=""/>
                    <pic:cNvPicPr/>
                  </pic:nvPicPr>
                  <pic:blipFill>
                    <a:blip r:embed="rId11" cstate="print"/>
                    <a:srcRect b="0" l="0" r="0" t="0"/>
                    <a:stretch>
                      <a:fillRect/>
                    </a:stretch>
                  </pic:blipFill>
                  <pic:spPr>
                    <a:xfrm>
                      <a:off x="0" y="0"/>
                      <a:ext cx="5486400" cy="2379806"/>
                    </a:xfrm>
                    <a:prstGeom prst="rect"/>
                  </pic:spPr>
                </pic:pic>
              </a:graphicData>
            </a:graphic>
          </wp:inline>
        </w:drawing>
      </w:r>
    </w:p>
    <w:p>
      <w:pPr>
        <w:spacing w:lineRule="auto"/>
      </w:pPr>
      <w:r>
        <w:rPr>
          <w:rFonts w:eastAsia="Georgia" w:cs="Georgia" w:ascii="Georgia" w:hAnsi="Georgia"/>
        </w:rPr>
        <w:t xml:space="preserve">Figure 7 Schéma d'acheminement de l'eau depuis la prise d'eau jusqu'à la nacelle</w:t>
      </w:r>
    </w:p>
    <w:p>
      <w:pPr>
        <w:spacing w:after="220" w:lineRule="auto"/>
      </w:pPr>
      <w:r>
        <w:rPr>
          <w:rFonts w:eastAsia="Georgia" w:cs="Georgia" w:ascii="Georgia" w:hAnsi="Georgia"/>
        </w:rPr>
        <w:t xml:space="preserve">Pour un écoulement laminaire, le facteur </w:t>
      </w:r>
      <m:oMath>
        <m:r>
          <m:rPr>
            <m:sty m:val="i"/>
          </m:rPr>
          <m:t>f</m:t>
        </m:r>
      </m:oMath>
      <w:r>
        <w:rPr/>
        <w:t xml:space="preserve"> vaut </w:t>
      </w:r>
      <m:oMath>
        <m:r>
          <m:rPr>
            <m:sty m:val="i"/>
          </m:rPr>
          <m:t>f</m:t>
        </m:r>
        <m:r>
          <m:rPr>
            <m:sty m:val="p"/>
          </m:rPr>
          <m:t>=</m:t>
        </m:r>
        <m:r>
          <m:rPr>
            <m:sty m:val="p"/>
          </m:rPr>
          <m:t>64</m:t>
        </m:r>
        <m:r>
          <m:rPr>
            <m:sty m:val="p"/>
          </m:rPr>
          <m:t>/</m:t>
        </m:r>
        <m:sSub>
          <m:sSubPr/>
          <m:e>
            <m:r>
              <m:rPr>
                <m:sty m:val="i"/>
              </m:rPr>
              <m:t>R</m:t>
            </m:r>
          </m:e>
          <m:sub>
            <m:r>
              <m:rPr>
                <m:sty m:val="i"/>
              </m:rPr>
              <m:t>e</m:t>
            </m:r>
          </m:sub>
        </m:sSub>
      </m:oMath>
      <w:r>
        <w:rPr>
          <w:rFonts w:eastAsia="Georgia" w:cs="Georgia" w:ascii="Georgia" w:hAnsi="Georgia"/>
        </w:rPr>
        <w:t xml:space="preserve"> où </w:t>
      </w:r>
      <m:oMath>
        <m:sSub>
          <m:sSubPr/>
          <m:e>
            <m:r>
              <m:rPr>
                <m:sty m:val="i"/>
              </m:rPr>
              <m:t>R</m:t>
            </m:r>
          </m:e>
          <m:sub>
            <m:r>
              <m:rPr>
                <m:sty m:val="i"/>
              </m:rPr>
              <m:t>e</m:t>
            </m:r>
          </m:sub>
        </m:sSub>
      </m:oMath>
      <w:r>
        <w:rPr>
          <w:rFonts w:eastAsia="Georgia" w:cs="Georgia" w:ascii="Georgia" w:hAnsi="Georgia"/>
        </w:rPr>
        <w:t xml:space="preserve"> est le nombre de Reynolds de l'écoulement. Si l'écoulement est turbulent, on utilise la formule de Colebrook</w:t>
      </w:r>
    </w:p>
    <w:p>
      <w:pPr>
        <w:spacing w:after="220" w:lineRule="auto"/>
      </w:pPr>
      <m:oMathPara>
        <m:oMath>
          <m:f>
            <m:fPr>
              <m:ctrlPr>
                <w:rPr>
                  <w:rFonts w:ascii="Cambria Math" w:hAnsi="Cambria Math"/>
                </w:rPr>
              </m:ctrlPr>
            </m:fPr>
            <m:num>
              <m:r>
                <m:rPr>
                  <m:sty m:val="p"/>
                </m:rPr>
                <m:t>1</m:t>
              </m:r>
            </m:num>
            <m:den>
              <m:rad>
                <m:radPr>
                  <m:degHide m:val="1"/>
                  <m:ctrlPr>
                    <w:rPr>
                      <w:rFonts w:ascii="Cambria Math" w:hAnsi="Cambria Math"/>
                    </w:rPr>
                  </m:ctrlPr>
                </m:radPr>
                <m:deg/>
                <m:e>
                  <m:r>
                    <m:rPr>
                      <m:sty m:val="i"/>
                    </m:rPr>
                    <m:t>f</m:t>
                  </m:r>
                </m:e>
              </m:rad>
            </m:den>
          </m:f>
          <m:r>
            <m:rPr>
              <m:sty m:val="p"/>
            </m:rPr>
            <m:t>=</m:t>
          </m:r>
          <m:r>
            <m:rPr>
              <m:sty m:val="p"/>
            </m:rPr>
            <m:t>−</m:t>
          </m:r>
          <m:r>
            <m:rPr>
              <m:sty m:val="p"/>
            </m:rPr>
            <m:t>2</m:t>
          </m:r>
          <m:r>
            <m:rPr>
              <m:sty m:val="p"/>
            </m:rPr>
            <m:t>log</m:t>
          </m:r>
          <m:r>
            <m:rPr>
              <m:sty m:val="p"/>
            </m:rPr>
            <m:t>⁡</m:t>
          </m:r>
          <m:d>
            <m:dPr>
              <m:begChr m:val="("/>
              <m:endChr m:val=")"/>
              <m:ctrlPr>
                <w:rPr>
                  <w:rFonts w:ascii="Cambria Math" w:hAnsi="Cambria Math"/>
                </w:rPr>
              </m:ctrlPr>
            </m:dPr>
            <m:e>
              <m:f>
                <m:fPr>
                  <m:ctrlPr>
                    <w:rPr>
                      <w:rFonts w:ascii="Cambria Math" w:hAnsi="Cambria Math"/>
                    </w:rPr>
                  </m:ctrlPr>
                </m:fPr>
                <m:num>
                  <m:r>
                    <m:rPr>
                      <m:sty m:val="i"/>
                    </m:rPr>
                    <m:t>ε</m:t>
                  </m:r>
                  <m:r>
                    <m:rPr>
                      <m:sty m:val="p"/>
                    </m:rPr>
                    <m:t>/</m:t>
                  </m:r>
                  <m:r>
                    <m:rPr>
                      <m:sty m:val="i"/>
                    </m:rPr>
                    <m:t>d</m:t>
                  </m:r>
                </m:num>
                <m:den>
                  <m:r>
                    <m:rPr>
                      <m:sty m:val="p"/>
                    </m:rPr>
                    <m:t>3</m:t>
                  </m:r>
                  <m:r>
                    <m:rPr>
                      <m:sty m:val="p"/>
                    </m:rPr>
                    <m:t>,</m:t>
                  </m:r>
                  <m:r>
                    <m:rPr>
                      <m:sty m:val="p"/>
                    </m:rPr>
                    <m:t>7</m:t>
                  </m:r>
                </m:den>
              </m:f>
              <m:r>
                <m:rPr>
                  <m:sty m:val="p"/>
                </m:rPr>
                <m:t>+</m:t>
              </m:r>
              <m:f>
                <m:fPr>
                  <m:ctrlPr>
                    <w:rPr>
                      <w:rFonts w:ascii="Cambria Math" w:hAnsi="Cambria Math"/>
                    </w:rPr>
                  </m:ctrlPr>
                </m:fPr>
                <m:num>
                  <m:r>
                    <m:rPr>
                      <m:sty m:val="p"/>
                    </m:rPr>
                    <m:t>2</m:t>
                  </m:r>
                  <m:r>
                    <m:rPr>
                      <m:sty m:val="p"/>
                    </m:rPr>
                    <m:t>,</m:t>
                  </m:r>
                  <m:r>
                    <m:rPr>
                      <m:sty m:val="p"/>
                    </m:rPr>
                    <m:t>51</m:t>
                  </m:r>
                </m:num>
                <m:den>
                  <m:sSub>
                    <m:sSubPr/>
                    <m:e>
                      <m:r>
                        <m:rPr>
                          <m:sty m:val="i"/>
                        </m:rPr>
                        <m:t>R</m:t>
                      </m:r>
                    </m:e>
                    <m:sub>
                      <m:r>
                        <m:rPr>
                          <m:sty m:val="i"/>
                        </m:rPr>
                        <m:t>e</m:t>
                      </m:r>
                    </m:sub>
                  </m:sSub>
                  <m:rad>
                    <m:radPr>
                      <m:degHide m:val="1"/>
                      <m:ctrlPr>
                        <w:rPr>
                          <w:rFonts w:ascii="Cambria Math" w:hAnsi="Cambria Math"/>
                        </w:rPr>
                      </m:ctrlPr>
                    </m:radPr>
                    <m:deg/>
                    <m:e>
                      <m:r>
                        <m:rPr>
                          <m:sty m:val="i"/>
                        </m:rPr>
                        <m:t>f</m:t>
                      </m:r>
                    </m:e>
                  </m:rad>
                </m:den>
              </m:f>
            </m:e>
          </m:d>
        </m:oMath>
      </m:oMathPara>
    </w:p>
    <w:p>
      <w:pPr>
        <w:spacing w:after="220" w:lineRule="auto"/>
      </w:pPr>
      <w:r>
        <w:rPr>
          <w:rFonts w:eastAsia="Georgia" w:cs="Georgia" w:ascii="Georgia" w:hAnsi="Georgia"/>
        </w:rPr>
        <w:t xml:space="preserve">où </w:t>
      </w:r>
      <m:oMath>
        <m:r>
          <m:rPr>
            <m:sty m:val="i"/>
          </m:rPr>
          <m:t>ε</m:t>
        </m:r>
      </m:oMath>
      <w:r>
        <w:rPr>
          <w:rFonts w:eastAsia="Georgia" w:cs="Georgia" w:ascii="Georgia" w:hAnsi="Georgia"/>
        </w:rPr>
        <w:t xml:space="preserve"> est la rugosité, c'est-à-dire la dimension moyenne des aspérités de la paroi interne du tuyau. Cette formule de Colebrok n'est pas soluble littéralement et les pompiers utilisent des abaques ou des tableaux qui donnent les pertes de charge. Le tableau 2 donne les pertes de charge en fonction du débit et de la longueur d'un tuyau de diamètre 70 mm .</w:t>
      </w:r>
    </w:p>
    <w:tbl>
      <w:tblPr>
        <w:tblStyle w:val="TableGrid"/>
        <w:jc w:val="center"/>
        <w:tblCellSpacing w:w="0" w:type="dxa"/>
        <w:tblBorders/>
        <w:tblCellMar>
          <w:top w:type="dxa" w:w="80"/>
          <w:left w:type="dxa" w:w="160"/>
          <w:bottom w:type="dxa" w:w="80"/>
          <w:right w:type="dxa" w:w="160"/>
        </w:tblCellMar>
      </w:tblPr>
      <w:tblGrid>
        <w:gridCol w:w="720"/>
        <w:gridCol w:w="720"/>
        <w:gridCol w:w="720"/>
        <w:gridCol w:w="720"/>
        <w:gridCol w:w="720"/>
        <w:gridCol w:w="720"/>
        <w:gridCol w:w="720"/>
        <w:gridCol w:w="720"/>
        <w:gridCol w:w="720"/>
        <w:gridCol w:w="720"/>
        <w:gridCol w:w="720"/>
        <w:gridCol w:w="72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gridSpan w:val="11"/>
            <w:tcBorders>
              <w:top w:val="single" w:sz="8" w:space="0" w:color="000000"/>
              <w:bottom w:val="single" w:sz="8" w:space="0" w:color="000000"/>
              <w:right w:val="single" w:sz="8" w:space="0" w:color="000000"/>
            </w:tcBorders>
          </w:tcPr>
          <w:p>
            <w:pPr>
              <w:spacing w:lineRule="auto"/>
              <w:jc w:val="center"/>
            </w:pPr>
            <w:r>
              <w:rPr/>
              <w:t xml:space="preserve">Longueur (m)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Débit (L•min </w:t>
            </w:r>
            <m:oMath>
              <m:sSup>
                <m:sSupPr/>
                <m:e>
                  <m:r>
                    <m:t xml:space="preserve"> </m:t>
                  </m:r>
                </m:e>
                <m:sup>
                  <m:r>
                    <m:rPr>
                      <m:sty m:val="p"/>
                    </m:rPr>
                    <m:t>−</m:t>
                  </m:r>
                  <m:r>
                    <m:rPr>
                      <m:sty m:val="p"/>
                    </m:rPr>
                    <m:t>1</m:t>
                  </m:r>
                </m:sup>
              </m:sSup>
            </m:oMath>
            <w:r>
              <w:rPr/>
              <w:t xml:space="preserve"> )</w:t>
            </w:r>
          </w:p>
        </w:tc>
        <w:tc>
          <w:tcPr>
            <w:tcBorders>
              <w:bottom w:val="single" w:sz="8" w:space="0" w:color="000000"/>
              <w:right w:val="single" w:sz="8" w:space="0" w:color="000000"/>
            </w:tcBorders>
            <w:vAlign w:val="center"/>
          </w:tcPr>
          <w:p>
            <w:pPr>
              <w:spacing w:lineRule="auto"/>
              <w:jc w:val="left"/>
            </w:pPr>
            <w:r>
              <w:rPr/>
              <w:t xml:space="preserve">40</w:t>
            </w:r>
          </w:p>
        </w:tc>
        <w:tc>
          <w:tcPr>
            <w:tcBorders>
              <w:bottom w:val="single" w:sz="8" w:space="0" w:color="000000"/>
              <w:right w:val="single" w:sz="8" w:space="0" w:color="000000"/>
            </w:tcBorders>
            <w:vAlign w:val="center"/>
          </w:tcPr>
          <w:p>
            <w:pPr>
              <w:spacing w:lineRule="auto"/>
              <w:jc w:val="left"/>
            </w:pPr>
            <w:r>
              <w:rPr/>
              <w:t xml:space="preserve">80</w:t>
            </w:r>
          </w:p>
        </w:tc>
        <w:tc>
          <w:tcPr>
            <w:tcBorders>
              <w:bottom w:val="single" w:sz="8" w:space="0" w:color="000000"/>
              <w:right w:val="single" w:sz="8" w:space="0" w:color="000000"/>
            </w:tcBorders>
            <w:vAlign w:val="center"/>
          </w:tcPr>
          <w:p>
            <w:pPr>
              <w:spacing w:lineRule="auto"/>
              <w:jc w:val="left"/>
            </w:pPr>
            <w:r>
              <w:rPr/>
              <w:t xml:space="preserve">100</w:t>
            </w:r>
          </w:p>
        </w:tc>
        <w:tc>
          <w:tcPr>
            <w:tcBorders>
              <w:bottom w:val="single" w:sz="8" w:space="0" w:color="000000"/>
              <w:right w:val="single" w:sz="8" w:space="0" w:color="000000"/>
            </w:tcBorders>
            <w:vAlign w:val="center"/>
          </w:tcPr>
          <w:p>
            <w:pPr>
              <w:spacing w:lineRule="auto"/>
              <w:jc w:val="left"/>
            </w:pPr>
            <w:r>
              <w:rPr/>
              <w:t xml:space="preserve">120</w:t>
            </w:r>
          </w:p>
        </w:tc>
        <w:tc>
          <w:tcPr>
            <w:tcBorders>
              <w:bottom w:val="single" w:sz="8" w:space="0" w:color="000000"/>
              <w:right w:val="single" w:sz="8" w:space="0" w:color="000000"/>
            </w:tcBorders>
            <w:vAlign w:val="center"/>
          </w:tcPr>
          <w:p>
            <w:pPr>
              <w:spacing w:lineRule="auto"/>
              <w:jc w:val="left"/>
            </w:pPr>
            <w:r>
              <w:rPr/>
              <w:t xml:space="preserve">160</w:t>
            </w:r>
          </w:p>
        </w:tc>
        <w:tc>
          <w:tcPr>
            <w:tcBorders>
              <w:bottom w:val="single" w:sz="8" w:space="0" w:color="000000"/>
              <w:right w:val="single" w:sz="8" w:space="0" w:color="000000"/>
            </w:tcBorders>
            <w:vAlign w:val="center"/>
          </w:tcPr>
          <w:p>
            <w:pPr>
              <w:spacing w:lineRule="auto"/>
              <w:jc w:val="left"/>
            </w:pPr>
            <w:r>
              <w:rPr/>
              <w:t xml:space="preserve">200</w:t>
            </w:r>
          </w:p>
        </w:tc>
        <w:tc>
          <w:tcPr>
            <w:tcBorders>
              <w:bottom w:val="single" w:sz="8" w:space="0" w:color="000000"/>
              <w:right w:val="single" w:sz="8" w:space="0" w:color="000000"/>
            </w:tcBorders>
            <w:vAlign w:val="center"/>
          </w:tcPr>
          <w:p>
            <w:pPr>
              <w:spacing w:lineRule="auto"/>
              <w:jc w:val="left"/>
            </w:pPr>
            <w:r>
              <w:rPr/>
              <w:t xml:space="preserve">240</w:t>
            </w:r>
          </w:p>
        </w:tc>
        <w:tc>
          <w:tcPr>
            <w:tcBorders>
              <w:bottom w:val="single" w:sz="8" w:space="0" w:color="000000"/>
              <w:right w:val="single" w:sz="8" w:space="0" w:color="000000"/>
            </w:tcBorders>
            <w:vAlign w:val="center"/>
          </w:tcPr>
          <w:p>
            <w:pPr>
              <w:spacing w:lineRule="auto"/>
              <w:jc w:val="left"/>
            </w:pPr>
            <w:r>
              <w:rPr/>
              <w:t xml:space="preserve">280</w:t>
            </w:r>
          </w:p>
        </w:tc>
        <w:tc>
          <w:tcPr>
            <w:tcBorders>
              <w:bottom w:val="single" w:sz="8" w:space="0" w:color="000000"/>
              <w:right w:val="single" w:sz="8" w:space="0" w:color="000000"/>
            </w:tcBorders>
            <w:vAlign w:val="center"/>
          </w:tcPr>
          <w:p>
            <w:pPr>
              <w:spacing w:lineRule="auto"/>
              <w:jc w:val="left"/>
            </w:pPr>
            <w:r>
              <w:rPr/>
              <w:t xml:space="preserve">320</w:t>
            </w:r>
          </w:p>
        </w:tc>
        <w:tc>
          <w:tcPr>
            <w:tcBorders>
              <w:bottom w:val="single" w:sz="8" w:space="0" w:color="000000"/>
              <w:right w:val="single" w:sz="8" w:space="0" w:color="000000"/>
            </w:tcBorders>
            <w:vAlign w:val="center"/>
          </w:tcPr>
          <w:p>
            <w:pPr>
              <w:spacing w:lineRule="auto"/>
              <w:jc w:val="left"/>
            </w:pPr>
            <w:r>
              <w:rPr/>
              <w:t xml:space="preserve">360</w:t>
            </w:r>
          </w:p>
        </w:tc>
        <w:tc>
          <w:tcPr>
            <w:tcBorders>
              <w:bottom w:val="single" w:sz="8" w:space="0" w:color="000000"/>
              <w:right w:val="single" w:sz="8" w:space="0" w:color="000000"/>
            </w:tcBorders>
            <w:vAlign w:val="center"/>
          </w:tcPr>
          <w:p>
            <w:pPr>
              <w:spacing w:lineRule="auto"/>
              <w:jc w:val="left"/>
            </w:pPr>
            <w:r>
              <w:rPr/>
              <w:t xml:space="preserve">400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125</w:t>
            </w:r>
          </w:p>
        </w:tc>
        <w:tc>
          <w:tcPr>
            <w:tcBorders>
              <w:bottom w:val="single" w:sz="8" w:space="0" w:color="000000"/>
              <w:right w:val="single" w:sz="8" w:space="0" w:color="000000"/>
            </w:tcBorders>
            <w:vAlign w:val="center"/>
          </w:tcPr>
          <w:p>
            <w:pPr>
              <w:spacing w:lineRule="auto"/>
              <w:jc w:val="left"/>
            </w:pPr>
            <w:r>
              <w:rPr/>
              <w:t xml:space="preserve">0,0</w:t>
            </w:r>
          </w:p>
        </w:tc>
        <w:tc>
          <w:tcPr>
            <w:tcBorders>
              <w:bottom w:val="single" w:sz="8" w:space="0" w:color="000000"/>
              <w:right w:val="single" w:sz="8" w:space="0" w:color="000000"/>
            </w:tcBorders>
            <w:vAlign w:val="center"/>
          </w:tcPr>
          <w:p>
            <w:pPr>
              <w:spacing w:lineRule="auto"/>
              <w:jc w:val="left"/>
            </w:pPr>
            <w:r>
              <w:rPr/>
              <w:t xml:space="preserve">0,0</w:t>
            </w:r>
          </w:p>
        </w:tc>
        <w:tc>
          <w:tcPr>
            <w:tcBorders>
              <w:bottom w:val="single" w:sz="8" w:space="0" w:color="000000"/>
              <w:right w:val="single" w:sz="8" w:space="0" w:color="000000"/>
            </w:tcBorders>
            <w:vAlign w:val="center"/>
          </w:tcPr>
          <w:p>
            <w:pPr>
              <w:spacing w:lineRule="auto"/>
              <w:jc w:val="left"/>
            </w:pPr>
            <w:r>
              <w:rPr/>
              <w:t xml:space="preserve">0,0</w:t>
            </w:r>
          </w:p>
        </w:tc>
        <w:tc>
          <w:tcPr>
            <w:tcBorders>
              <w:bottom w:val="single" w:sz="8" w:space="0" w:color="000000"/>
              <w:right w:val="single" w:sz="8" w:space="0" w:color="000000"/>
            </w:tcBorders>
            <w:vAlign w:val="center"/>
          </w:tcPr>
          <w:p>
            <w:pPr>
              <w:spacing w:lineRule="auto"/>
              <w:jc w:val="left"/>
            </w:pPr>
            <w:r>
              <w:rPr/>
              <w:t xml:space="preserve">0,0</w:t>
            </w:r>
          </w:p>
        </w:tc>
        <w:tc>
          <w:tcPr>
            <w:tcBorders>
              <w:bottom w:val="single" w:sz="8" w:space="0" w:color="000000"/>
              <w:right w:val="single" w:sz="8" w:space="0" w:color="000000"/>
            </w:tcBorders>
            <w:vAlign w:val="center"/>
          </w:tcPr>
          <w:p>
            <w:pPr>
              <w:spacing w:lineRule="auto"/>
              <w:jc w:val="left"/>
            </w:pPr>
            <w:r>
              <w:rPr/>
              <w:t xml:space="preserve">0,1</w:t>
            </w:r>
          </w:p>
        </w:tc>
        <w:tc>
          <w:tcPr>
            <w:tcBorders>
              <w:bottom w:val="single" w:sz="8" w:space="0" w:color="000000"/>
              <w:right w:val="single" w:sz="8" w:space="0" w:color="000000"/>
            </w:tcBorders>
            <w:vAlign w:val="center"/>
          </w:tcPr>
          <w:p>
            <w:pPr>
              <w:spacing w:lineRule="auto"/>
              <w:jc w:val="left"/>
            </w:pPr>
            <w:r>
              <w:rPr/>
              <w:t xml:space="preserve">0,1</w:t>
            </w:r>
          </w:p>
        </w:tc>
        <w:tc>
          <w:tcPr>
            <w:tcBorders>
              <w:bottom w:val="single" w:sz="8" w:space="0" w:color="000000"/>
              <w:right w:val="single" w:sz="8" w:space="0" w:color="000000"/>
            </w:tcBorders>
            <w:vAlign w:val="center"/>
          </w:tcPr>
          <w:p>
            <w:pPr>
              <w:spacing w:lineRule="auto"/>
              <w:jc w:val="left"/>
            </w:pPr>
            <w:r>
              <w:rPr/>
              <w:t xml:space="preserve">0,1</w:t>
            </w:r>
          </w:p>
        </w:tc>
        <w:tc>
          <w:tcPr>
            <w:tcBorders>
              <w:bottom w:val="single" w:sz="8" w:space="0" w:color="000000"/>
              <w:right w:val="single" w:sz="8" w:space="0" w:color="000000"/>
            </w:tcBorders>
            <w:vAlign w:val="center"/>
          </w:tcPr>
          <w:p>
            <w:pPr>
              <w:spacing w:lineRule="auto"/>
              <w:jc w:val="left"/>
            </w:pPr>
            <w:r>
              <w:rPr/>
              <w:t xml:space="preserve">0,1</w:t>
            </w:r>
          </w:p>
        </w:tc>
        <w:tc>
          <w:tcPr>
            <w:tcBorders>
              <w:bottom w:val="single" w:sz="8" w:space="0" w:color="000000"/>
              <w:right w:val="single" w:sz="8" w:space="0" w:color="000000"/>
            </w:tcBorders>
            <w:vAlign w:val="center"/>
          </w:tcPr>
          <w:p>
            <w:pPr>
              <w:spacing w:lineRule="auto"/>
              <w:jc w:val="left"/>
            </w:pPr>
            <w:r>
              <w:rPr/>
              <w:t xml:space="preserve">0,1</w:t>
            </w:r>
          </w:p>
        </w:tc>
        <w:tc>
          <w:tcPr>
            <w:tcBorders>
              <w:bottom w:val="single" w:sz="8" w:space="0" w:color="000000"/>
              <w:right w:val="single" w:sz="8" w:space="0" w:color="000000"/>
            </w:tcBorders>
            <w:vAlign w:val="center"/>
          </w:tcPr>
          <w:p>
            <w:pPr>
              <w:spacing w:lineRule="auto"/>
              <w:jc w:val="left"/>
            </w:pPr>
            <w:r>
              <w:rPr/>
              <w:t xml:space="preserve">0,1</w:t>
            </w:r>
          </w:p>
        </w:tc>
        <w:tc>
          <w:tcPr>
            <w:tcBorders>
              <w:bottom w:val="single" w:sz="8" w:space="0" w:color="000000"/>
              <w:right w:val="single" w:sz="8" w:space="0" w:color="000000"/>
            </w:tcBorders>
            <w:vAlign w:val="center"/>
          </w:tcPr>
          <w:p>
            <w:pPr>
              <w:spacing w:lineRule="auto"/>
              <w:jc w:val="left"/>
            </w:pPr>
            <w:r>
              <w:rPr/>
              <w:t xml:space="preserve">0,1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250</w:t>
            </w:r>
          </w:p>
        </w:tc>
        <w:tc>
          <w:tcPr>
            <w:tcBorders>
              <w:bottom w:val="single" w:sz="8" w:space="0" w:color="000000"/>
              <w:right w:val="single" w:sz="8" w:space="0" w:color="000000"/>
            </w:tcBorders>
            <w:vAlign w:val="center"/>
          </w:tcPr>
          <w:p>
            <w:pPr>
              <w:spacing w:lineRule="auto"/>
              <w:jc w:val="left"/>
            </w:pPr>
            <w:r>
              <w:rPr/>
              <w:t xml:space="preserve">0,1</w:t>
            </w:r>
          </w:p>
        </w:tc>
        <w:tc>
          <w:tcPr>
            <w:tcBorders>
              <w:bottom w:val="single" w:sz="8" w:space="0" w:color="000000"/>
              <w:right w:val="single" w:sz="8" w:space="0" w:color="000000"/>
            </w:tcBorders>
            <w:vAlign w:val="center"/>
          </w:tcPr>
          <w:p>
            <w:pPr>
              <w:spacing w:lineRule="auto"/>
              <w:jc w:val="left"/>
            </w:pPr>
            <w:r>
              <w:rPr/>
              <w:t xml:space="preserve">0,1</w:t>
            </w:r>
          </w:p>
        </w:tc>
        <w:tc>
          <w:tcPr>
            <w:tcBorders>
              <w:bottom w:val="single" w:sz="8" w:space="0" w:color="000000"/>
              <w:right w:val="single" w:sz="8" w:space="0" w:color="000000"/>
            </w:tcBorders>
            <w:vAlign w:val="center"/>
          </w:tcPr>
          <w:p>
            <w:pPr>
              <w:spacing w:lineRule="auto"/>
              <w:jc w:val="left"/>
            </w:pPr>
            <w:r>
              <w:rPr/>
              <w:t xml:space="preserve">0,1</w:t>
            </w:r>
          </w:p>
        </w:tc>
        <w:tc>
          <w:tcPr>
            <w:tcBorders>
              <w:bottom w:val="single" w:sz="8" w:space="0" w:color="000000"/>
              <w:right w:val="single" w:sz="8" w:space="0" w:color="000000"/>
            </w:tcBorders>
            <w:vAlign w:val="center"/>
          </w:tcPr>
          <w:p>
            <w:pPr>
              <w:spacing w:lineRule="auto"/>
              <w:jc w:val="left"/>
            </w:pPr>
            <w:r>
              <w:rPr/>
              <w:t xml:space="preserve">0,2</w:t>
            </w:r>
          </w:p>
        </w:tc>
        <w:tc>
          <w:tcPr>
            <w:tcBorders>
              <w:bottom w:val="single" w:sz="8" w:space="0" w:color="000000"/>
              <w:right w:val="single" w:sz="8" w:space="0" w:color="000000"/>
            </w:tcBorders>
            <w:vAlign w:val="center"/>
          </w:tcPr>
          <w:p>
            <w:pPr>
              <w:spacing w:lineRule="auto"/>
              <w:jc w:val="left"/>
            </w:pPr>
            <w:r>
              <w:rPr/>
              <w:t xml:space="preserve">0,2</w:t>
            </w:r>
          </w:p>
        </w:tc>
        <w:tc>
          <w:tcPr>
            <w:tcBorders>
              <w:bottom w:val="single" w:sz="8" w:space="0" w:color="000000"/>
              <w:right w:val="single" w:sz="8" w:space="0" w:color="000000"/>
            </w:tcBorders>
            <w:vAlign w:val="center"/>
          </w:tcPr>
          <w:p>
            <w:pPr>
              <w:spacing w:lineRule="auto"/>
              <w:jc w:val="left"/>
            </w:pPr>
            <w:r>
              <w:rPr/>
              <w:t xml:space="preserve">0,3</w:t>
            </w:r>
          </w:p>
        </w:tc>
        <w:tc>
          <w:tcPr>
            <w:tcBorders>
              <w:bottom w:val="single" w:sz="8" w:space="0" w:color="000000"/>
              <w:right w:val="single" w:sz="8" w:space="0" w:color="000000"/>
            </w:tcBorders>
            <w:vAlign w:val="center"/>
          </w:tcPr>
          <w:p>
            <w:pPr>
              <w:spacing w:lineRule="auto"/>
              <w:jc w:val="left"/>
            </w:pPr>
            <w:r>
              <w:rPr/>
              <w:t xml:space="preserve">0,3</w:t>
            </w:r>
          </w:p>
        </w:tc>
        <w:tc>
          <w:tcPr>
            <w:tcBorders>
              <w:bottom w:val="single" w:sz="8" w:space="0" w:color="000000"/>
              <w:right w:val="single" w:sz="8" w:space="0" w:color="000000"/>
            </w:tcBorders>
            <w:vAlign w:val="center"/>
          </w:tcPr>
          <w:p>
            <w:pPr>
              <w:spacing w:lineRule="auto"/>
              <w:jc w:val="left"/>
            </w:pPr>
            <w:r>
              <w:rPr/>
              <w:t xml:space="preserve">0,4</w:t>
            </w:r>
          </w:p>
        </w:tc>
        <w:tc>
          <w:tcPr>
            <w:tcBorders>
              <w:bottom w:val="single" w:sz="8" w:space="0" w:color="000000"/>
              <w:right w:val="single" w:sz="8" w:space="0" w:color="000000"/>
            </w:tcBorders>
            <w:vAlign w:val="center"/>
          </w:tcPr>
          <w:p>
            <w:pPr>
              <w:spacing w:lineRule="auto"/>
              <w:jc w:val="left"/>
            </w:pPr>
            <w:r>
              <w:rPr/>
              <w:t xml:space="preserve">0,4</w:t>
            </w:r>
          </w:p>
        </w:tc>
        <w:tc>
          <w:tcPr>
            <w:tcBorders>
              <w:bottom w:val="single" w:sz="8" w:space="0" w:color="000000"/>
              <w:right w:val="single" w:sz="8" w:space="0" w:color="000000"/>
            </w:tcBorders>
            <w:vAlign w:val="center"/>
          </w:tcPr>
          <w:p>
            <w:pPr>
              <w:spacing w:lineRule="auto"/>
              <w:jc w:val="left"/>
            </w:pPr>
            <w:r>
              <w:rPr/>
              <w:t xml:space="preserve">0,5</w:t>
            </w:r>
          </w:p>
        </w:tc>
        <w:tc>
          <w:tcPr>
            <w:tcBorders>
              <w:bottom w:val="single" w:sz="8" w:space="0" w:color="000000"/>
              <w:right w:val="single" w:sz="8" w:space="0" w:color="000000"/>
            </w:tcBorders>
            <w:vAlign w:val="center"/>
          </w:tcPr>
          <w:p>
            <w:pPr>
              <w:spacing w:lineRule="auto"/>
              <w:jc w:val="left"/>
            </w:pPr>
            <w:r>
              <w:rPr/>
              <w:t xml:space="preserve">0,6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375</w:t>
            </w:r>
          </w:p>
        </w:tc>
        <w:tc>
          <w:tcPr>
            <w:tcBorders>
              <w:bottom w:val="single" w:sz="8" w:space="0" w:color="000000"/>
              <w:right w:val="single" w:sz="8" w:space="0" w:color="000000"/>
            </w:tcBorders>
            <w:vAlign w:val="center"/>
          </w:tcPr>
          <w:p>
            <w:pPr>
              <w:spacing w:lineRule="auto"/>
              <w:jc w:val="left"/>
            </w:pPr>
            <w:r>
              <w:rPr/>
              <w:t xml:space="preserve">0,1</w:t>
            </w:r>
          </w:p>
        </w:tc>
        <w:tc>
          <w:tcPr>
            <w:tcBorders>
              <w:bottom w:val="single" w:sz="8" w:space="0" w:color="000000"/>
              <w:right w:val="single" w:sz="8" w:space="0" w:color="000000"/>
            </w:tcBorders>
            <w:vAlign w:val="center"/>
          </w:tcPr>
          <w:p>
            <w:pPr>
              <w:spacing w:lineRule="auto"/>
              <w:jc w:val="left"/>
            </w:pPr>
            <w:r>
              <w:rPr/>
              <w:t xml:space="preserve">0,2</w:t>
            </w:r>
          </w:p>
        </w:tc>
        <w:tc>
          <w:tcPr>
            <w:tcBorders>
              <w:bottom w:val="single" w:sz="8" w:space="0" w:color="000000"/>
              <w:right w:val="single" w:sz="8" w:space="0" w:color="000000"/>
            </w:tcBorders>
            <w:vAlign w:val="center"/>
          </w:tcPr>
          <w:p>
            <w:pPr>
              <w:spacing w:lineRule="auto"/>
              <w:jc w:val="left"/>
            </w:pPr>
            <w:r>
              <w:rPr/>
              <w:t xml:space="preserve">0,2</w:t>
            </w:r>
          </w:p>
        </w:tc>
        <w:tc>
          <w:tcPr>
            <w:tcBorders>
              <w:bottom w:val="single" w:sz="8" w:space="0" w:color="000000"/>
              <w:right w:val="single" w:sz="8" w:space="0" w:color="000000"/>
            </w:tcBorders>
            <w:vAlign w:val="center"/>
          </w:tcPr>
          <w:p>
            <w:pPr>
              <w:spacing w:lineRule="auto"/>
              <w:jc w:val="left"/>
            </w:pPr>
            <w:r>
              <w:rPr/>
              <w:t xml:space="preserve">0,4</w:t>
            </w:r>
          </w:p>
        </w:tc>
        <w:tc>
          <w:tcPr>
            <w:tcBorders>
              <w:bottom w:val="single" w:sz="8" w:space="0" w:color="000000"/>
              <w:right w:val="single" w:sz="8" w:space="0" w:color="000000"/>
            </w:tcBorders>
            <w:vAlign w:val="center"/>
          </w:tcPr>
          <w:p>
            <w:pPr>
              <w:spacing w:lineRule="auto"/>
              <w:jc w:val="left"/>
            </w:pPr>
            <w:r>
              <w:rPr/>
              <w:t xml:space="preserve">0,5</w:t>
            </w:r>
          </w:p>
        </w:tc>
        <w:tc>
          <w:tcPr>
            <w:tcBorders>
              <w:bottom w:val="single" w:sz="8" w:space="0" w:color="000000"/>
              <w:right w:val="single" w:sz="8" w:space="0" w:color="000000"/>
            </w:tcBorders>
            <w:vAlign w:val="center"/>
          </w:tcPr>
          <w:p>
            <w:pPr>
              <w:spacing w:lineRule="auto"/>
              <w:jc w:val="left"/>
            </w:pPr>
            <w:r>
              <w:rPr/>
              <w:t xml:space="preserve">0,6</w:t>
            </w:r>
          </w:p>
        </w:tc>
        <w:tc>
          <w:tcPr>
            <w:tcBorders>
              <w:bottom w:val="single" w:sz="8" w:space="0" w:color="000000"/>
              <w:right w:val="single" w:sz="8" w:space="0" w:color="000000"/>
            </w:tcBorders>
            <w:vAlign w:val="center"/>
          </w:tcPr>
          <w:p>
            <w:pPr>
              <w:spacing w:lineRule="auto"/>
              <w:jc w:val="left"/>
            </w:pPr>
            <w:r>
              <w:rPr/>
              <w:t xml:space="preserve">0,7</w:t>
            </w:r>
          </w:p>
        </w:tc>
        <w:tc>
          <w:tcPr>
            <w:tcBorders>
              <w:bottom w:val="single" w:sz="8" w:space="0" w:color="000000"/>
              <w:right w:val="single" w:sz="8" w:space="0" w:color="000000"/>
            </w:tcBorders>
            <w:vAlign w:val="center"/>
          </w:tcPr>
          <w:p>
            <w:pPr>
              <w:spacing w:lineRule="auto"/>
              <w:jc w:val="left"/>
            </w:pPr>
            <w:r>
              <w:rPr/>
              <w:t xml:space="preserve">0,9</w:t>
            </w:r>
          </w:p>
        </w:tc>
        <w:tc>
          <w:tcPr>
            <w:tcBorders>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pPr>
              <w:spacing w:lineRule="auto"/>
              <w:jc w:val="left"/>
            </w:pPr>
            <w:r>
              <w:rPr/>
              <w:t xml:space="preserve">1,2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500</w:t>
            </w:r>
          </w:p>
        </w:tc>
        <w:tc>
          <w:tcPr>
            <w:tcBorders>
              <w:bottom w:val="single" w:sz="8" w:space="0" w:color="000000"/>
              <w:right w:val="single" w:sz="8" w:space="0" w:color="000000"/>
            </w:tcBorders>
            <w:vAlign w:val="center"/>
          </w:tcPr>
          <w:p>
            <w:pPr>
              <w:spacing w:lineRule="auto"/>
              <w:jc w:val="left"/>
            </w:pPr>
            <w:r>
              <w:rPr/>
              <w:t xml:space="preserve">0,2</w:t>
            </w:r>
          </w:p>
        </w:tc>
        <w:tc>
          <w:tcPr>
            <w:tcBorders>
              <w:bottom w:val="single" w:sz="8" w:space="0" w:color="000000"/>
              <w:right w:val="single" w:sz="8" w:space="0" w:color="000000"/>
            </w:tcBorders>
            <w:vAlign w:val="center"/>
          </w:tcPr>
          <w:p>
            <w:pPr>
              <w:spacing w:lineRule="auto"/>
              <w:jc w:val="left"/>
            </w:pPr>
            <w:r>
              <w:rPr/>
              <w:t xml:space="preserve">0,4</w:t>
            </w:r>
          </w:p>
        </w:tc>
        <w:tc>
          <w:tcPr>
            <w:tcBorders>
              <w:bottom w:val="single" w:sz="8" w:space="0" w:color="000000"/>
              <w:right w:val="single" w:sz="8" w:space="0" w:color="000000"/>
            </w:tcBorders>
            <w:vAlign w:val="center"/>
          </w:tcPr>
          <w:p>
            <w:pPr>
              <w:spacing w:lineRule="auto"/>
              <w:jc w:val="left"/>
            </w:pPr>
            <w:r>
              <w:rPr/>
              <w:t xml:space="preserve">0,55</w:t>
            </w:r>
          </w:p>
        </w:tc>
        <w:tc>
          <w:tcPr>
            <w:tcBorders>
              <w:bottom w:val="single" w:sz="8" w:space="0" w:color="000000"/>
              <w:right w:val="single" w:sz="8" w:space="0" w:color="000000"/>
            </w:tcBorders>
            <w:vAlign w:val="center"/>
          </w:tcPr>
          <w:p>
            <w:pPr>
              <w:spacing w:lineRule="auto"/>
              <w:jc w:val="left"/>
            </w:pPr>
            <w:r>
              <w:rPr/>
              <w:t xml:space="preserve">0,7</w:t>
            </w:r>
          </w:p>
        </w:tc>
        <w:tc>
          <w:tcPr>
            <w:tcBorders>
              <w:bottom w:val="single" w:sz="8" w:space="0" w:color="000000"/>
              <w:right w:val="single" w:sz="8" w:space="0" w:color="000000"/>
            </w:tcBorders>
            <w:vAlign w:val="center"/>
          </w:tcPr>
          <w:p>
            <w:pPr>
              <w:spacing w:lineRule="auto"/>
              <w:jc w:val="left"/>
            </w:pPr>
            <w:r>
              <w:rPr/>
              <w:t xml:space="preserve">0,9</w:t>
            </w:r>
          </w:p>
        </w:tc>
        <w:tc>
          <w:tcPr>
            <w:tcBorders>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pPr>
              <w:spacing w:lineRule="auto"/>
              <w:jc w:val="left"/>
            </w:pPr>
            <w:r>
              <w:rPr/>
              <w:t xml:space="preserve">1,3</w:t>
            </w:r>
          </w:p>
        </w:tc>
        <w:tc>
          <w:tcPr>
            <w:tcBorders>
              <w:bottom w:val="single" w:sz="8" w:space="0" w:color="000000"/>
              <w:right w:val="single" w:sz="8" w:space="0" w:color="000000"/>
            </w:tcBorders>
            <w:vAlign w:val="center"/>
          </w:tcPr>
          <w:p>
            <w:pPr>
              <w:spacing w:lineRule="auto"/>
              <w:jc w:val="left"/>
            </w:pPr>
            <w:r>
              <w:rPr/>
              <w:t xml:space="preserve">1,5</w:t>
            </w:r>
          </w:p>
        </w:tc>
        <w:tc>
          <w:tcPr>
            <w:tcBorders>
              <w:bottom w:val="single" w:sz="8" w:space="0" w:color="000000"/>
              <w:right w:val="single" w:sz="8" w:space="0" w:color="000000"/>
            </w:tcBorders>
            <w:vAlign w:val="center"/>
          </w:tcPr>
          <w:p>
            <w:pPr>
              <w:spacing w:lineRule="auto"/>
              <w:jc w:val="left"/>
            </w:pPr>
            <w:r>
              <w:rPr/>
              <w:t xml:space="preserve">1,8</w:t>
            </w:r>
          </w:p>
        </w:tc>
        <w:tc>
          <w:tcPr>
            <w:tcBorders>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pPr>
              <w:spacing w:lineRule="auto"/>
              <w:jc w:val="left"/>
            </w:pPr>
            <w:r>
              <w:rPr/>
              <w:t xml:space="preserve">2,2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675</w:t>
            </w:r>
          </w:p>
        </w:tc>
        <w:tc>
          <w:tcPr>
            <w:tcBorders>
              <w:bottom w:val="single" w:sz="8" w:space="0" w:color="000000"/>
              <w:right w:val="single" w:sz="8" w:space="0" w:color="000000"/>
            </w:tcBorders>
            <w:vAlign w:val="center"/>
          </w:tcPr>
          <w:p>
            <w:pPr>
              <w:spacing w:lineRule="auto"/>
              <w:jc w:val="left"/>
            </w:pPr>
            <w:r>
              <w:rPr/>
              <w:t xml:space="preserve">0,4</w:t>
            </w:r>
          </w:p>
        </w:tc>
        <w:tc>
          <w:tcPr>
            <w:tcBorders>
              <w:bottom w:val="single" w:sz="8" w:space="0" w:color="000000"/>
              <w:right w:val="single" w:sz="8" w:space="0" w:color="000000"/>
            </w:tcBorders>
            <w:vAlign w:val="center"/>
          </w:tcPr>
          <w:p>
            <w:pPr>
              <w:spacing w:lineRule="auto"/>
              <w:jc w:val="left"/>
            </w:pPr>
            <w:r>
              <w:rPr/>
              <w:t xml:space="preserve">0,8</w:t>
            </w:r>
          </w:p>
        </w:tc>
        <w:tc>
          <w:tcPr>
            <w:tcBorders>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1,6</w:t>
            </w:r>
          </w:p>
        </w:tc>
        <w:tc>
          <w:tcPr>
            <w:tcBorders>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pPr>
              <w:spacing w:lineRule="auto"/>
              <w:jc w:val="left"/>
            </w:pPr>
            <w:r>
              <w:rPr/>
              <w:t xml:space="preserve">2,4</w:t>
            </w:r>
          </w:p>
        </w:tc>
        <w:tc>
          <w:tcPr>
            <w:tcBorders>
              <w:bottom w:val="single" w:sz="8" w:space="0" w:color="000000"/>
              <w:right w:val="single" w:sz="8" w:space="0" w:color="000000"/>
            </w:tcBorders>
            <w:vAlign w:val="center"/>
          </w:tcPr>
          <w:p>
            <w:pPr>
              <w:spacing w:lineRule="auto"/>
              <w:jc w:val="left"/>
            </w:pPr>
            <w:r>
              <w:rPr/>
              <w:t xml:space="preserve">2,8</w:t>
            </w:r>
          </w:p>
        </w:tc>
        <w:tc>
          <w:tcPr>
            <w:tcBorders>
              <w:bottom w:val="single" w:sz="8" w:space="0" w:color="000000"/>
              <w:right w:val="single" w:sz="8" w:space="0" w:color="000000"/>
            </w:tcBorders>
            <w:vAlign w:val="center"/>
          </w:tcPr>
          <w:p>
            <w:pPr>
              <w:spacing w:lineRule="auto"/>
              <w:jc w:val="left"/>
            </w:pPr>
            <w:r>
              <w:rPr/>
              <w:t xml:space="preserve">3,2</w:t>
            </w:r>
          </w:p>
        </w:tc>
        <w:tc>
          <w:tcPr>
            <w:tcBorders>
              <w:bottom w:val="single" w:sz="8" w:space="0" w:color="000000"/>
              <w:right w:val="single" w:sz="8" w:space="0" w:color="000000"/>
            </w:tcBorders>
            <w:vAlign w:val="center"/>
          </w:tcPr>
          <w:p>
            <w:pPr>
              <w:spacing w:lineRule="auto"/>
              <w:jc w:val="left"/>
            </w:pPr>
            <w:r>
              <w:rPr/>
              <w:t xml:space="preserve">3,6</w:t>
            </w:r>
          </w:p>
        </w:tc>
        <w:tc>
          <w:tcPr>
            <w:tcBorders>
              <w:bottom w:val="single" w:sz="8" w:space="0" w:color="000000"/>
              <w:right w:val="single" w:sz="8" w:space="0" w:color="000000"/>
            </w:tcBorders>
            <w:vAlign w:val="center"/>
          </w:tcPr>
          <w:p>
            <w:pPr>
              <w:spacing w:lineRule="auto"/>
              <w:jc w:val="left"/>
            </w:pPr>
            <w:r>
              <w:rPr/>
              <w:t xml:space="preserve">4,0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750</w:t>
            </w:r>
          </w:p>
        </w:tc>
        <w:tc>
          <w:tcPr>
            <w:tcBorders>
              <w:bottom w:val="single" w:sz="8" w:space="0" w:color="000000"/>
              <w:right w:val="single" w:sz="8" w:space="0" w:color="000000"/>
            </w:tcBorders>
            <w:vAlign w:val="center"/>
          </w:tcPr>
          <w:p>
            <w:pPr>
              <w:spacing w:lineRule="auto"/>
              <w:jc w:val="left"/>
            </w:pPr>
            <w:r>
              <w:rPr/>
              <w:t xml:space="preserve">0,5</w:t>
            </w:r>
          </w:p>
        </w:tc>
        <w:tc>
          <w:tcPr>
            <w:tcBorders>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1,5</w:t>
            </w:r>
          </w:p>
        </w:tc>
        <w:tc>
          <w:tcPr>
            <w:tcBorders>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pPr>
              <w:spacing w:lineRule="auto"/>
              <w:jc w:val="left"/>
            </w:pPr>
            <w:r>
              <w:rPr/>
              <w:t xml:space="preserve">2,5</w:t>
            </w:r>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3,5</w:t>
            </w:r>
          </w:p>
        </w:tc>
        <w:tc>
          <w:tcPr>
            <w:tcBorders>
              <w:bottom w:val="single" w:sz="8" w:space="0" w:color="000000"/>
              <w:right w:val="single" w:sz="8" w:space="0" w:color="000000"/>
            </w:tcBorders>
            <w:vAlign w:val="center"/>
          </w:tcPr>
          <w:p>
            <w:pPr>
              <w:spacing w:lineRule="auto"/>
              <w:jc w:val="left"/>
            </w:pPr>
            <w:r>
              <w:rPr/>
              <w:t xml:space="preserve">4,0</w:t>
            </w:r>
          </w:p>
        </w:tc>
        <w:tc>
          <w:tcPr>
            <w:tcBorders>
              <w:bottom w:val="single" w:sz="8" w:space="0" w:color="000000"/>
              <w:right w:val="single" w:sz="8" w:space="0" w:color="000000"/>
            </w:tcBorders>
            <w:vAlign w:val="center"/>
          </w:tcPr>
          <w:p>
            <w:pPr>
              <w:spacing w:lineRule="auto"/>
              <w:jc w:val="left"/>
            </w:pPr>
            <w:r>
              <w:rPr/>
              <w:t xml:space="preserve">4,5</w:t>
            </w:r>
          </w:p>
        </w:tc>
        <w:tc>
          <w:tcPr>
            <w:tcBorders>
              <w:bottom w:val="single" w:sz="8" w:space="0" w:color="000000"/>
              <w:right w:val="single" w:sz="8" w:space="0" w:color="000000"/>
            </w:tcBorders>
            <w:vAlign w:val="center"/>
          </w:tcPr>
          <w:p>
            <w:pPr>
              <w:spacing w:lineRule="auto"/>
              <w:jc w:val="left"/>
            </w:pPr>
            <w:r>
              <w:rPr/>
              <w:t xml:space="preserve">5,0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875</w:t>
            </w:r>
          </w:p>
        </w:tc>
        <w:tc>
          <w:tcPr>
            <w:tcBorders>
              <w:bottom w:val="single" w:sz="8" w:space="0" w:color="000000"/>
              <w:right w:val="single" w:sz="8" w:space="0" w:color="000000"/>
            </w:tcBorders>
            <w:vAlign w:val="center"/>
          </w:tcPr>
          <w:p>
            <w:pPr>
              <w:spacing w:lineRule="auto"/>
              <w:jc w:val="left"/>
            </w:pPr>
            <w:r>
              <w:rPr/>
              <w:t xml:space="preserve">0,7</w:t>
            </w:r>
          </w:p>
        </w:tc>
        <w:tc>
          <w:tcPr>
            <w:tcBorders>
              <w:bottom w:val="single" w:sz="8" w:space="0" w:color="000000"/>
              <w:right w:val="single" w:sz="8" w:space="0" w:color="000000"/>
            </w:tcBorders>
            <w:vAlign w:val="center"/>
          </w:tcPr>
          <w:p>
            <w:pPr>
              <w:spacing w:lineRule="auto"/>
              <w:jc w:val="left"/>
            </w:pPr>
            <w:r>
              <w:rPr/>
              <w:t xml:space="preserve">1,3</w:t>
            </w:r>
          </w:p>
        </w:tc>
        <w:tc>
          <w:tcPr>
            <w:tcBorders>
              <w:bottom w:val="single" w:sz="8" w:space="0" w:color="000000"/>
              <w:right w:val="single" w:sz="8" w:space="0" w:color="000000"/>
            </w:tcBorders>
            <w:vAlign w:val="center"/>
          </w:tcPr>
          <w:p>
            <w:pPr>
              <w:spacing w:lineRule="auto"/>
              <w:jc w:val="left"/>
            </w:pPr>
            <w:r>
              <w:rPr/>
              <w:t xml:space="preserve">1,7</w:t>
            </w:r>
          </w:p>
        </w:tc>
        <w:tc>
          <w:tcPr>
            <w:tcBorders>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pPr>
              <w:spacing w:lineRule="auto"/>
              <w:jc w:val="left"/>
            </w:pPr>
            <w:r>
              <w:rPr/>
              <w:t xml:space="preserve">2,7</w:t>
            </w:r>
          </w:p>
        </w:tc>
        <w:tc>
          <w:tcPr>
            <w:tcBorders>
              <w:bottom w:val="single" w:sz="8" w:space="0" w:color="000000"/>
              <w:right w:val="single" w:sz="8" w:space="0" w:color="000000"/>
            </w:tcBorders>
            <w:vAlign w:val="center"/>
          </w:tcPr>
          <w:p>
            <w:pPr>
              <w:spacing w:lineRule="auto"/>
              <w:jc w:val="left"/>
            </w:pPr>
            <w:r>
              <w:rPr/>
              <w:t xml:space="preserve">3,4</w:t>
            </w:r>
          </w:p>
        </w:tc>
        <w:tc>
          <w:tcPr>
            <w:tcBorders>
              <w:bottom w:val="single" w:sz="8" w:space="0" w:color="000000"/>
              <w:right w:val="single" w:sz="8" w:space="0" w:color="000000"/>
            </w:tcBorders>
            <w:vAlign w:val="center"/>
          </w:tcPr>
          <w:p>
            <w:pPr>
              <w:spacing w:lineRule="auto"/>
              <w:jc w:val="left"/>
            </w:pPr>
            <w:r>
              <w:rPr/>
              <w:t xml:space="preserve">4,0</w:t>
            </w:r>
          </w:p>
        </w:tc>
        <w:tc>
          <w:tcPr>
            <w:tcBorders>
              <w:bottom w:val="single" w:sz="8" w:space="0" w:color="000000"/>
              <w:right w:val="single" w:sz="8" w:space="0" w:color="000000"/>
            </w:tcBorders>
            <w:vAlign w:val="center"/>
          </w:tcPr>
          <w:p>
            <w:pPr>
              <w:spacing w:lineRule="auto"/>
              <w:jc w:val="left"/>
            </w:pPr>
            <w:r>
              <w:rPr/>
              <w:t xml:space="preserve">4,7</w:t>
            </w:r>
          </w:p>
        </w:tc>
        <w:tc>
          <w:tcPr>
            <w:tcBorders>
              <w:bottom w:val="single" w:sz="8" w:space="0" w:color="000000"/>
              <w:right w:val="single" w:sz="8" w:space="0" w:color="000000"/>
            </w:tcBorders>
            <w:vAlign w:val="center"/>
          </w:tcPr>
          <w:p>
            <w:pPr>
              <w:spacing w:lineRule="auto"/>
              <w:jc w:val="left"/>
            </w:pPr>
            <w:r>
              <w:rPr/>
              <w:t xml:space="preserve">5,4</w:t>
            </w:r>
          </w:p>
        </w:tc>
        <w:tc>
          <w:tcPr>
            <w:tcBorders>
              <w:bottom w:val="single" w:sz="8" w:space="0" w:color="000000"/>
              <w:right w:val="single" w:sz="8" w:space="0" w:color="000000"/>
            </w:tcBorders>
            <w:vAlign w:val="center"/>
          </w:tcPr>
          <w:p>
            <w:pPr>
              <w:spacing w:lineRule="auto"/>
              <w:jc w:val="left"/>
            </w:pPr>
            <w:r>
              <w:rPr/>
              <w:t xml:space="preserve">6,1</w:t>
            </w:r>
          </w:p>
        </w:tc>
        <w:tc>
          <w:tcPr>
            <w:tcBorders>
              <w:bottom w:val="single" w:sz="8" w:space="0" w:color="000000"/>
              <w:right w:val="single" w:sz="8" w:space="0" w:color="000000"/>
            </w:tcBorders>
            <w:vAlign w:val="center"/>
          </w:tcPr>
          <w:p>
            <w:pPr>
              <w:spacing w:lineRule="auto"/>
              <w:jc w:val="left"/>
            </w:pPr>
            <w:r>
              <w:rPr/>
              <w:t xml:space="preserve">6,7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1000</w:t>
            </w:r>
          </w:p>
        </w:tc>
        <w:tc>
          <w:tcPr>
            <w:tcBorders>
              <w:bottom w:val="single" w:sz="8" w:space="0" w:color="000000"/>
              <w:right w:val="single" w:sz="8" w:space="0" w:color="000000"/>
            </w:tcBorders>
            <w:vAlign w:val="center"/>
          </w:tcPr>
          <w:p>
            <w:pPr>
              <w:spacing w:lineRule="auto"/>
              <w:jc w:val="left"/>
            </w:pPr>
            <w:r>
              <w:rPr/>
              <w:t xml:space="preserve">0,9</w:t>
            </w:r>
          </w:p>
        </w:tc>
        <w:tc>
          <w:tcPr>
            <w:tcBorders>
              <w:bottom w:val="single" w:sz="8" w:space="0" w:color="000000"/>
              <w:right w:val="single" w:sz="8" w:space="0" w:color="000000"/>
            </w:tcBorders>
            <w:vAlign w:val="center"/>
          </w:tcPr>
          <w:p>
            <w:pPr>
              <w:spacing w:lineRule="auto"/>
              <w:jc w:val="left"/>
            </w:pPr>
            <w:r>
              <w:rPr/>
              <w:t xml:space="preserve">1,8</w:t>
            </w:r>
          </w:p>
        </w:tc>
        <w:tc>
          <w:tcPr>
            <w:tcBorders>
              <w:bottom w:val="single" w:sz="8" w:space="0" w:color="000000"/>
              <w:right w:val="single" w:sz="8" w:space="0" w:color="000000"/>
            </w:tcBorders>
            <w:vAlign w:val="center"/>
          </w:tcPr>
          <w:p>
            <w:pPr>
              <w:spacing w:lineRule="auto"/>
              <w:jc w:val="left"/>
            </w:pPr>
            <w:r>
              <w:rPr/>
              <w:t xml:space="preserve">2,2</w:t>
            </w:r>
          </w:p>
        </w:tc>
        <w:tc>
          <w:tcPr>
            <w:tcBorders>
              <w:bottom w:val="single" w:sz="8" w:space="0" w:color="000000"/>
              <w:right w:val="single" w:sz="8" w:space="0" w:color="000000"/>
            </w:tcBorders>
            <w:vAlign w:val="center"/>
          </w:tcPr>
          <w:p>
            <w:pPr>
              <w:spacing w:lineRule="auto"/>
              <w:jc w:val="left"/>
            </w:pPr>
            <w:r>
              <w:rPr/>
              <w:t xml:space="preserve">2,6</w:t>
            </w:r>
          </w:p>
        </w:tc>
        <w:tc>
          <w:tcPr>
            <w:tcBorders>
              <w:bottom w:val="single" w:sz="8" w:space="0" w:color="000000"/>
              <w:right w:val="single" w:sz="8" w:space="0" w:color="000000"/>
            </w:tcBorders>
            <w:vAlign w:val="center"/>
          </w:tcPr>
          <w:p>
            <w:pPr>
              <w:spacing w:lineRule="auto"/>
              <w:jc w:val="left"/>
            </w:pPr>
            <w:r>
              <w:rPr/>
              <w:t xml:space="preserve">3,5</w:t>
            </w:r>
          </w:p>
        </w:tc>
        <w:tc>
          <w:tcPr>
            <w:tcBorders>
              <w:bottom w:val="single" w:sz="8" w:space="0" w:color="000000"/>
              <w:right w:val="single" w:sz="8" w:space="0" w:color="000000"/>
            </w:tcBorders>
            <w:vAlign w:val="center"/>
          </w:tcPr>
          <w:p>
            <w:pPr>
              <w:spacing w:lineRule="auto"/>
              <w:jc w:val="left"/>
            </w:pPr>
            <w:r>
              <w:rPr/>
              <w:t xml:space="preserve">4,4</w:t>
            </w:r>
          </w:p>
        </w:tc>
        <w:tc>
          <w:tcPr>
            <w:tcBorders>
              <w:bottom w:val="single" w:sz="8" w:space="0" w:color="000000"/>
              <w:right w:val="single" w:sz="8" w:space="0" w:color="000000"/>
            </w:tcBorders>
            <w:vAlign w:val="center"/>
          </w:tcPr>
          <w:p>
            <w:pPr>
              <w:spacing w:lineRule="auto"/>
              <w:jc w:val="left"/>
            </w:pPr>
            <w:r>
              <w:rPr/>
              <w:t xml:space="preserve">5,3</w:t>
            </w:r>
          </w:p>
        </w:tc>
        <w:tc>
          <w:tcPr>
            <w:tcBorders>
              <w:bottom w:val="single" w:sz="8" w:space="0" w:color="000000"/>
              <w:right w:val="single" w:sz="8" w:space="0" w:color="000000"/>
            </w:tcBorders>
            <w:vAlign w:val="center"/>
          </w:tcPr>
          <w:p>
            <w:pPr>
              <w:spacing w:lineRule="auto"/>
              <w:jc w:val="left"/>
            </w:pPr>
            <w:r>
              <w:rPr/>
              <w:t xml:space="preserve">6,2</w:t>
            </w:r>
          </w:p>
        </w:tc>
        <w:tc>
          <w:tcPr>
            <w:tcBorders>
              <w:bottom w:val="single" w:sz="8" w:space="0" w:color="000000"/>
              <w:right w:val="single" w:sz="8" w:space="0" w:color="000000"/>
            </w:tcBorders>
            <w:vAlign w:val="center"/>
          </w:tcPr>
          <w:p>
            <w:pPr>
              <w:spacing w:lineRule="auto"/>
              <w:jc w:val="left"/>
            </w:pPr>
            <w:r>
              <w:rPr/>
              <w:t xml:space="preserve">7,0</w:t>
            </w:r>
          </w:p>
        </w:tc>
        <w:tc>
          <w:tcPr>
            <w:tcBorders>
              <w:bottom w:val="single" w:sz="8" w:space="0" w:color="000000"/>
              <w:right w:val="single" w:sz="8" w:space="0" w:color="000000"/>
            </w:tcBorders>
            <w:vAlign w:val="center"/>
          </w:tcPr>
          <w:p>
            <w:pPr>
              <w:spacing w:lineRule="auto"/>
              <w:jc w:val="left"/>
            </w:pPr>
            <w:r>
              <w:rPr/>
              <w:t xml:space="preserve">7,9</w:t>
            </w:r>
          </w:p>
        </w:tc>
        <w:tc>
          <w:tcPr>
            <w:tcBorders>
              <w:bottom w:val="single" w:sz="8" w:space="0" w:color="000000"/>
              <w:right w:val="single" w:sz="8" w:space="0" w:color="000000"/>
            </w:tcBorders>
            <w:vAlign w:val="center"/>
          </w:tcPr>
          <w:p>
            <w:pPr>
              <w:spacing w:lineRule="auto"/>
              <w:jc w:val="left"/>
            </w:pPr>
            <w:r>
              <w:rPr/>
              <w:t xml:space="preserve">8,8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1250</w:t>
            </w:r>
          </w:p>
        </w:tc>
        <w:tc>
          <w:tcPr>
            <w:tcBorders>
              <w:bottom w:val="single" w:sz="8" w:space="0" w:color="000000"/>
              <w:right w:val="single" w:sz="8" w:space="0" w:color="000000"/>
            </w:tcBorders>
            <w:vAlign w:val="center"/>
          </w:tcPr>
          <w:p>
            <w:pPr>
              <w:spacing w:lineRule="auto"/>
              <w:jc w:val="left"/>
            </w:pPr>
            <w:r>
              <w:rPr/>
              <w:t xml:space="preserve">1,4</w:t>
            </w:r>
          </w:p>
        </w:tc>
        <w:tc>
          <w:tcPr>
            <w:tcBorders>
              <w:bottom w:val="single" w:sz="8" w:space="0" w:color="000000"/>
              <w:right w:val="single" w:sz="8" w:space="0" w:color="000000"/>
            </w:tcBorders>
            <w:vAlign w:val="center"/>
          </w:tcPr>
          <w:p>
            <w:pPr>
              <w:spacing w:lineRule="auto"/>
              <w:jc w:val="left"/>
            </w:pPr>
            <w:r>
              <w:rPr/>
              <w:t xml:space="preserve">2,8</w:t>
            </w:r>
          </w:p>
        </w:tc>
        <w:tc>
          <w:tcPr>
            <w:tcBorders>
              <w:bottom w:val="single" w:sz="8" w:space="0" w:color="000000"/>
              <w:right w:val="single" w:sz="8" w:space="0" w:color="000000"/>
            </w:tcBorders>
            <w:vAlign w:val="center"/>
          </w:tcPr>
          <w:p>
            <w:pPr>
              <w:spacing w:lineRule="auto"/>
              <w:jc w:val="left"/>
            </w:pPr>
            <w:r>
              <w:rPr/>
              <w:t xml:space="preserve">3,4</w:t>
            </w:r>
          </w:p>
        </w:tc>
        <w:tc>
          <w:tcPr>
            <w:tcBorders>
              <w:bottom w:val="single" w:sz="8" w:space="0" w:color="000000"/>
              <w:right w:val="single" w:sz="8" w:space="0" w:color="000000"/>
            </w:tcBorders>
            <w:vAlign w:val="center"/>
          </w:tcPr>
          <w:p>
            <w:pPr>
              <w:spacing w:lineRule="auto"/>
              <w:jc w:val="left"/>
            </w:pPr>
            <w:r>
              <w:rPr/>
              <w:t xml:space="preserve">4,1</w:t>
            </w:r>
          </w:p>
        </w:tc>
        <w:tc>
          <w:tcPr>
            <w:tcBorders>
              <w:bottom w:val="single" w:sz="8" w:space="0" w:color="000000"/>
              <w:right w:val="single" w:sz="8" w:space="0" w:color="000000"/>
            </w:tcBorders>
            <w:vAlign w:val="center"/>
          </w:tcPr>
          <w:p>
            <w:pPr>
              <w:spacing w:lineRule="auto"/>
              <w:jc w:val="left"/>
            </w:pPr>
            <w:r>
              <w:rPr/>
              <w:t xml:space="preserve">5,5</w:t>
            </w:r>
          </w:p>
        </w:tc>
        <w:tc>
          <w:tcPr>
            <w:tcBorders>
              <w:bottom w:val="single" w:sz="8" w:space="0" w:color="000000"/>
              <w:right w:val="single" w:sz="8" w:space="0" w:color="000000"/>
            </w:tcBorders>
            <w:vAlign w:val="center"/>
          </w:tcPr>
          <w:p>
            <w:pPr>
              <w:spacing w:lineRule="auto"/>
              <w:jc w:val="left"/>
            </w:pPr>
            <w:r>
              <w:rPr/>
              <w:t xml:space="preserve">6,9</w:t>
            </w:r>
          </w:p>
        </w:tc>
        <w:tc>
          <w:tcPr>
            <w:tcBorders>
              <w:bottom w:val="single" w:sz="8" w:space="0" w:color="000000"/>
              <w:right w:val="single" w:sz="8" w:space="0" w:color="000000"/>
            </w:tcBorders>
            <w:vAlign w:val="center"/>
          </w:tcPr>
          <w:p>
            <w:pPr>
              <w:spacing w:lineRule="auto"/>
              <w:jc w:val="left"/>
            </w:pPr>
            <w:r>
              <w:rPr/>
              <w:t xml:space="preserve">8,3</w:t>
            </w:r>
          </w:p>
        </w:tc>
        <w:tc>
          <w:tcPr>
            <w:tcBorders>
              <w:bottom w:val="single" w:sz="8" w:space="0" w:color="000000"/>
              <w:right w:val="single" w:sz="8" w:space="0" w:color="000000"/>
            </w:tcBorders>
            <w:vAlign w:val="center"/>
          </w:tcPr>
          <w:p>
            <w:pPr>
              <w:spacing w:lineRule="auto"/>
              <w:jc w:val="left"/>
            </w:pPr>
            <w:r>
              <w:rPr/>
              <w:t xml:space="preserve">9,6</w:t>
            </w:r>
          </w:p>
        </w:tc>
        <w:tc>
          <w:tcPr>
            <w:tcBorders>
              <w:bottom w:val="single" w:sz="8" w:space="0" w:color="000000"/>
              <w:right w:val="single" w:sz="8" w:space="0" w:color="000000"/>
            </w:tcBorders>
            <w:vAlign w:val="center"/>
          </w:tcPr>
          <w:p>
            <w:pPr>
              <w:spacing w:lineRule="auto"/>
              <w:jc w:val="left"/>
            </w:pPr>
            <w:r>
              <w:rPr/>
              <w:t xml:space="preserve">11,0</w:t>
            </w:r>
          </w:p>
        </w:tc>
        <w:tc>
          <w:tcPr>
            <w:tcBorders>
              <w:bottom w:val="single" w:sz="8" w:space="0" w:color="000000"/>
              <w:right w:val="single" w:sz="8" w:space="0" w:color="000000"/>
            </w:tcBorders>
            <w:vAlign w:val="center"/>
          </w:tcPr>
          <w:p>
            <w:pPr>
              <w:spacing w:lineRule="auto"/>
              <w:jc w:val="left"/>
            </w:pPr>
            <w:r>
              <w:rPr/>
              <w:t xml:space="preserve">12,4</w:t>
            </w:r>
          </w:p>
        </w:tc>
        <w:tc>
          <w:tcPr>
            <w:tcBorders>
              <w:bottom w:val="single" w:sz="8" w:space="0" w:color="000000"/>
              <w:right w:val="single" w:sz="8" w:space="0" w:color="000000"/>
            </w:tcBorders>
            <w:vAlign w:val="center"/>
          </w:tcPr>
          <w:p>
            <w:pPr>
              <w:spacing w:lineRule="auto"/>
              <w:jc w:val="left"/>
            </w:pPr>
            <w:r>
              <w:rPr/>
              <w:t xml:space="preserve">13,8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1500</w:t>
            </w:r>
          </w:p>
        </w:tc>
        <w:tc>
          <w:tcPr>
            <w:tcBorders>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pPr>
              <w:spacing w:lineRule="auto"/>
              <w:jc w:val="left"/>
            </w:pPr>
            <w:r>
              <w:rPr/>
              <w:t xml:space="preserve">4,0</w:t>
            </w:r>
          </w:p>
        </w:tc>
        <w:tc>
          <w:tcPr>
            <w:tcBorders>
              <w:bottom w:val="single" w:sz="8" w:space="0" w:color="000000"/>
              <w:right w:val="single" w:sz="8" w:space="0" w:color="000000"/>
            </w:tcBorders>
            <w:vAlign w:val="center"/>
          </w:tcPr>
          <w:p>
            <w:pPr>
              <w:spacing w:lineRule="auto"/>
              <w:jc w:val="left"/>
            </w:pPr>
            <w:r>
              <w:rPr/>
              <w:t xml:space="preserve">5,0</w:t>
            </w:r>
          </w:p>
        </w:tc>
        <w:tc>
          <w:tcPr>
            <w:tcBorders>
              <w:bottom w:val="single" w:sz="8" w:space="0" w:color="000000"/>
              <w:right w:val="single" w:sz="8" w:space="0" w:color="000000"/>
            </w:tcBorders>
            <w:vAlign w:val="center"/>
          </w:tcPr>
          <w:p>
            <w:pPr>
              <w:spacing w:lineRule="auto"/>
              <w:jc w:val="left"/>
            </w:pPr>
            <w:r>
              <w:rPr/>
              <w:t xml:space="preserve">5,9</w:t>
            </w:r>
          </w:p>
        </w:tc>
        <w:tc>
          <w:tcPr>
            <w:tcBorders>
              <w:bottom w:val="single" w:sz="8" w:space="0" w:color="000000"/>
              <w:right w:val="single" w:sz="8" w:space="0" w:color="000000"/>
            </w:tcBorders>
            <w:vAlign w:val="center"/>
          </w:tcPr>
          <w:p>
            <w:pPr>
              <w:spacing w:lineRule="auto"/>
              <w:jc w:val="left"/>
            </w:pPr>
            <w:r>
              <w:rPr/>
              <w:t xml:space="preserve">7,9</w:t>
            </w:r>
          </w:p>
        </w:tc>
        <w:tc>
          <w:tcPr>
            <w:tcBorders>
              <w:bottom w:val="single" w:sz="8" w:space="0" w:color="000000"/>
              <w:right w:val="single" w:sz="8" w:space="0" w:color="000000"/>
            </w:tcBorders>
            <w:vAlign w:val="center"/>
          </w:tcPr>
          <w:p>
            <w:pPr>
              <w:spacing w:lineRule="auto"/>
              <w:jc w:val="left"/>
            </w:pPr>
            <w:r>
              <w:rPr/>
              <w:t xml:space="preserve">9,9</w:t>
            </w:r>
          </w:p>
        </w:tc>
        <w:tc>
          <w:tcPr>
            <w:tcBorders>
              <w:bottom w:val="single" w:sz="8" w:space="0" w:color="000000"/>
              <w:right w:val="single" w:sz="8" w:space="0" w:color="000000"/>
            </w:tcBorders>
            <w:vAlign w:val="center"/>
          </w:tcPr>
          <w:p>
            <w:pPr>
              <w:spacing w:lineRule="auto"/>
              <w:jc w:val="left"/>
            </w:pPr>
            <w:r>
              <w:rPr/>
              <w:t xml:space="preserve">11,9</w:t>
            </w:r>
          </w:p>
        </w:tc>
        <w:tc>
          <w:tcPr>
            <w:tcBorders>
              <w:bottom w:val="single" w:sz="8" w:space="0" w:color="000000"/>
              <w:right w:val="single" w:sz="8" w:space="0" w:color="000000"/>
            </w:tcBorders>
            <w:vAlign w:val="center"/>
          </w:tcPr>
          <w:p>
            <w:pPr>
              <w:spacing w:lineRule="auto"/>
              <w:jc w:val="left"/>
            </w:pPr>
            <w:r>
              <w:rPr/>
              <w:t xml:space="preserve">13,9</w:t>
            </w:r>
          </w:p>
        </w:tc>
        <w:tc>
          <w:tcPr>
            <w:tcBorders>
              <w:bottom w:val="single" w:sz="8" w:space="0" w:color="000000"/>
              <w:right w:val="single" w:sz="8" w:space="0" w:color="000000"/>
            </w:tcBorders>
            <w:vAlign w:val="center"/>
          </w:tcPr>
          <w:p>
            <w:pPr>
              <w:spacing w:lineRule="auto"/>
              <w:jc w:val="left"/>
            </w:pPr>
            <w:r>
              <w:rPr/>
              <w:t xml:space="preserve">15,8</w:t>
            </w:r>
          </w:p>
        </w:tc>
        <w:tc>
          <w:tcPr>
            <w:tcBorders>
              <w:bottom w:val="single" w:sz="8" w:space="0" w:color="000000"/>
              <w:right w:val="single" w:sz="8" w:space="0" w:color="000000"/>
            </w:tcBorders>
            <w:vAlign w:val="center"/>
          </w:tcPr>
          <w:p>
            <w:pPr>
              <w:spacing w:lineRule="auto"/>
              <w:jc w:val="left"/>
            </w:pPr>
            <w:r>
              <w:rPr/>
              <w:t xml:space="preserve">17,8</w:t>
            </w:r>
          </w:p>
        </w:tc>
        <w:tc>
          <w:tcPr>
            <w:tcBorders>
              <w:bottom w:val="single" w:sz="8" w:space="0" w:color="000000"/>
              <w:right w:val="single" w:sz="8" w:space="0" w:color="000000"/>
            </w:tcBorders>
            <w:vAlign w:val="center"/>
          </w:tcPr>
          <w:p>
            <w:pPr>
              <w:spacing w:lineRule="auto"/>
              <w:jc w:val="left"/>
            </w:pPr>
            <w:r>
              <w:rPr/>
              <w:t xml:space="preserve">19,8</w:t>
            </w:r>
          </w:p>
        </w:tc>
      </w:tr>
    </w:tbl>
    <w:p>
      <w:pPr>
        <w:spacing w:lineRule="auto"/>
      </w:pPr>
    </w:p>
    <w:p>
      <w:pPr>
        <w:spacing w:lineRule="auto"/>
      </w:pPr>
      <w:r>
        <w:rPr>
          <w:rFonts w:eastAsia="Georgia" w:cs="Georgia" w:ascii="Georgia" w:hAnsi="Georgia"/>
        </w:rPr>
        <w:t xml:space="preserve">Tableau 2 Pertes de charge (en bar) en fonction du débit </w:t>
      </w:r>
      <m:oMath>
        <m:r>
          <m:rPr>
            <m:sty m:val="i"/>
          </m:rPr>
          <m:t>Q</m:t>
        </m:r>
      </m:oMath>
      <w:r>
        <w:rPr/>
        <w:t xml:space="preserve"> et de la longueur </w:t>
      </w:r>
      <m:oMath>
        <m:r>
          <m:rPr>
            <m:sty m:val="i"/>
          </m:rPr>
          <m:t>L</m:t>
        </m:r>
      </m:oMath>
      <w:r>
        <w:rPr>
          <w:rFonts w:eastAsia="Georgia" w:cs="Georgia" w:ascii="Georgia" w:hAnsi="Georgia"/>
        </w:rPr>
        <w:t xml:space="preserve"> pour un tuyau de diamètre </w:t>
      </w:r>
      <m:oMath>
        <m:r>
          <m:rPr>
            <m:sty m:val="i"/>
          </m:rPr>
          <m:t>d</m:t>
        </m:r>
        <m:r>
          <m:rPr>
            <m:sty m:val="p"/>
          </m:rPr>
          <m:t>=</m:t>
        </m:r>
        <m:r>
          <m:rPr>
            <m:sty m:val="p"/>
          </m:rPr>
          <m:t>70</m:t>
        </m:r>
        <m:r>
          <m:rPr>
            <m:nor/>
          </m:rPr>
          <m:t xml:space="preserve"> </m:t>
        </m:r>
        <m:r>
          <m:rPr>
            <m:sty m:val="p"/>
          </m:rPr>
          <m:t>mm</m:t>
        </m:r>
      </m:oMath>
    </w:p>
    <w:p>
      <w:pPr>
        <w:spacing w:after="220" w:lineRule="auto"/>
      </w:pPr>
      <w:r>
        <w:rPr>
          <w:rFonts w:eastAsia="Georgia" w:cs="Georgia" w:ascii="Georgia" w:hAnsi="Georgia"/>
        </w:rPr>
        <w:t xml:space="preserve">Q 43. D'après le tableau 2, le facteur </w:t>
      </w:r>
      <m:oMath>
        <m:r>
          <m:rPr>
            <m:sty m:val="i"/>
          </m:rPr>
          <m:t>f</m:t>
        </m:r>
      </m:oMath>
      <w:r>
        <w:rPr>
          <w:rFonts w:eastAsia="Georgia" w:cs="Georgia" w:ascii="Georgia" w:hAnsi="Georgia"/>
        </w:rPr>
        <w:t xml:space="preserve"> de la relation de Darcy dépend-il de la longueur du tuyau pour un débit de </w:t>
      </w:r>
      <m:oMath>
        <m:r>
          <m:rPr>
            <m:sty m:val="p"/>
          </m:rPr>
          <m:t>500</m:t>
        </m:r>
        <m:r>
          <m:rPr>
            <m:nor/>
          </m:rPr>
          <m:t xml:space="preserve"> </m:t>
        </m:r>
        <m:r>
          <m:rPr>
            <m:sty m:val="p"/>
          </m:rPr>
          <m:t>L</m:t>
        </m:r>
        <m:r>
          <m:rPr>
            <m:sty m:val="p"/>
          </m:rPr>
          <m:t>⋅</m:t>
        </m:r>
        <m:limUpp>
          <m:limUppPr/>
          <m:e>
            <m:r>
              <m:rPr>
                <m:sty m:val="p"/>
              </m:rPr>
              <m:t>min</m:t>
            </m:r>
          </m:e>
          <m:lim>
            <m:r>
              <m:rPr>
                <m:sty m:val="p"/>
              </m:rPr>
              <m:t>−</m:t>
            </m:r>
            <m:r>
              <m:rPr>
                <m:sty m:val="p"/>
              </m:rPr>
              <m:t>1</m:t>
            </m:r>
          </m:lim>
        </m:limUpp>
        <m:r>
          <m:rPr>
            <m:sty m:val="p"/>
          </m:rPr>
          <m:t xml:space="preserve"> </m:t>
        </m:r>
      </m:oMath>
      <w:r>
        <w:rPr/>
        <w:t xml:space="preserve"> ?</w:t>
      </w:r>
      <w:r>
        <w:rPr/>
        <w:br w:type="textWrapping"/>
      </w:r>
      <w:r>
        <w:rPr>
          <w:rFonts w:eastAsia="Georgia" w:cs="Georgia" w:ascii="Georgia" w:hAnsi="Georgia"/>
        </w:rPr>
        <w:t xml:space="preserve">Q 44. Exploiter la formule de Colebrook afin de calculer la rugosité relative, </w:t>
      </w:r>
      <m:oMath>
        <m:r>
          <m:rPr>
            <m:sty m:val="i"/>
          </m:rPr>
          <m:t>ε</m:t>
        </m:r>
        <m:r>
          <m:rPr>
            <m:sty m:val="p"/>
          </m:rPr>
          <m:t>/</m:t>
        </m:r>
        <m:r>
          <m:rPr>
            <m:sty m:val="i"/>
          </m:rPr>
          <m:t>d</m:t>
        </m:r>
      </m:oMath>
      <w:r>
        <w:rPr/>
        <w:t xml:space="preserve">, d'un tuyau de 70 mm pour un nombre de Reynolds de </w:t>
      </w:r>
      <m:oMath>
        <m:r>
          <m:rPr>
            <m:sty m:val="p"/>
          </m:rPr>
          <m:t>5</m:t>
        </m:r>
        <m:r>
          <m:rPr>
            <m:sty m:val="p"/>
          </m:rPr>
          <m:t>×</m:t>
        </m:r>
        <m:sSup>
          <m:sSupPr/>
          <m:e>
            <m:r>
              <m:rPr>
                <m:sty m:val="p"/>
              </m:rPr>
              <m:t>10</m:t>
            </m:r>
          </m:e>
          <m:sup>
            <m:r>
              <m:rPr>
                <m:sty m:val="p"/>
              </m:rPr>
              <m:t>5</m:t>
            </m:r>
          </m:sup>
        </m:sSup>
      </m:oMath>
      <w:r>
        <w:rPr/>
        <w:t xml:space="preserve">. Commenter.</w:t>
      </w:r>
      <w:r>
        <w:rPr/>
        <w:br w:type="textWrapping"/>
      </w:r>
      <w:r>
        <w:rPr>
          <w:rFonts w:eastAsia="Georgia" w:cs="Georgia" w:ascii="Georgia" w:hAnsi="Georgia"/>
        </w:rPr>
        <w:t xml:space="preserve">Q 45. Quelle doit être la différence de pression </w:t>
      </w:r>
      <m:oMath>
        <m:r>
          <m:rPr>
            <m:sty m:val="p"/>
          </m:rPr>
          <m:t>Δ</m:t>
        </m:r>
        <m:r>
          <m:rPr>
            <m:sty m:val="i"/>
          </m:rPr>
          <m:t>P</m:t>
        </m:r>
      </m:oMath>
      <w:r>
        <w:rPr/>
        <w:t xml:space="preserve"> si le tuyau qui alimente la lance en haut de la nacelle a une longueur totale de 200 m ? Peut-il y avoir d'autres causes de perte de charge ?</w:t>
      </w:r>
      <w:r>
        <w:rPr/>
        <w:br w:type="textWrapping"/>
      </w:r>
      <w:r>
        <w:rPr>
          <w:rFonts w:eastAsia="Georgia" w:cs="Georgia" w:ascii="Georgia" w:hAnsi="Georgia"/>
        </w:rPr>
        <w:t xml:space="preserve">Q 46. En s'aidant d'un bilan de puissance, déterminer la puissance électrique minimale à fournir à la pompe pour obtenir une pression à la lance </w:t>
      </w:r>
      <m:oMath>
        <m:sSub>
          <m:sSubPr/>
          <m:e>
            <m:r>
              <m:rPr>
                <m:sty m:val="i"/>
              </m:rPr>
              <m:t>P</m:t>
            </m:r>
          </m:e>
          <m:sub>
            <m:r>
              <m:rPr>
                <m:sty m:val="i"/>
              </m:rPr>
              <m:t>l</m:t>
            </m:r>
          </m:sub>
        </m:sSub>
        <m:r>
          <m:rPr>
            <m:sty m:val="p"/>
          </m:rPr>
          <m:t>=</m:t>
        </m:r>
        <m:r>
          <m:rPr>
            <m:sty m:val="p"/>
          </m:rPr>
          <m:t>6</m:t>
        </m:r>
      </m:oMath>
      <w:r>
        <w:rPr>
          <w:rFonts w:eastAsia="Georgia" w:cs="Georgia" w:ascii="Georgia" w:hAnsi="Georgia"/>
        </w:rPr>
        <w:t xml:space="preserve"> bar et un débit de </w:t>
      </w:r>
      <m:oMath>
        <m:r>
          <m:rPr>
            <m:sty m:val="p"/>
          </m:rPr>
          <m:t>500</m:t>
        </m:r>
        <m:r>
          <m:rPr>
            <m:nor/>
          </m:rPr>
          <m:t xml:space="preserve"> </m:t>
        </m:r>
        <m:r>
          <m:rPr>
            <m:sty m:val="p"/>
          </m:rPr>
          <m:t>L</m:t>
        </m:r>
        <m:r>
          <m:rPr>
            <m:sty m:val="p"/>
          </m:rPr>
          <m:t>⋅</m:t>
        </m:r>
        <m:sSup>
          <m:sSupPr/>
          <m:e>
            <m:r>
              <m:rPr>
                <m:nor/>
              </m:rPr>
              <m:t xml:space="preserve"> </m:t>
            </m:r>
            <m:r>
              <m:rPr>
                <m:sty m:val="p"/>
              </m:rPr>
              <m:t>min</m:t>
            </m:r>
          </m:e>
          <m:sup>
            <m:r>
              <m:rPr>
                <m:sty m:val="p"/>
              </m:rPr>
              <m:t>−</m:t>
            </m:r>
            <m:r>
              <m:rPr>
                <m:sty m:val="p"/>
              </m:rPr>
              <m:t>1</m:t>
            </m:r>
          </m:sup>
        </m:sSup>
      </m:oMath>
      <w:r>
        <w:rPr>
          <w:rFonts w:eastAsia="Georgia" w:cs="Georgia" w:ascii="Georgia" w:hAnsi="Georgia"/>
        </w:rPr>
        <w:t xml:space="preserve"> dans les conditions décrites plus haut (hauteur de la nacelle 30 m , longueur du tuyau 200 m ). On supposera que la pression d'alimentation de la pompe est de 1 bar (en réalité elle peut aller jusqu'à 16 bar pour les bouches d'incendie).</w:t>
      </w:r>
      <w:r>
        <w:rPr/>
        <w:br w:type="textWrapping"/>
      </w:r>
      <w:r>
        <w:rPr>
          <w:rFonts w:eastAsia="Georgia" w:cs="Georgia" w:ascii="Georgia" w:hAnsi="Georgia"/>
        </w:rPr>
        <w:t xml:space="preserve">Q 47. L'incendie a duré 15 heures et a mobilisé plus de 500 pompiers, appuyés par 18 lances supposées toutes identiques et de même débit </w:t>
      </w:r>
      <m:oMath>
        <m:r>
          <m:rPr>
            <m:sty m:val="p"/>
          </m:rPr>
          <m:t>500</m:t>
        </m:r>
        <m:r>
          <m:rPr>
            <m:nor/>
          </m:rPr>
          <m:t xml:space="preserve"> </m:t>
        </m:r>
        <m:r>
          <m:rPr>
            <m:sty m:val="p"/>
          </m:rPr>
          <m:t>L</m:t>
        </m:r>
        <m:r>
          <m:rPr>
            <m:sty m:val="p"/>
          </m:rPr>
          <m:t>⋅</m:t>
        </m:r>
        <m:sSup>
          <m:sSupPr/>
          <m:e>
            <m:r>
              <m:rPr>
                <m:nor/>
              </m:rPr>
              <m:t xml:space="preserve"> </m:t>
            </m:r>
            <m:r>
              <m:rPr>
                <m:sty m:val="p"/>
              </m:rPr>
              <m:t>min</m:t>
            </m:r>
          </m:e>
          <m:sup>
            <m:r>
              <m:rPr>
                <m:sty m:val="p"/>
              </m:rPr>
              <m:t>−</m:t>
            </m:r>
            <m:r>
              <m:rPr>
                <m:sty m:val="p"/>
              </m:rPr>
              <m:t>1</m:t>
            </m:r>
          </m:sup>
        </m:sSup>
      </m:oMath>
      <w:r>
        <w:rPr>
          <w:rFonts w:eastAsia="Georgia" w:cs="Georgia" w:ascii="Georgia" w:hAnsi="Georgia"/>
        </w:rPr>
        <w:t xml:space="preserve">. Toutes les lances n'ont pas été en action pendant cette durée. En admettant que les lances ont été utilisées à leur maximum pendant 2 heures, quelle quantité d'eau a été déversée sur Notre-Dame?</w:t>
      </w:r>
    </w:p>
    <w:p>
      <w:pPr>
        <w:spacing w:line="271" w:before="330" w:lineRule="auto"/>
      </w:pPr>
      <w:r>
        <w:rPr>
          <w:rFonts w:eastAsia="Georgia" w:cs="Georgia" w:ascii="Georgia" w:hAnsi="Georgia"/>
          <w:b/>
          <w:sz w:val="42"/>
        </w:rPr>
        <w:t xml:space="preserve">Données</w:t>
      </w:r>
    </w:p>
    <w:p>
      <w:pPr>
        <w:spacing w:line="271" w:before="330" w:lineRule="auto"/>
      </w:pPr>
      <w:r>
        <w:rPr>
          <w:rFonts w:eastAsia="Georgia" w:cs="Georgia" w:ascii="Georgia" w:hAnsi="Georgia"/>
          <w:b/>
          <w:sz w:val="42"/>
        </w:rPr>
        <w:t xml:space="preserve">Constantes et conversions de quelques unités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Constante des gaz parfaits</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Constante d'Avogadro</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N</m:t>
                    </m:r>
                  </m:e>
                  <m:sub>
                    <m:r>
                      <m:rPr>
                        <m:sty m:val="i"/>
                      </m:rPr>
                      <m:t>A</m:t>
                    </m:r>
                  </m:sub>
                </m:sSub>
                <m:r>
                  <m:rPr>
                    <m:sty m:val="p"/>
                  </m:rPr>
                  <m:t>=</m:t>
                </m:r>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Constante de Planck</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h</m:t>
                </m:r>
                <m:r>
                  <m:rPr>
                    <m:sty m:val="p"/>
                  </m:rPr>
                  <m:t>=</m:t>
                </m:r>
                <m:r>
                  <m:rPr>
                    <m:sty m:val="p"/>
                  </m:rPr>
                  <m:t>6</m:t>
                </m:r>
                <m:r>
                  <m:rPr>
                    <m:sty m:val="p"/>
                  </m:rPr>
                  <m:t>,</m:t>
                </m:r>
                <m:r>
                  <m:rPr>
                    <m:sty m:val="p"/>
                  </m:rPr>
                  <m:t>63</m:t>
                </m:r>
                <m:r>
                  <m:rPr>
                    <m:sty m:val="p"/>
                  </m:rPr>
                  <m:t>×</m:t>
                </m:r>
                <m:sSup>
                  <m:sSupPr/>
                  <m:e>
                    <m:r>
                      <m:rPr>
                        <m:sty m:val="p"/>
                      </m:rPr>
                      <m:t>10</m:t>
                    </m:r>
                  </m:e>
                  <m:sup>
                    <m:r>
                      <m:rPr>
                        <m:sty m:val="p"/>
                      </m:rPr>
                      <m:t>−</m:t>
                    </m:r>
                    <m:r>
                      <m:rPr>
                        <m:sty m:val="p"/>
                      </m:rPr>
                      <m:t>34</m:t>
                    </m:r>
                  </m:sup>
                </m:sSup>
                <m:r>
                  <m:rPr>
                    <m:nor/>
                  </m:rPr>
                  <m:t xml:space="preserve"> </m:t>
                </m:r>
                <m:r>
                  <m:rPr>
                    <m:sty m:val="p"/>
                  </m:rPr>
                  <m:t>J</m:t>
                </m:r>
                <m:r>
                  <m:rPr>
                    <m:sty m:val="p"/>
                  </m:rPr>
                  <m:t>⋅</m:t>
                </m:r>
                <m:r>
                  <m:rPr>
                    <m:nor/>
                  </m:rPr>
                  <m:t xml:space="preserve"> </m:t>
                </m:r>
                <m:r>
                  <m:rPr>
                    <m:sty m:val="p"/>
                  </m:rPr>
                  <m:t>s</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Charge élémentaire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e</m:t>
                </m:r>
                <m:r>
                  <m:rPr>
                    <m:sty m:val="p"/>
                  </m:rPr>
                  <m:t>=</m:t>
                </m:r>
                <m:r>
                  <m:rPr>
                    <m:sty m:val="p"/>
                  </m:rPr>
                  <m:t>1</m:t>
                </m:r>
                <m:r>
                  <m:rPr>
                    <m:sty m:val="p"/>
                  </m:rPr>
                  <m:t>,</m:t>
                </m:r>
                <m:r>
                  <m:rPr>
                    <m:sty m:val="p"/>
                  </m:rPr>
                  <m:t>60</m:t>
                </m:r>
                <m:r>
                  <m:rPr>
                    <m:sty m:val="p"/>
                  </m:rPr>
                  <m:t>×</m:t>
                </m:r>
                <m:sSup>
                  <m:sSupPr/>
                  <m:e>
                    <m:r>
                      <m:rPr>
                        <m:sty m:val="p"/>
                      </m:rPr>
                      <m:t>10</m:t>
                    </m:r>
                  </m:e>
                  <m:sup>
                    <m:r>
                      <m:rPr>
                        <m:sty m:val="p"/>
                      </m:rPr>
                      <m:t>−</m:t>
                    </m:r>
                    <m:r>
                      <m:rPr>
                        <m:sty m:val="p"/>
                      </m:rPr>
                      <m:t>19</m:t>
                    </m:r>
                  </m:sup>
                </m:sSup>
                <m:r>
                  <m:rPr>
                    <m:sty m:val="p"/>
                  </m:rPr>
                  <m:t>C</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Accélération normale de la pesanteur terrestre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g</m:t>
                </m:r>
                <m:r>
                  <m:rPr>
                    <m:sty m:val="p"/>
                  </m:rPr>
                  <m:t>=</m:t>
                </m:r>
                <m:r>
                  <m:rPr>
                    <m:sty m:val="p"/>
                  </m:rPr>
                  <m:t>9</m:t>
                </m:r>
                <m:r>
                  <m:rPr>
                    <m:sty m:val="p"/>
                  </m:rPr>
                  <m:t>,</m:t>
                </m:r>
                <m:r>
                  <m:rPr>
                    <m:sty m:val="p"/>
                  </m:rPr>
                  <m:t>81</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Le faraday</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m:t>
                </m:r>
                <m:r>
                  <m:rPr>
                    <m:nor/>
                  </m:rPr>
                  <m:t xml:space="preserve"> </m:t>
                </m:r>
                <m:r>
                  <m:rPr>
                    <m:sty m:val="p"/>
                  </m:rPr>
                  <m:t>F</m:t>
                </m:r>
                <m:r>
                  <m:rPr>
                    <m:sty m:val="p"/>
                  </m:rPr>
                  <m:t>=</m:t>
                </m:r>
                <m:r>
                  <m:rPr>
                    <m:sty m:val="p"/>
                  </m:rPr>
                  <m:t>9</m:t>
                </m:r>
                <m:r>
                  <m:rPr>
                    <m:sty m:val="p"/>
                  </m:rPr>
                  <m:t>,</m:t>
                </m:r>
                <m:r>
                  <m:rPr>
                    <m:sty m:val="p"/>
                  </m:rPr>
                  <m:t>65</m:t>
                </m:r>
                <m:r>
                  <m:rPr>
                    <m:sty m:val="p"/>
                  </m:rPr>
                  <m:t>×</m:t>
                </m:r>
                <m:sSup>
                  <m:sSupPr/>
                  <m:e>
                    <m:r>
                      <m:rPr>
                        <m:sty m:val="p"/>
                      </m:rPr>
                      <m:t>10</m:t>
                    </m:r>
                  </m:e>
                  <m:sup>
                    <m:r>
                      <m:rPr>
                        <m:sty m:val="p"/>
                      </m:rPr>
                      <m:t>4</m:t>
                    </m:r>
                  </m:sup>
                </m:sSup>
                <m:r>
                  <m:rPr>
                    <m:sty m:val="p"/>
                  </m:rPr>
                  <m:t>C</m:t>
                </m:r>
                <m:r>
                  <m:rPr>
                    <m:sty m:val="p"/>
                  </m:rPr>
                  <m:t>⋅</m:t>
                </m:r>
                <m:sSup>
                  <m:sSupPr/>
                  <m:e>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La minute d'arc</w:t>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1</m:t>
                    </m:r>
                  </m:e>
                  <m:sup>
                    <m:r>
                      <m:rPr>
                        <m:sty m:val="i"/>
                      </m:rPr>
                      <m:t>′</m:t>
                    </m:r>
                  </m:sup>
                </m:sSup>
                <m:r>
                  <m:rPr>
                    <m:sty m:val="p"/>
                  </m:rPr>
                  <m:t>=</m:t>
                </m:r>
                <m:r>
                  <m:rPr>
                    <m:sty m:val="p"/>
                  </m:rPr>
                  <m:t>1</m:t>
                </m:r>
                <m:r>
                  <m:rPr>
                    <m:sty m:val="p"/>
                  </m:rPr>
                  <m:t>/</m:t>
                </m:r>
                <m:sSup>
                  <m:sSupPr/>
                  <m:e>
                    <m:r>
                      <m:rPr>
                        <m:sty m:val="p"/>
                      </m:rPr>
                      <m:t>60</m:t>
                    </m:r>
                  </m:e>
                  <m:sup>
                    <m:r>
                      <m:rPr>
                        <m:sty m:val="p"/>
                      </m:rPr>
                      <m:t>∘</m:t>
                    </m:r>
                  </m:sup>
                </m:sSup>
              </m:oMath>
            </m:oMathPara>
          </w:p>
        </w:tc>
      </w:tr>
    </w:tbl>
    <w:p>
      <w:pPr>
        <w:spacing w:lineRule="auto"/>
      </w:pPr>
    </w:p>
    <w:p>
      <w:pPr>
        <w:spacing w:line="271" w:before="330" w:lineRule="auto"/>
      </w:pPr>
      <w:r>
        <w:rPr>
          <w:rFonts w:eastAsia="Georgia" w:cs="Georgia" w:ascii="Georgia" w:hAnsi="Georgia"/>
          <w:b/>
          <w:sz w:val="42"/>
        </w:rPr>
        <w:t xml:space="preserve">Données atomiques</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Élément</w:t>
            </w:r>
          </w:p>
        </w:tc>
        <w:tc>
          <w:tcPr>
            <w:tcBorders>
              <w:top w:val="single" w:sz="8" w:space="0" w:color="000000"/>
              <w:bottom w:val="single" w:sz="8" w:space="0" w:color="000000"/>
              <w:right w:val="single" w:sz="8" w:space="0" w:color="000000"/>
            </w:tcBorders>
            <w:vAlign w:val="center"/>
          </w:tcPr>
          <w:p>
            <w:pPr>
              <w:spacing w:lineRule="auto"/>
              <w:jc w:val="center"/>
            </w:pPr>
            <w:r>
              <w:rPr/>
              <w:t xml:space="preserve">H</w:t>
            </w:r>
          </w:p>
        </w:tc>
        <w:tc>
          <w:tcPr>
            <w:tcBorders>
              <w:top w:val="single" w:sz="8" w:space="0" w:color="000000"/>
              <w:bottom w:val="single" w:sz="8" w:space="0" w:color="000000"/>
              <w:right w:val="single" w:sz="8" w:space="0" w:color="000000"/>
            </w:tcBorders>
            <w:vAlign w:val="center"/>
          </w:tcPr>
          <w:p>
            <w:pPr>
              <w:spacing w:lineRule="auto"/>
              <w:jc w:val="center"/>
            </w:pPr>
            <w:r>
              <w:rPr/>
              <w:t xml:space="preserve">C</w:t>
            </w:r>
          </w:p>
        </w:tc>
        <w:tc>
          <w:tcPr>
            <w:tcBorders>
              <w:top w:val="single" w:sz="8" w:space="0" w:color="000000"/>
              <w:bottom w:val="single" w:sz="8" w:space="0" w:color="000000"/>
              <w:right w:val="single" w:sz="8" w:space="0" w:color="000000"/>
            </w:tcBorders>
            <w:vAlign w:val="center"/>
          </w:tcPr>
          <w:p>
            <w:pPr>
              <w:spacing w:lineRule="auto"/>
              <w:jc w:val="center"/>
            </w:pPr>
            <w:r>
              <w:rPr/>
              <w:t xml:space="preserve">O</w:t>
            </w:r>
          </w:p>
        </w:tc>
        <w:tc>
          <w:tcPr>
            <w:tcBorders>
              <w:top w:val="single" w:sz="8" w:space="0" w:color="000000"/>
              <w:bottom w:val="single" w:sz="8" w:space="0" w:color="000000"/>
              <w:right w:val="single" w:sz="8" w:space="0" w:color="000000"/>
            </w:tcBorders>
            <w:vAlign w:val="center"/>
          </w:tcPr>
          <w:p>
            <w:pPr>
              <w:spacing w:lineRule="auto"/>
              <w:jc w:val="center"/>
            </w:pPr>
            <w:r>
              <w:rPr/>
              <w:t xml:space="preserve">Pb</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Numéro atomique</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6</w:t>
            </w:r>
          </w:p>
        </w:tc>
        <w:tc>
          <w:tcPr>
            <w:tcBorders>
              <w:bottom w:val="single" w:sz="8" w:space="0" w:color="000000"/>
              <w:right w:val="single" w:sz="8" w:space="0" w:color="000000"/>
            </w:tcBorders>
            <w:vAlign w:val="center"/>
          </w:tcPr>
          <w:p>
            <w:pPr>
              <w:spacing w:lineRule="auto"/>
              <w:jc w:val="center"/>
            </w:pPr>
            <w:r>
              <w:rPr/>
              <w:t xml:space="preserve">8</w:t>
            </w:r>
          </w:p>
        </w:tc>
        <w:tc>
          <w:tcPr>
            <w:tcBorders>
              <w:bottom w:val="single" w:sz="8" w:space="0" w:color="000000"/>
              <w:right w:val="single" w:sz="8" w:space="0" w:color="000000"/>
            </w:tcBorders>
            <w:vAlign w:val="center"/>
          </w:tcPr>
          <w:p>
            <w:pPr>
              <w:spacing w:lineRule="auto"/>
              <w:jc w:val="center"/>
            </w:pPr>
            <w:r>
              <w:rPr/>
              <w:t xml:space="preserve">82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molaire </w:t>
            </w:r>
            <m:oMath>
              <m:d>
                <m:dPr>
                  <m:begChr m:val="("/>
                  <m:endChr m:val=")"/>
                  <m:ctrlPr>
                    <w:rPr>
                      <w:rFonts w:ascii="Cambria Math" w:hAnsi="Cambria Math"/>
                    </w:rPr>
                  </m:ctrlPr>
                </m:dPr>
                <m:e>
                  <m:r>
                    <m:rPr>
                      <m:sty m:val="p"/>
                    </m:rPr>
                    <m:t>g</m:t>
                  </m:r>
                  <m:r>
                    <m:rPr>
                      <m:sty m:val="p"/>
                    </m:rPr>
                    <m:t>⋅</m:t>
                  </m:r>
                  <m:sSup>
                    <m:sSupPr/>
                    <m:e>
                      <m:r>
                        <m:rPr>
                          <m:sty m:val="p"/>
                        </m:rPr>
                        <m:t>mol</m:t>
                      </m:r>
                    </m:e>
                    <m:sup>
                      <m:r>
                        <m:rPr>
                          <m:sty m:val="p"/>
                        </m:rPr>
                        <m:t>−</m:t>
                      </m:r>
                      <m:r>
                        <m:rPr>
                          <m:sty m:val="p"/>
                        </m:rPr>
                        <m:t>1</m:t>
                      </m:r>
                    </m:sup>
                  </m:sSup>
                </m:e>
              </m:d>
            </m:oMath>
          </w:p>
        </w:tc>
        <w:tc>
          <w:tcPr>
            <w:tcBorders>
              <w:bottom w:val="single" w:sz="8" w:space="0" w:color="000000"/>
              <w:right w:val="single" w:sz="8" w:space="0" w:color="000000"/>
            </w:tcBorders>
            <w:vAlign w:val="center"/>
          </w:tcPr>
          <w:p>
            <w:pPr>
              <w:spacing w:lineRule="auto"/>
              <w:jc w:val="center"/>
            </w:pPr>
            <w:r>
              <w:rPr/>
              <w:t xml:space="preserve">1,0</w:t>
            </w:r>
          </w:p>
        </w:tc>
        <w:tc>
          <w:tcPr>
            <w:tcBorders>
              <w:bottom w:val="single" w:sz="8" w:space="0" w:color="000000"/>
              <w:right w:val="single" w:sz="8" w:space="0" w:color="000000"/>
            </w:tcBorders>
            <w:vAlign w:val="center"/>
          </w:tcPr>
          <w:p>
            <w:pPr>
              <w:spacing w:lineRule="auto"/>
              <w:jc w:val="center"/>
            </w:pPr>
            <w:r>
              <w:rPr/>
              <w:t xml:space="preserve">12,0</w:t>
            </w:r>
          </w:p>
        </w:tc>
        <w:tc>
          <w:tcPr>
            <w:tcBorders>
              <w:bottom w:val="single" w:sz="8" w:space="0" w:color="000000"/>
              <w:right w:val="single" w:sz="8" w:space="0" w:color="000000"/>
            </w:tcBorders>
            <w:vAlign w:val="center"/>
          </w:tcPr>
          <w:p>
            <w:pPr>
              <w:spacing w:lineRule="auto"/>
              <w:jc w:val="center"/>
            </w:pPr>
            <w:r>
              <w:rPr/>
              <w:t xml:space="preserve">16,0</w:t>
            </w:r>
          </w:p>
        </w:tc>
        <w:tc>
          <w:tcPr>
            <w:tcBorders>
              <w:bottom w:val="single" w:sz="8" w:space="0" w:color="000000"/>
              <w:right w:val="single" w:sz="8" w:space="0" w:color="000000"/>
            </w:tcBorders>
            <w:vAlign w:val="center"/>
          </w:tcPr>
          <w:p>
            <w:pPr>
              <w:spacing w:lineRule="auto"/>
              <w:jc w:val="center"/>
            </w:pPr>
            <w:r>
              <w:rPr/>
              <w:t xml:space="preserve">207,2</w:t>
            </w:r>
          </w:p>
        </w:tc>
      </w:tr>
    </w:tbl>
    <w:p>
      <w:pPr>
        <w:spacing w:lineRule="auto"/>
      </w:pPr>
    </w:p>
    <w:p>
      <w:pPr>
        <w:spacing w:line="271" w:before="330" w:lineRule="auto"/>
      </w:pPr>
      <w:r>
        <w:rPr>
          <w:rFonts w:eastAsia="Georgia" w:cs="Georgia" w:ascii="Georgia" w:hAnsi="Georgia"/>
          <w:b/>
          <w:sz w:val="42"/>
        </w:rPr>
        <w:t xml:space="preserve">Données thermodynamiques et autres caractéristiques</w:t>
      </w:r>
    </w:p>
    <w:p>
      <w:pPr>
        <w:spacing w:after="220" w:lineRule="auto"/>
      </w:pPr>
      <w:r>
        <w:rPr>
          <w:rFonts w:eastAsia="Georgia" w:cs="Georgia" w:ascii="Georgia" w:hAnsi="Georgia"/>
        </w:rPr>
        <w:t xml:space="preserve">Viscosité dynamique de l'eau (supposée indépendante de la température) : </w:t>
      </w:r>
      <m:oMath>
        <m:r>
          <m:rPr>
            <m:sty m:val="i"/>
          </m:rPr>
          <m:t>η</m:t>
        </m:r>
        <m:r>
          <m:rPr>
            <m:sty m:val="p"/>
          </m:rPr>
          <m:t>=</m:t>
        </m:r>
        <m:r>
          <m:rPr>
            <m:sty m:val="p"/>
          </m:rPr>
          <m:t>1</m:t>
        </m:r>
        <m:r>
          <m:rPr>
            <m:sty m:val="p"/>
          </m:rPr>
          <m:t>,</m:t>
        </m:r>
        <m:r>
          <m:rPr>
            <m:sty m:val="p"/>
          </m:rPr>
          <m:t>0</m:t>
        </m:r>
        <m:r>
          <m:rPr>
            <m:sty m:val="p"/>
          </m:rPr>
          <m:t>×</m:t>
        </m:r>
        <m:sSup>
          <m:sSupPr/>
          <m:e>
            <m:r>
              <m:rPr>
                <m:sty m:val="p"/>
              </m:rPr>
              <m:t>10</m:t>
            </m:r>
          </m:e>
          <m:sup>
            <m:r>
              <m:rPr>
                <m:sty m:val="p"/>
              </m:rPr>
              <m:t>−</m:t>
            </m:r>
            <m:r>
              <m:rPr>
                <m:sty m:val="p"/>
              </m:rPr>
              <m:t>3</m:t>
            </m:r>
          </m:sup>
        </m:sSup>
        <m:r>
          <m:rPr>
            <m:nor/>
          </m:rPr>
          <m:t xml:space="preserve"> </m:t>
        </m:r>
        <m:r>
          <m:rPr>
            <m:sty m:val="p"/>
          </m:rPr>
          <m:t>Pa</m:t>
        </m:r>
        <m:r>
          <m:rPr>
            <m:sty m:val="p"/>
          </m:rPr>
          <m:t>⋅</m:t>
        </m:r>
        <m:r>
          <m:rPr>
            <m:nor/>
          </m:rPr>
          <m:t xml:space="preserve"> </m:t>
        </m:r>
        <m:r>
          <m:rPr>
            <m:sty m:val="p"/>
          </m:rPr>
          <m:t>s</m:t>
        </m:r>
      </m:oMath>
      <w:r>
        <w:rPr/>
        <w:t xml:space="preserve">.</w:t>
      </w:r>
      <w:r>
        <w:rPr/>
        <w:br w:type="textWrapping"/>
      </w:r>
      <w:r>
        <w:rPr>
          <w:rFonts w:eastAsia="Georgia" w:cs="Georgia" w:ascii="Georgia" w:hAnsi="Georgia"/>
        </w:rPr>
        <w:t xml:space="preserve">Masses volumiques dans les conditions usuelles de températures et de pression :</w:t>
      </w:r>
    </w:p>
    <w:p>
      <w:pPr>
        <w:spacing w:after="220" w:lineRule="auto"/>
      </w:pPr>
      <m:oMathPara>
        <m:oMath>
          <m:m>
            <m:mPr>
              <m:plcHide m:val="1"/>
              <m:cGpRule m:val="0"/>
              <m:mcs>
                <m:mc>
                  <m:mcPr>
                    <m:count m:val="1"/>
                    <m:mcJc m:val="left"/>
                  </m:mcPr>
                </m:mc>
                <m:mc>
                  <m:mcPr>
                    <m:count m:val="1"/>
                    <m:mcJc m:val="left"/>
                  </m:mcPr>
                </m:mc>
              </m:mcs>
              <m:ctrlPr>
                <w:rPr>
                  <w:rFonts w:ascii="Cambria Math" w:hAnsi="Cambria Math"/>
                  <w:i/>
                </w:rPr>
              </m:ctrlPr>
            </m:mPr>
            <m:mr>
              <m:e>
                <m:r>
                  <m:rPr>
                    <m:nor/>
                  </m:rPr>
                  <m:t> eau liquide </m:t>
                </m:r>
              </m:e>
              <m:e>
                <m:r>
                  <m:rPr>
                    <m:sty m:val="p"/>
                  </m:rPr>
                  <m:t>1</m:t>
                </m:r>
                <m:r>
                  <m:rPr>
                    <m:sty m:val="p"/>
                  </m:rPr>
                  <m:t>,</m:t>
                </m:r>
                <m:r>
                  <m:rPr>
                    <m:sty m:val="p"/>
                  </m:rPr>
                  <m:t>0</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e>
            </m:mr>
            <m:mr>
              <m:e>
                <m:r>
                  <m:rPr>
                    <m:nor/>
                  </m:rPr>
                  <m:t> air </m:t>
                </m:r>
              </m:e>
              <m:e>
                <m:r>
                  <m:rPr>
                    <m:sty m:val="p"/>
                  </m:rPr>
                  <m:t>1</m:t>
                </m:r>
                <m:r>
                  <m:rPr>
                    <m:sty m:val="p"/>
                  </m:rPr>
                  <m:t>,</m:t>
                </m:r>
                <m:r>
                  <m:rPr>
                    <m:sty m:val="p"/>
                  </m:rPr>
                  <m:t>2</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e>
            </m:mr>
          </m:m>
        </m:oMath>
      </m:oMathPara>
    </w:p>
    <w:p>
      <w:pPr>
        <w:spacing w:after="220" w:lineRule="auto"/>
      </w:pPr>
      <w:r>
        <w:rPr>
          <w:rFonts w:eastAsia="Georgia" w:cs="Georgia" w:ascii="Georgia" w:hAnsi="Georgia"/>
        </w:rPr>
        <w:t xml:space="preserve">Capacité thermiques dans les conditions usuelles de températures et de pression (on admet que ces grandeurs ne dépendent pas de la température)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w:r>
              <w:rPr/>
              <w:t xml:space="preserve">eau liquide</w:t>
            </w:r>
          </w:p>
        </w:tc>
        <w:tc>
          <w:tcPr>
            <w:tcBorders/>
            <w:vAlign w:val="center"/>
          </w:tcPr>
          <w:p>
            <w:pPr>
              <w:spacing w:lineRule="auto"/>
              <w:jc w:val="left"/>
            </w:pPr>
            <m:oMathPara>
              <m:oMathParaPr>
                <m:jc m:val="left"/>
              </m:oMathParaPr>
              <m:oMath>
                <m:sSub>
                  <m:sSubPr/>
                  <m:e>
                    <m:r>
                      <m:rPr>
                        <m:sty m:val="i"/>
                      </m:rPr>
                      <m:t>c</m:t>
                    </m:r>
                  </m:e>
                  <m:sub>
                    <m:r>
                      <m:rPr>
                        <m:sty m:val="i"/>
                      </m:rPr>
                      <m:t>P</m:t>
                    </m:r>
                  </m:sub>
                </m:sSub>
                <m:r>
                  <m:rPr>
                    <m:sty m:val="p"/>
                  </m:rPr>
                  <m:t>=</m:t>
                </m:r>
                <m:r>
                  <m:rPr>
                    <m:sty m:val="p"/>
                  </m:rPr>
                  <m:t>4180</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r>
        <w:trPr>
          <w:cantSplit/>
        </w:trPr>
        <w:tc>
          <w:tcPr>
            <w:tcBorders/>
            <w:vAlign w:val="center"/>
          </w:tcPr>
          <w:p>
            <w:pPr>
              <w:spacing w:lineRule="auto"/>
              <w:jc w:val="left"/>
            </w:pPr>
            <w:r>
              <w:rPr/>
              <w:t xml:space="preserve">eau vapeur</w:t>
            </w:r>
          </w:p>
        </w:tc>
        <w:tc>
          <w:tcPr>
            <w:tcBorders/>
            <w:vAlign w:val="center"/>
          </w:tcPr>
          <w:p>
            <w:pPr>
              <w:spacing w:lineRule="auto"/>
              <w:jc w:val="left"/>
            </w:pPr>
            <m:oMathPara>
              <m:oMathParaPr>
                <m:jc m:val="left"/>
              </m:oMathParaPr>
              <m:oMath>
                <m:sSub>
                  <m:sSubPr/>
                  <m:e>
                    <m:r>
                      <m:rPr>
                        <m:sty m:val="i"/>
                      </m:rPr>
                      <m:t>c</m:t>
                    </m:r>
                  </m:e>
                  <m:sub>
                    <m:r>
                      <m:rPr>
                        <m:sty m:val="i"/>
                      </m:rPr>
                      <m:t>P</m:t>
                    </m:r>
                  </m:sub>
                </m:sSub>
                <m:r>
                  <m:rPr>
                    <m:sty m:val="p"/>
                  </m:rPr>
                  <m:t>=</m:t>
                </m:r>
                <m:r>
                  <m:rPr>
                    <m:sty m:val="p"/>
                  </m:rPr>
                  <m:t>1850</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r>
        <w:trPr>
          <w:cantSplit/>
        </w:trPr>
        <w:tc>
          <w:tcPr>
            <w:tcBorders/>
            <w:vAlign w:val="center"/>
          </w:tcPr>
          <w:p>
            <w:pPr>
              <w:spacing w:lineRule="auto"/>
              <w:jc w:val="left"/>
            </w:pPr>
            <w:r>
              <w:rPr/>
              <w:t xml:space="preserve">air sec</w:t>
            </w:r>
          </w:p>
        </w:tc>
        <w:tc>
          <w:tcPr>
            <w:tcBorders/>
            <w:vAlign w:val="center"/>
          </w:tcPr>
          <w:p>
            <w:pPr>
              <w:spacing w:lineRule="auto"/>
              <w:jc w:val="left"/>
            </w:pPr>
            <m:oMathPara>
              <m:oMathParaPr>
                <m:jc m:val="left"/>
              </m:oMathParaPr>
              <m:oMath>
                <m:sSub>
                  <m:sSubPr/>
                  <m:e>
                    <m:r>
                      <m:rPr>
                        <m:sty m:val="i"/>
                      </m:rPr>
                      <m:t>c</m:t>
                    </m:r>
                  </m:e>
                  <m:sub>
                    <m:r>
                      <m:rPr>
                        <m:sty m:val="i"/>
                      </m:rPr>
                      <m:t>P</m:t>
                    </m:r>
                  </m:sub>
                </m:sSub>
                <m:r>
                  <m:rPr>
                    <m:sty m:val="p"/>
                  </m:rPr>
                  <m:t>=</m:t>
                </m:r>
                <m:r>
                  <m:rPr>
                    <m:sty m:val="p"/>
                  </m:rPr>
                  <m:t>1005</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r>
        <w:trPr>
          <w:cantSplit/>
        </w:trPr>
        <w:tc>
          <w:tcPr>
            <w:tcBorders/>
            <w:vAlign w:val="center"/>
          </w:tcPr>
          <w:p>
            <w:pPr>
              <w:spacing w:lineRule="auto"/>
              <w:jc w:val="left"/>
            </w:pPr>
            <w:r>
              <w:rPr>
                <w:rFonts w:eastAsia="Georgia" w:cs="Georgia" w:ascii="Georgia" w:hAnsi="Georgia"/>
              </w:rPr>
              <w:t xml:space="preserve">air saturé en vapeur d'eau</w:t>
            </w:r>
          </w:p>
        </w:tc>
        <w:tc>
          <w:tcPr>
            <w:tcBorders/>
            <w:vAlign w:val="center"/>
          </w:tcPr>
          <w:p>
            <w:pPr>
              <w:spacing w:lineRule="auto"/>
              <w:jc w:val="left"/>
            </w:pPr>
            <m:oMathPara>
              <m:oMathParaPr>
                <m:jc m:val="left"/>
              </m:oMathParaPr>
              <m:oMath>
                <m:sSub>
                  <m:sSubPr/>
                  <m:e>
                    <m:r>
                      <m:rPr>
                        <m:sty m:val="i"/>
                      </m:rPr>
                      <m:t>c</m:t>
                    </m:r>
                  </m:e>
                  <m:sub>
                    <m:r>
                      <m:rPr>
                        <m:sty m:val="i"/>
                      </m:rPr>
                      <m:t>P</m:t>
                    </m:r>
                  </m:sub>
                </m:sSub>
                <m:r>
                  <m:rPr>
                    <m:sty m:val="p"/>
                  </m:rPr>
                  <m:t>=</m:t>
                </m:r>
                <m:r>
                  <m:rPr>
                    <m:sty m:val="p"/>
                  </m:rPr>
                  <m:t>1030</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bl>
    <w:p>
      <w:pPr>
        <w:spacing w:lineRule="auto"/>
      </w:pPr>
    </w:p>
    <w:p>
      <w:pPr>
        <w:spacing w:after="220" w:lineRule="auto"/>
      </w:pPr>
      <w:r>
        <w:rPr>
          <w:rFonts w:eastAsia="Georgia" w:cs="Georgia" w:ascii="Georgia" w:hAnsi="Georgia"/>
        </w:rPr>
        <w:t xml:space="preserve">Enthalpie massique standard de vaporisation de l'eau à </w:t>
      </w:r>
      <m:oMath>
        <m:sSup>
          <m:sSupPr/>
          <m:e>
            <m:r>
              <m:rPr>
                <m:sty m:val="p"/>
              </m:rPr>
              <m:t>100</m:t>
            </m:r>
          </m:e>
          <m:sup>
            <m:r>
              <m:rPr>
                <m:sty m:val="p"/>
              </m:rPr>
              <m:t>∘</m:t>
            </m:r>
          </m:sup>
        </m:sSup>
        <m:r>
          <m:rPr>
            <m:sty m:val="p"/>
          </m:rPr>
          <m:t>C</m:t>
        </m:r>
      </m:oMath>
      <w:r>
        <w:rPr/>
        <w:t xml:space="preserve"> : </w:t>
      </w:r>
      <m:oMath>
        <m:sSub>
          <m:sSubPr/>
          <m:e>
            <m:r>
              <m:rPr>
                <m:sty m:val="p"/>
              </m:rPr>
              <m:t>Δ</m:t>
            </m:r>
          </m:e>
          <m:sub>
            <m:r>
              <m:rPr>
                <m:nor/>
              </m:rPr>
              <m:t>vap </m:t>
            </m:r>
          </m:sub>
        </m:sSub>
        <m:sSup>
          <m:sSupPr/>
          <m:e>
            <m:r>
              <m:rPr>
                <m:sty m:val="i"/>
              </m:rPr>
              <m:t>H</m:t>
            </m:r>
          </m:e>
          <m:sup>
            <m:r>
              <m:rPr>
                <m:sty m:val="p"/>
              </m:rPr>
              <m:t>∘</m:t>
            </m:r>
          </m:sup>
        </m:sSup>
        <m:r>
          <m:rPr>
            <m:sty m:val="p"/>
          </m:rPr>
          <m:t>=</m:t>
        </m:r>
        <m:r>
          <m:rPr>
            <m:sty m:val="p"/>
          </m:rPr>
          <m:t>2257</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oMath>
      <w:r>
        <w:rPr/>
        <w:br w:type="textWrapping"/>
      </w:r>
      <w:r>
        <w:rPr>
          <w:rFonts w:eastAsia="Georgia" w:cs="Georgia" w:ascii="Georgia" w:hAnsi="Georgia"/>
        </w:rPr>
        <w:t xml:space="preserve">Enthalpies de formation et entropies molaires standards à 298 K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Espèces</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Δ</m:t>
                    </m:r>
                  </m:e>
                  <m:sub>
                    <m:r>
                      <m:rPr>
                        <m:sty m:val="i"/>
                      </m:rPr>
                      <m:t>f</m:t>
                    </m:r>
                  </m:sub>
                </m:sSub>
                <m:sSup>
                  <m:sSupPr/>
                  <m:e>
                    <m:r>
                      <m:rPr>
                        <m:sty m:val="i"/>
                      </m:rPr>
                      <m:t>H</m:t>
                    </m:r>
                  </m:e>
                  <m:sup>
                    <m:r>
                      <m:rPr>
                        <m:sty m:val="p"/>
                      </m:rPr>
                      <m:t>∘</m:t>
                    </m:r>
                  </m:sup>
                </m:sSup>
                <m:d>
                  <m:dPr>
                    <m:begChr m:val="("/>
                    <m:endChr m:val=")"/>
                    <m:ctrlPr>
                      <w:rPr>
                        <w:rFonts w:ascii="Cambria Math" w:hAnsi="Cambria Math"/>
                      </w:rPr>
                    </m:ctrlPr>
                  </m:dPr>
                  <m:e>
                    <m:r>
                      <m:rPr>
                        <m:sty m:val="p"/>
                      </m:rPr>
                      <m:t>kJ</m:t>
                    </m:r>
                    <m:r>
                      <m:rPr>
                        <m:sty m:val="p"/>
                      </m:rPr>
                      <m:t>⋅</m:t>
                    </m:r>
                    <m:sSup>
                      <m:sSupPr/>
                      <m:e>
                        <m:r>
                          <m:rPr>
                            <m:sty m:val="p"/>
                          </m:rPr>
                          <m:t>mol</m:t>
                        </m:r>
                      </m:e>
                      <m:sup>
                        <m:r>
                          <m:rPr>
                            <m:sty m:val="p"/>
                          </m:rPr>
                          <m:t>−</m:t>
                        </m:r>
                        <m:r>
                          <m:rPr>
                            <m:sty m:val="p"/>
                          </m:rPr>
                          <m:t>1</m:t>
                        </m:r>
                      </m:sup>
                    </m:sSup>
                  </m:e>
                </m:d>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Sup>
                  <m:sSubSupPr/>
                  <m:e>
                    <m:r>
                      <m:rPr>
                        <m:sty m:val="i"/>
                      </m:rPr>
                      <m:t>S</m:t>
                    </m:r>
                  </m:e>
                  <m:sub>
                    <m:r>
                      <m:rPr>
                        <m:sty m:val="i"/>
                      </m:rPr>
                      <m:t>m</m:t>
                    </m:r>
                  </m:sub>
                  <m:sup>
                    <m:r>
                      <m:rPr>
                        <m:sty m:val="p"/>
                      </m:rPr>
                      <m:t>∘</m:t>
                    </m:r>
                  </m:sup>
                </m:sSubSup>
                <m:d>
                  <m:dPr>
                    <m:begChr m:val="("/>
                    <m:endChr m:val=")"/>
                    <m:ctrlPr>
                      <w:rPr>
                        <w:rFonts w:ascii="Cambria Math" w:hAnsi="Cambria Math"/>
                      </w:rPr>
                    </m:ctrlPr>
                  </m:dPr>
                  <m:e>
                    <m:r>
                      <m:rPr>
                        <m:sty m:val="p"/>
                      </m:rPr>
                      <m:t>J</m:t>
                    </m:r>
                    <m:r>
                      <m:rPr>
                        <m:sty m:val="p"/>
                      </m:rPr>
                      <m:t>⋅</m:t>
                    </m:r>
                    <m:sSup>
                      <m:sSupPr/>
                      <m:e>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e>
                </m:d>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2</m:t>
                    </m:r>
                    <m:r>
                      <m:rPr>
                        <m:sty m:val="p"/>
                      </m:rPr>
                      <m:t>(</m:t>
                    </m:r>
                    <m:r>
                      <m:rPr>
                        <m:nor/>
                      </m:rPr>
                      <m:t xml:space="preserve"> </m:t>
                    </m:r>
                    <m:r>
                      <m:rPr>
                        <m:sty m:val="p"/>
                      </m:rPr>
                      <m:t>g</m:t>
                    </m:r>
                    <m:r>
                      <m:rPr>
                        <m:sty m:val="p"/>
                      </m:rPr>
                      <m:t>)</m:t>
                    </m:r>
                  </m:sub>
                </m:sSub>
              </m:oMath>
            </m:oMathPara>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130,5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O</m:t>
                    </m:r>
                  </m:e>
                  <m:sub>
                    <m:r>
                      <m:rPr>
                        <m:sty m:val="p"/>
                      </m:rPr>
                      <m:t>2</m:t>
                    </m:r>
                    <m:r>
                      <m:rPr>
                        <m:sty m:val="p"/>
                      </m:rPr>
                      <m:t>(</m:t>
                    </m:r>
                    <m:r>
                      <m:rPr>
                        <m:nor/>
                      </m:rPr>
                      <m:t xml:space="preserve"> </m:t>
                    </m:r>
                    <m:r>
                      <m:rPr>
                        <m:sty m:val="p"/>
                      </m:rPr>
                      <m:t>g</m:t>
                    </m:r>
                    <m:r>
                      <m:rPr>
                        <m:sty m:val="p"/>
                      </m:rPr>
                      <m:t>)</m:t>
                    </m:r>
                  </m:sub>
                </m:sSub>
              </m:oMath>
            </m:oMathPara>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205,0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2</m:t>
                    </m:r>
                  </m:sub>
                </m:sSub>
                <m:sSub>
                  <m:sSubPr/>
                  <m:e>
                    <m:r>
                      <m:rPr>
                        <m:sty m:val="p"/>
                      </m:rPr>
                      <m:t>O</m:t>
                    </m:r>
                  </m:e>
                  <m:sub>
                    <m:r>
                      <m:rPr>
                        <m:sty m:val="p"/>
                      </m:rPr>
                      <m:t>(</m:t>
                    </m:r>
                    <m:r>
                      <m:rPr>
                        <m:sty m:val="p"/>
                      </m:rPr>
                      <m:t>1</m:t>
                    </m:r>
                    <m:r>
                      <m:rPr>
                        <m:sty m:val="p"/>
                      </m:rPr>
                      <m:t>)</m:t>
                    </m:r>
                  </m:sub>
                </m:sSub>
              </m:oMath>
            </m:oMathPara>
          </w:p>
        </w:tc>
        <w:tc>
          <w:tcPr>
            <w:tcBorders>
              <w:bottom w:val="single" w:sz="8" w:space="0" w:color="000000"/>
              <w:right w:val="single" w:sz="8" w:space="0" w:color="000000"/>
            </w:tcBorders>
            <w:vAlign w:val="center"/>
          </w:tcPr>
          <w:p>
            <w:pPr>
              <w:spacing w:lineRule="auto"/>
              <w:jc w:val="left"/>
            </w:pPr>
            <w:r>
              <w:rPr/>
              <w:t xml:space="preserve">-285,1</w:t>
            </w:r>
          </w:p>
        </w:tc>
        <w:tc>
          <w:tcPr>
            <w:tcBorders>
              <w:bottom w:val="single" w:sz="8" w:space="0" w:color="000000"/>
              <w:right w:val="single" w:sz="8" w:space="0" w:color="000000"/>
            </w:tcBorders>
            <w:vAlign w:val="center"/>
          </w:tcPr>
          <w:p>
            <w:pPr>
              <w:spacing w:lineRule="auto"/>
              <w:jc w:val="left"/>
            </w:pPr>
            <w:r>
              <w:rPr/>
              <w:t xml:space="preserve">70,0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2</m:t>
                    </m:r>
                  </m:sub>
                </m:sSub>
                <m:sSub>
                  <m:sSubPr/>
                  <m:e>
                    <m:r>
                      <m:rPr>
                        <m:sty m:val="p"/>
                      </m:rPr>
                      <m:t>O</m:t>
                    </m:r>
                  </m:e>
                  <m:sub>
                    <m:r>
                      <m:rPr>
                        <m:sty m:val="p"/>
                      </m:rPr>
                      <m:t>(</m:t>
                    </m:r>
                    <m:r>
                      <m:rPr>
                        <m:sty m:val="p"/>
                      </m:rPr>
                      <m:t>g</m:t>
                    </m:r>
                    <m:r>
                      <m:rPr>
                        <m:sty m:val="p"/>
                      </m:rPr>
                      <m:t>)</m:t>
                    </m:r>
                  </m:sub>
                </m:sSub>
              </m:oMath>
            </m:oMathPara>
          </w:p>
        </w:tc>
        <w:tc>
          <w:tcPr>
            <w:tcBorders>
              <w:bottom w:val="single" w:sz="8" w:space="0" w:color="000000"/>
              <w:right w:val="single" w:sz="8" w:space="0" w:color="000000"/>
            </w:tcBorders>
            <w:vAlign w:val="center"/>
          </w:tcPr>
          <w:p>
            <w:pPr>
              <w:spacing w:lineRule="auto"/>
              <w:jc w:val="left"/>
            </w:pPr>
            <w:r>
              <w:rPr/>
              <w:t xml:space="preserve">-241,8</w:t>
            </w:r>
          </w:p>
        </w:tc>
        <w:tc>
          <w:tcPr>
            <w:tcBorders>
              <w:bottom w:val="single" w:sz="8" w:space="0" w:color="000000"/>
              <w:right w:val="single" w:sz="8" w:space="0" w:color="000000"/>
            </w:tcBorders>
            <w:vAlign w:val="center"/>
          </w:tcPr>
          <w:p>
            <w:pPr>
              <w:spacing w:lineRule="auto"/>
              <w:jc w:val="left"/>
            </w:pPr>
            <w:r>
              <w:rPr/>
              <w:t xml:space="preserve">188,7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C</m:t>
                    </m:r>
                  </m:e>
                  <m:sub>
                    <m:r>
                      <m:rPr>
                        <m:nor/>
                      </m:rPr>
                      <m:t>(graphite) </m:t>
                    </m:r>
                  </m:sub>
                </m:sSub>
              </m:oMath>
            </m:oMathPara>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5,7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CO</m:t>
                    </m:r>
                  </m:e>
                  <m:sub>
                    <m:r>
                      <m:rPr>
                        <m:sty m:val="p"/>
                      </m:rPr>
                      <m:t>(</m:t>
                    </m:r>
                    <m:r>
                      <m:rPr>
                        <m:sty m:val="p"/>
                      </m:rPr>
                      <m:t>g</m:t>
                    </m:r>
                    <m:r>
                      <m:rPr>
                        <m:sty m:val="p"/>
                      </m:rPr>
                      <m:t>)</m:t>
                    </m:r>
                  </m:sub>
                </m:sSub>
              </m:oMath>
            </m:oMathPara>
          </w:p>
        </w:tc>
        <w:tc>
          <w:tcPr>
            <w:tcBorders>
              <w:bottom w:val="single" w:sz="8" w:space="0" w:color="000000"/>
              <w:right w:val="single" w:sz="8" w:space="0" w:color="000000"/>
            </w:tcBorders>
            <w:vAlign w:val="center"/>
          </w:tcPr>
          <w:p>
            <w:pPr>
              <w:spacing w:lineRule="auto"/>
              <w:jc w:val="left"/>
            </w:pPr>
            <w:r>
              <w:rPr/>
              <w:t xml:space="preserve">-110,6</w:t>
            </w:r>
          </w:p>
        </w:tc>
        <w:tc>
          <w:tcPr>
            <w:tcBorders>
              <w:bottom w:val="single" w:sz="8" w:space="0" w:color="000000"/>
              <w:right w:val="single" w:sz="8" w:space="0" w:color="000000"/>
            </w:tcBorders>
            <w:vAlign w:val="center"/>
          </w:tcPr>
          <w:p>
            <w:pPr>
              <w:spacing w:lineRule="auto"/>
              <w:jc w:val="left"/>
            </w:pPr>
            <w:r>
              <w:rPr/>
              <w:t xml:space="preserve">197,6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CO</m:t>
                    </m:r>
                  </m:e>
                  <m:sub>
                    <m:r>
                      <m:rPr>
                        <m:sty m:val="p"/>
                      </m:rPr>
                      <m:t>2</m:t>
                    </m:r>
                    <m:r>
                      <m:rPr>
                        <m:sty m:val="p"/>
                      </m:rPr>
                      <m:t>(</m:t>
                    </m:r>
                    <m:r>
                      <m:rPr>
                        <m:nor/>
                      </m:rPr>
                      <m:t xml:space="preserve"> </m:t>
                    </m:r>
                    <m:r>
                      <m:rPr>
                        <m:sty m:val="p"/>
                      </m:rPr>
                      <m:t>g</m:t>
                    </m:r>
                    <m:r>
                      <m:rPr>
                        <m:sty m:val="p"/>
                      </m:rPr>
                      <m:t>)</m:t>
                    </m:r>
                  </m:sub>
                </m:sSub>
              </m:oMath>
            </m:oMathPara>
          </w:p>
        </w:tc>
        <w:tc>
          <w:tcPr>
            <w:tcBorders>
              <w:bottom w:val="single" w:sz="8" w:space="0" w:color="000000"/>
              <w:right w:val="single" w:sz="8" w:space="0" w:color="000000"/>
            </w:tcBorders>
            <w:vAlign w:val="center"/>
          </w:tcPr>
          <w:p>
            <w:pPr>
              <w:spacing w:lineRule="auto"/>
              <w:jc w:val="left"/>
            </w:pPr>
            <w:r>
              <w:rPr/>
              <w:t xml:space="preserve">-393,5</w:t>
            </w:r>
          </w:p>
        </w:tc>
        <w:tc>
          <w:tcPr>
            <w:tcBorders>
              <w:bottom w:val="single" w:sz="8" w:space="0" w:color="000000"/>
              <w:right w:val="single" w:sz="8" w:space="0" w:color="000000"/>
            </w:tcBorders>
            <w:vAlign w:val="center"/>
          </w:tcPr>
          <w:p>
            <w:pPr>
              <w:spacing w:lineRule="auto"/>
              <w:jc w:val="left"/>
            </w:pPr>
            <w:r>
              <w:rPr/>
              <w:t xml:space="preserve">213,7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Pb</m:t>
                    </m:r>
                  </m:e>
                  <m:sub>
                    <m:r>
                      <m:rPr>
                        <m:sty m:val="p"/>
                      </m:rPr>
                      <m:t>(</m:t>
                    </m:r>
                    <m:r>
                      <m:rPr>
                        <m:sty m:val="p"/>
                      </m:rPr>
                      <m:t>s</m:t>
                    </m:r>
                    <m:r>
                      <m:rPr>
                        <m:sty m:val="p"/>
                      </m:rPr>
                      <m:t>)</m:t>
                    </m:r>
                  </m:sub>
                </m:sSub>
              </m:oMath>
            </m:oMathPara>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64,5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PbO</m:t>
                    </m:r>
                  </m:e>
                  <m:sub>
                    <m:r>
                      <m:rPr>
                        <m:sty m:val="p"/>
                      </m:rPr>
                      <m:t>(</m:t>
                    </m:r>
                    <m:r>
                      <m:rPr>
                        <m:sty m:val="p"/>
                      </m:rPr>
                      <m:t>s</m:t>
                    </m:r>
                    <m:r>
                      <m:rPr>
                        <m:sty m:val="p"/>
                      </m:rPr>
                      <m:t>)</m:t>
                    </m:r>
                  </m:sub>
                </m:sSub>
              </m:oMath>
            </m:oMathPara>
          </w:p>
        </w:tc>
        <w:tc>
          <w:tcPr>
            <w:tcBorders>
              <w:bottom w:val="single" w:sz="8" w:space="0" w:color="000000"/>
              <w:right w:val="single" w:sz="8" w:space="0" w:color="000000"/>
            </w:tcBorders>
            <w:vAlign w:val="center"/>
          </w:tcPr>
          <w:p>
            <w:pPr>
              <w:spacing w:lineRule="auto"/>
              <w:jc w:val="left"/>
            </w:pPr>
            <w:r>
              <w:rPr/>
              <w:t xml:space="preserve">-218,0</w:t>
            </w:r>
          </w:p>
        </w:tc>
        <w:tc>
          <w:tcPr>
            <w:tcBorders>
              <w:bottom w:val="single" w:sz="8" w:space="0" w:color="000000"/>
              <w:right w:val="single" w:sz="8" w:space="0" w:color="000000"/>
            </w:tcBorders>
            <w:vAlign w:val="center"/>
          </w:tcPr>
          <w:p>
            <w:pPr>
              <w:spacing w:lineRule="auto"/>
              <w:jc w:val="left"/>
            </w:pPr>
            <w:r>
              <w:rPr/>
              <w:t xml:space="preserve">66,5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PbO</m:t>
                    </m:r>
                  </m:e>
                  <m:sub>
                    <m:r>
                      <m:rPr>
                        <m:sty m:val="p"/>
                      </m:rPr>
                      <m:t>2</m:t>
                    </m:r>
                    <m:r>
                      <m:rPr>
                        <m:sty m:val="p"/>
                      </m:rPr>
                      <m:t>(</m:t>
                    </m:r>
                    <m:r>
                      <m:rPr>
                        <m:nor/>
                      </m:rPr>
                      <m:t xml:space="preserve"> </m:t>
                    </m:r>
                    <m:r>
                      <m:rPr>
                        <m:sty m:val="p"/>
                      </m:rPr>
                      <m:t>s</m:t>
                    </m:r>
                    <m:r>
                      <m:rPr>
                        <m:sty m:val="p"/>
                      </m:rPr>
                      <m:t>)</m:t>
                    </m:r>
                  </m:sub>
                </m:sSub>
              </m:oMath>
            </m:oMathPara>
          </w:p>
        </w:tc>
        <w:tc>
          <w:tcPr>
            <w:tcBorders>
              <w:bottom w:val="single" w:sz="8" w:space="0" w:color="000000"/>
              <w:right w:val="single" w:sz="8" w:space="0" w:color="000000"/>
            </w:tcBorders>
            <w:vAlign w:val="center"/>
          </w:tcPr>
          <w:p>
            <w:pPr>
              <w:spacing w:lineRule="auto"/>
              <w:jc w:val="left"/>
            </w:pPr>
            <w:r>
              <w:rPr/>
              <w:t xml:space="preserve">-277,1</w:t>
            </w:r>
          </w:p>
        </w:tc>
        <w:tc>
          <w:tcPr>
            <w:tcBorders>
              <w:bottom w:val="single" w:sz="8" w:space="0" w:color="000000"/>
              <w:right w:val="single" w:sz="8" w:space="0" w:color="000000"/>
            </w:tcBorders>
            <w:vAlign w:val="center"/>
          </w:tcPr>
          <w:p>
            <w:pPr>
              <w:spacing w:lineRule="auto"/>
              <w:jc w:val="left"/>
            </w:pPr>
            <w:r>
              <w:rPr/>
              <w:t xml:space="preserve">68,0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PbS</m:t>
                    </m:r>
                  </m:e>
                  <m:sub>
                    <m:r>
                      <m:rPr>
                        <m:sty m:val="p"/>
                      </m:rPr>
                      <m:t>(</m:t>
                    </m:r>
                    <m:r>
                      <m:rPr>
                        <m:sty m:val="p"/>
                      </m:rPr>
                      <m:t>s</m:t>
                    </m:r>
                    <m:r>
                      <m:rPr>
                        <m:sty m:val="p"/>
                      </m:rPr>
                      <m:t>)</m:t>
                    </m:r>
                  </m:sub>
                </m:sSub>
              </m:oMath>
            </m:oMathPara>
          </w:p>
        </w:tc>
        <w:tc>
          <w:tcPr>
            <w:tcBorders>
              <w:bottom w:val="single" w:sz="8" w:space="0" w:color="000000"/>
              <w:right w:val="single" w:sz="8" w:space="0" w:color="000000"/>
            </w:tcBorders>
            <w:vAlign w:val="center"/>
          </w:tcPr>
          <w:p>
            <w:pPr>
              <w:spacing w:lineRule="auto"/>
              <w:jc w:val="left"/>
            </w:pPr>
            <w:r>
              <w:rPr/>
              <w:t xml:space="preserve">-100,4</w:t>
            </w:r>
          </w:p>
        </w:tc>
        <w:tc>
          <w:tcPr>
            <w:tcBorders>
              <w:bottom w:val="single" w:sz="8" w:space="0" w:color="000000"/>
              <w:right w:val="single" w:sz="8" w:space="0" w:color="000000"/>
            </w:tcBorders>
            <w:vAlign w:val="center"/>
          </w:tcPr>
          <w:p>
            <w:pPr>
              <w:spacing w:lineRule="auto"/>
              <w:jc w:val="left"/>
            </w:pPr>
            <w:r>
              <w:rPr/>
              <w:t xml:space="preserve">91,2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Pb</m:t>
                    </m:r>
                  </m:e>
                  <m:sub>
                    <m:r>
                      <m:rPr>
                        <m:sty m:val="p"/>
                      </m:rPr>
                      <m:t>3</m:t>
                    </m:r>
                  </m:sub>
                </m:sSub>
                <m:sSub>
                  <m:sSubPr/>
                  <m:e>
                    <m:r>
                      <m:rPr>
                        <m:sty m:val="p"/>
                      </m:rPr>
                      <m:t>O</m:t>
                    </m:r>
                  </m:e>
                  <m:sub>
                    <m:r>
                      <m:rPr>
                        <m:sty m:val="p"/>
                      </m:rPr>
                      <m:t>4</m:t>
                    </m:r>
                    <m:r>
                      <m:rPr>
                        <m:sty m:val="p"/>
                      </m:rPr>
                      <m:t>(</m:t>
                    </m:r>
                    <m:r>
                      <m:rPr>
                        <m:nor/>
                      </m:rPr>
                      <m:t xml:space="preserve"> </m:t>
                    </m:r>
                    <m:r>
                      <m:rPr>
                        <m:sty m:val="p"/>
                      </m:rPr>
                      <m:t>s</m:t>
                    </m:r>
                    <m:r>
                      <m:rPr>
                        <m:sty m:val="p"/>
                      </m:rPr>
                      <m:t>)</m:t>
                    </m:r>
                  </m:sub>
                </m:sSub>
              </m:oMath>
            </m:oMathPara>
          </w:p>
        </w:tc>
        <w:tc>
          <w:tcPr>
            <w:tcBorders>
              <w:bottom w:val="single" w:sz="8" w:space="0" w:color="000000"/>
              <w:right w:val="single" w:sz="8" w:space="0" w:color="000000"/>
            </w:tcBorders>
            <w:vAlign w:val="center"/>
          </w:tcPr>
          <w:p>
            <w:pPr>
              <w:spacing w:lineRule="auto"/>
              <w:jc w:val="left"/>
            </w:pPr>
            <w:r>
              <w:rPr/>
              <w:t xml:space="preserve">-719,0</w:t>
            </w:r>
          </w:p>
        </w:tc>
        <w:tc>
          <w:tcPr>
            <w:tcBorders>
              <w:bottom w:val="single" w:sz="8" w:space="0" w:color="000000"/>
              <w:right w:val="single" w:sz="8" w:space="0" w:color="000000"/>
            </w:tcBorders>
            <w:vAlign w:val="center"/>
          </w:tcPr>
          <w:p>
            <w:pPr>
              <w:spacing w:lineRule="auto"/>
              <w:jc w:val="left"/>
            </w:pPr>
            <w:r>
              <w:rPr/>
              <w:t xml:space="preserve">211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SO</m:t>
                    </m:r>
                  </m:e>
                  <m:sub>
                    <m:r>
                      <m:rPr>
                        <m:sty m:val="p"/>
                      </m:rPr>
                      <m:t>2</m:t>
                    </m:r>
                    <m:r>
                      <m:rPr>
                        <m:sty m:val="p"/>
                      </m:rPr>
                      <m:t>(</m:t>
                    </m:r>
                    <m:r>
                      <m:rPr>
                        <m:nor/>
                      </m:rPr>
                      <m:t xml:space="preserve"> </m:t>
                    </m:r>
                    <m:r>
                      <m:rPr>
                        <m:sty m:val="p"/>
                      </m:rPr>
                      <m:t>s</m:t>
                    </m:r>
                    <m:r>
                      <m:rPr>
                        <m:sty m:val="p"/>
                      </m:rPr>
                      <m:t>)</m:t>
                    </m:r>
                  </m:sub>
                </m:sSub>
              </m:oMath>
            </m:oMathPara>
          </w:p>
        </w:tc>
        <w:tc>
          <w:tcPr>
            <w:tcBorders>
              <w:bottom w:val="single" w:sz="8" w:space="0" w:color="000000"/>
              <w:right w:val="single" w:sz="8" w:space="0" w:color="000000"/>
            </w:tcBorders>
            <w:vAlign w:val="center"/>
          </w:tcPr>
          <w:p>
            <w:pPr>
              <w:spacing w:lineRule="auto"/>
              <w:jc w:val="left"/>
            </w:pPr>
            <w:r>
              <w:rPr/>
              <w:t xml:space="preserve">-296,9</w:t>
            </w:r>
          </w:p>
        </w:tc>
        <w:tc>
          <w:tcPr>
            <w:tcBorders>
              <w:bottom w:val="single" w:sz="8" w:space="0" w:color="000000"/>
              <w:right w:val="single" w:sz="8" w:space="0" w:color="000000"/>
            </w:tcBorders>
            <w:vAlign w:val="center"/>
          </w:tcPr>
          <w:p>
            <w:pPr>
              <w:spacing w:lineRule="auto"/>
              <w:jc w:val="left"/>
            </w:pPr>
            <w:r>
              <w:rPr/>
              <w:t xml:space="preserve">248</w:t>
            </w:r>
          </w:p>
        </w:tc>
      </w:tr>
    </w:tbl>
    <w:p>
      <w:pPr>
        <w:spacing w:lineRule="auto"/>
      </w:pPr>
    </w:p>
    <w:p>
      <w:pPr>
        <w:spacing w:line="271" w:before="330" w:lineRule="auto"/>
      </w:pPr>
      <w:r>
        <w:rPr>
          <w:rFonts w:eastAsia="Georgia" w:cs="Georgia" w:ascii="Georgia" w:hAnsi="Georgia"/>
          <w:b/>
          <w:sz w:val="42"/>
        </w:rPr>
        <w:t xml:space="preserve">Données spécifiques à l'élément plomb et description de quelques oxydes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w:r>
              <w:rPr>
                <w:rFonts w:eastAsia="Georgia" w:cs="Georgia" w:ascii="Georgia" w:hAnsi="Georgia"/>
              </w:rPr>
              <w:t xml:space="preserve">Numéro atomique</w:t>
            </w:r>
          </w:p>
        </w:tc>
        <w:tc>
          <w:tcPr>
            <w:tcBorders/>
            <w:vAlign w:val="center"/>
          </w:tcPr>
          <w:p>
            <w:pPr>
              <w:spacing w:lineRule="auto"/>
              <w:jc w:val="left"/>
            </w:pPr>
            <w:r>
              <w:rPr/>
              <w:t xml:space="preserve">82</w:t>
            </w:r>
          </w:p>
        </w:tc>
      </w:tr>
      <w:tr>
        <w:trPr>
          <w:cantSplit/>
        </w:trPr>
        <w:tc>
          <w:tcPr>
            <w:tcBorders/>
            <w:vAlign w:val="center"/>
          </w:tcPr>
          <w:p>
            <w:pPr>
              <w:spacing w:lineRule="auto"/>
              <w:jc w:val="left"/>
            </w:pPr>
            <w:r>
              <w:rPr/>
              <w:t xml:space="preserve">Masse molaire</w:t>
            </w:r>
          </w:p>
        </w:tc>
        <w:tc>
          <w:tcPr>
            <w:tcBorders/>
            <w:vAlign w:val="center"/>
          </w:tcPr>
          <w:p>
            <w:pPr>
              <w:spacing w:lineRule="auto"/>
              <w:jc w:val="left"/>
            </w:pPr>
            <m:oMathPara>
              <m:oMathParaPr>
                <m:jc m:val="left"/>
              </m:oMathParaPr>
              <m:oMath>
                <m:r>
                  <m:rPr>
                    <m:sty m:val="p"/>
                  </m:rPr>
                  <m:t>207</m:t>
                </m:r>
                <m:r>
                  <m:rPr>
                    <m:sty m:val="p"/>
                  </m:rPr>
                  <m:t>,</m:t>
                </m:r>
                <m:r>
                  <m:rPr>
                    <m:sty m:val="p"/>
                  </m:rPr>
                  <m:t>2</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tcBorders/>
            <w:vAlign w:val="center"/>
          </w:tcPr>
          <w:p>
            <w:pPr>
              <w:spacing w:lineRule="auto"/>
              <w:jc w:val="left"/>
            </w:pPr>
            <w:r>
              <w:rPr/>
              <w:t xml:space="preserve">Masse volumique</w:t>
            </w:r>
          </w:p>
        </w:tc>
        <w:tc>
          <w:tcPr>
            <w:tcBorders/>
            <w:vAlign w:val="center"/>
          </w:tcPr>
          <w:p>
            <w:pPr>
              <w:spacing w:lineRule="auto"/>
              <w:jc w:val="left"/>
            </w:pPr>
            <m:oMathPara>
              <m:oMathParaPr>
                <m:jc m:val="left"/>
              </m:oMathParaPr>
              <m:oMath>
                <m:r>
                  <m:rPr>
                    <m:sty m:val="p"/>
                  </m:rPr>
                  <m:t>11</m:t>
                </m:r>
                <m:r>
                  <m:rPr>
                    <m:sty m:val="p"/>
                  </m:rPr>
                  <m:t>,</m:t>
                </m:r>
                <m:r>
                  <m:rPr>
                    <m:sty m:val="p"/>
                  </m:rPr>
                  <m:t>35</m:t>
                </m:r>
                <m:r>
                  <m:rPr>
                    <m:nor/>
                  </m:rPr>
                  <m:t xml:space="preserve"> </m:t>
                </m:r>
                <m:r>
                  <m:rPr>
                    <m:sty m:val="p"/>
                  </m:rPr>
                  <m:t>g</m:t>
                </m:r>
                <m:r>
                  <m:rPr>
                    <m:sty m:val="p"/>
                  </m:rPr>
                  <m:t>⋅</m:t>
                </m:r>
                <m:sSup>
                  <m:sSupPr/>
                  <m:e>
                    <m:r>
                      <m:rPr>
                        <m:nor/>
                      </m:rPr>
                      <m:t xml:space="preserve"> </m:t>
                    </m:r>
                    <m:r>
                      <m:rPr>
                        <m:sty m:val="p"/>
                      </m:rPr>
                      <m:t>cm</m:t>
                    </m:r>
                  </m:e>
                  <m:sup>
                    <m:r>
                      <m:rPr>
                        <m:sty m:val="p"/>
                      </m:rPr>
                      <m:t>−</m:t>
                    </m:r>
                    <m:r>
                      <m:rPr>
                        <m:sty m:val="p"/>
                      </m:rPr>
                      <m:t>3</m:t>
                    </m:r>
                  </m:sup>
                </m:sSup>
              </m:oMath>
            </m:oMathPara>
          </w:p>
        </w:tc>
      </w:tr>
      <w:tr>
        <w:trPr>
          <w:cantSplit/>
        </w:trPr>
        <w:tc>
          <w:tcPr>
            <w:tcBorders/>
            <w:vAlign w:val="center"/>
          </w:tcPr>
          <w:p>
            <w:pPr>
              <w:spacing w:lineRule="auto"/>
              <w:jc w:val="left"/>
            </w:pPr>
            <w:r>
              <w:rPr>
                <w:rFonts w:eastAsia="Georgia" w:cs="Georgia" w:ascii="Georgia" w:hAnsi="Georgia"/>
              </w:rPr>
              <w:t xml:space="preserve">États d'oxydation</w:t>
            </w:r>
          </w:p>
        </w:tc>
        <w:tc>
          <w:tcPr>
            <w:tcBorders/>
            <w:vAlign w:val="center"/>
          </w:tcPr>
          <w:p>
            <w:pPr>
              <w:spacing w:lineRule="auto"/>
              <w:jc w:val="left"/>
            </w:pPr>
            <w:r>
              <w:rPr/>
              <w:t xml:space="preserve">2 et 4</w:t>
            </w:r>
          </w:p>
        </w:tc>
      </w:tr>
      <w:tr>
        <w:trPr>
          <w:cantSplit/>
        </w:trPr>
        <w:tc>
          <w:tcPr>
            <w:tcBorders/>
            <w:vAlign w:val="center"/>
          </w:tcPr>
          <w:p>
            <w:pPr>
              <w:spacing w:lineRule="auto"/>
              <w:jc w:val="left"/>
            </w:pPr>
            <w:r>
              <w:rPr>
                <w:rFonts w:eastAsia="Georgia" w:cs="Georgia" w:ascii="Georgia" w:hAnsi="Georgia"/>
              </w:rPr>
              <w:t xml:space="preserve">Température de fusion</w:t>
            </w:r>
          </w:p>
        </w:tc>
        <w:tc>
          <w:tcPr>
            <w:tcBorders/>
            <w:vAlign w:val="center"/>
          </w:tcPr>
          <w:p>
            <w:pPr>
              <w:spacing w:lineRule="auto"/>
              <w:jc w:val="left"/>
            </w:pPr>
            <m:oMathPara>
              <m:oMathParaPr>
                <m:jc m:val="left"/>
              </m:oMathParaPr>
              <m:oMath>
                <m:sSup>
                  <m:sSupPr/>
                  <m:e>
                    <m:r>
                      <m:rPr>
                        <m:sty m:val="p"/>
                      </m:rPr>
                      <m:t>327</m:t>
                    </m:r>
                  </m:e>
                  <m:sup>
                    <m:r>
                      <m:rPr>
                        <m:sty m:val="p"/>
                      </m:rPr>
                      <m:t>∘</m:t>
                    </m:r>
                  </m:sup>
                </m:sSup>
                <m:r>
                  <m:rPr>
                    <m:sty m:val="p"/>
                  </m:rPr>
                  <m:t>C</m:t>
                </m:r>
              </m:oMath>
            </m:oMathPara>
          </w:p>
        </w:tc>
      </w:tr>
      <w:tr>
        <w:trPr>
          <w:cantSplit/>
        </w:trPr>
        <w:tc>
          <w:tcPr>
            <w:tcBorders/>
            <w:vAlign w:val="center"/>
          </w:tcPr>
          <w:p>
            <w:pPr>
              <w:spacing w:lineRule="auto"/>
              <w:jc w:val="left"/>
            </w:pPr>
            <w:r>
              <w:rPr>
                <w:rFonts w:eastAsia="Georgia" w:cs="Georgia" w:ascii="Georgia" w:hAnsi="Georgia"/>
              </w:rPr>
              <w:t xml:space="preserve">Température d'ébullition</w:t>
            </w:r>
          </w:p>
        </w:tc>
        <w:tc>
          <w:tcPr>
            <w:tcBorders/>
            <w:vAlign w:val="center"/>
          </w:tcPr>
          <w:p>
            <w:pPr>
              <w:spacing w:lineRule="auto"/>
              <w:jc w:val="left"/>
            </w:pPr>
            <m:oMathPara>
              <m:oMathParaPr>
                <m:jc m:val="left"/>
              </m:oMathParaPr>
              <m:oMath>
                <m:sSup>
                  <m:sSupPr/>
                  <m:e>
                    <m:r>
                      <m:rPr>
                        <m:sty m:val="p"/>
                      </m:rPr>
                      <m:t>1749</m:t>
                    </m:r>
                  </m:e>
                  <m:sup>
                    <m:r>
                      <m:rPr>
                        <m:sty m:val="p"/>
                      </m:rPr>
                      <m:t>∘</m:t>
                    </m:r>
                  </m:sup>
                </m:sSup>
                <m:r>
                  <m:rPr>
                    <m:sty m:val="p"/>
                  </m:rPr>
                  <m:t>C</m:t>
                </m:r>
              </m:oMath>
            </m:oMathPara>
          </w:p>
        </w:tc>
      </w:tr>
      <w:tr>
        <w:trPr>
          <w:cantSplit/>
        </w:trPr>
        <w:tc>
          <w:tcPr>
            <w:tcBorders/>
            <w:vAlign w:val="center"/>
          </w:tcPr>
          <w:p>
            <w:pPr>
              <w:spacing w:lineRule="auto"/>
              <w:jc w:val="left"/>
            </w:pPr>
            <w:r>
              <w:rPr/>
              <w:t xml:space="preserve">Enthalpie molaire de fusion </w:t>
            </w:r>
            <m:oMath>
              <m:sSub>
                <m:sSubPr/>
                <m:e>
                  <m:r>
                    <m:rPr>
                      <m:sty m:val="p"/>
                    </m:rPr>
                    <m:t>Δ</m:t>
                  </m:r>
                </m:e>
                <m:sub>
                  <m:r>
                    <m:rPr>
                      <m:sty m:val="p"/>
                    </m:rPr>
                    <m:t>fus</m:t>
                  </m:r>
                </m:sub>
              </m:sSub>
              <m:sSup>
                <m:sSupPr/>
                <m:e>
                  <m:r>
                    <m:rPr>
                      <m:sty m:val="i"/>
                    </m:rPr>
                    <m:t>H</m:t>
                  </m:r>
                </m:e>
                <m:sup>
                  <m:r>
                    <m:rPr>
                      <m:sty m:val="p"/>
                    </m:rPr>
                    <m:t>∘</m:t>
                  </m:r>
                </m:sup>
              </m:sSup>
            </m:oMath>
          </w:p>
        </w:tc>
        <w:tc>
          <w:tcPr>
            <w:tcBorders/>
            <w:vAlign w:val="center"/>
          </w:tcPr>
          <w:p>
            <w:pPr>
              <w:spacing w:lineRule="auto"/>
              <w:jc w:val="left"/>
            </w:pPr>
            <m:oMathPara>
              <m:oMathParaPr>
                <m:jc m:val="left"/>
              </m:oMathParaPr>
              <m:oMath>
                <m:r>
                  <m:rPr>
                    <m:sty m:val="p"/>
                  </m:rPr>
                  <m:t>4</m:t>
                </m:r>
                <m:r>
                  <m:rPr>
                    <m:sty m:val="p"/>
                  </m:rPr>
                  <m:t>,</m:t>
                </m:r>
                <m:r>
                  <m:rPr>
                    <m:sty m:val="p"/>
                  </m:rPr>
                  <m:t>9</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m:oMathPara>
          </w:p>
        </w:tc>
      </w:tr>
    </w:tbl>
    <w:p>
      <w:pPr>
        <w:spacing w:lineRule="auto"/>
      </w:pP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Type</w:t>
            </w:r>
          </w:p>
        </w:tc>
        <w:tc>
          <w:tcPr>
            <w:tcBorders>
              <w:top w:val="single" w:sz="8" w:space="0" w:color="000000"/>
              <w:bottom w:val="single" w:sz="8" w:space="0" w:color="000000"/>
              <w:right w:val="single" w:sz="8" w:space="0" w:color="000000"/>
            </w:tcBorders>
            <w:vAlign w:val="center"/>
          </w:tcPr>
          <w:p>
            <w:pPr>
              <w:spacing w:lineRule="auto"/>
              <w:jc w:val="left"/>
            </w:pPr>
            <w:r>
              <w:rPr/>
              <w:t xml:space="preserve">Couleur</w:t>
            </w:r>
          </w:p>
        </w:tc>
        <w:tc>
          <w:tcPr>
            <w:tcBorders>
              <w:top w:val="single" w:sz="8" w:space="0" w:color="000000"/>
              <w:bottom w:val="single" w:sz="8" w:space="0" w:color="000000"/>
              <w:right w:val="single" w:sz="8" w:space="0" w:color="000000"/>
            </w:tcBorders>
            <w:vAlign w:val="center"/>
          </w:tcPr>
          <w:p>
            <w:pPr>
              <w:spacing w:lineRule="auto"/>
              <w:jc w:val="left"/>
            </w:pPr>
            <w:r>
              <w:rPr/>
              <w:t xml:space="preserve">Masse volumique ( </w:t>
            </w:r>
            <m:oMath>
              <m:r>
                <m:rPr>
                  <m:sty m:val="p"/>
                </m:rPr>
                <m:t>kg</m:t>
              </m:r>
              <m:r>
                <m:rPr>
                  <m:sty m:val="p"/>
                </m:rPr>
                <m:t>⋅</m:t>
              </m:r>
              <m:sSup>
                <m:sSupPr/>
                <m:e>
                  <m:r>
                    <m:rPr>
                      <m:sty m:val="p"/>
                    </m:rPr>
                    <m:t>m</m:t>
                  </m:r>
                </m:e>
                <m:sup>
                  <m:r>
                    <m:rPr>
                      <m:sty m:val="p"/>
                    </m:rPr>
                    <m:t>−</m:t>
                  </m:r>
                  <m:r>
                    <m:rPr>
                      <m:sty m:val="p"/>
                    </m:rPr>
                    <m:t>3</m:t>
                  </m:r>
                </m:sup>
              </m:sSup>
            </m:oMath>
            <w:r>
              <w:rPr/>
              <w:t xml:space="preserve"> )</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Évolution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PbO</w:t>
            </w:r>
          </w:p>
        </w:tc>
        <w:tc>
          <w:tcPr>
            <w:tcBorders>
              <w:bottom w:val="single" w:sz="8" w:space="0" w:color="000000"/>
              <w:right w:val="single" w:sz="8" w:space="0" w:color="000000"/>
            </w:tcBorders>
            <w:vAlign w:val="center"/>
          </w:tcPr>
          <w:p>
            <w:pPr>
              <w:spacing w:lineRule="auto"/>
              <w:jc w:val="left"/>
            </w:pPr>
            <w:r>
              <w:rPr/>
              <w:t xml:space="preserve">jaune (litharge)</w:t>
            </w:r>
          </w:p>
        </w:tc>
        <w:tc>
          <w:tcPr>
            <w:tcBorders>
              <w:bottom w:val="single" w:sz="8" w:space="0" w:color="000000"/>
              <w:right w:val="single" w:sz="8" w:space="0" w:color="000000"/>
            </w:tcBorders>
            <w:vAlign w:val="center"/>
          </w:tcPr>
          <w:p>
            <w:pPr>
              <w:spacing w:lineRule="auto"/>
              <w:jc w:val="left"/>
            </w:pPr>
            <w:r>
              <w:rPr/>
              <w:t xml:space="preserve">9500</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décomposition entre </w:t>
            </w:r>
            <m:oMath>
              <m:sSup>
                <m:sSupPr/>
                <m:e>
                  <m:r>
                    <m:rPr>
                      <m:sty m:val="p"/>
                    </m:rPr>
                    <m:t>300</m:t>
                  </m:r>
                </m:e>
                <m:sup>
                  <m:r>
                    <m:rPr>
                      <m:sty m:val="p"/>
                    </m:rPr>
                    <m:t>∘</m:t>
                  </m:r>
                </m:sup>
              </m:sSup>
              <m:r>
                <m:rPr>
                  <m:sty m:val="p"/>
                </m:rPr>
                <m:t>C</m:t>
              </m:r>
            </m:oMath>
            <w:r>
              <w:rPr/>
              <w:t xml:space="preserve"> et </w:t>
            </w:r>
            <m:oMath>
              <m:sSup>
                <m:sSupPr/>
                <m:e>
                  <m:r>
                    <m:rPr>
                      <m:sty m:val="p"/>
                    </m:rPr>
                    <m:t>400</m:t>
                  </m:r>
                </m:e>
                <m:sup>
                  <m:r>
                    <m:rPr>
                      <m:sty m:val="p"/>
                    </m:rPr>
                    <m:t>∘</m:t>
                  </m:r>
                </m:sup>
              </m:sSup>
              <m:r>
                <m:rPr>
                  <m:sty m:val="p"/>
                </m:rPr>
                <m:t>C</m:t>
              </m:r>
            </m:oMath>
            <w:r>
              <w:rPr/>
              <w:t xml:space="preserve"> en </w:t>
            </w:r>
            <m:oMath>
              <m:sSub>
                <m:sSubPr/>
                <m:e>
                  <m:r>
                    <m:rPr>
                      <m:sty m:val="p"/>
                    </m:rPr>
                    <m:t>Pb</m:t>
                  </m:r>
                </m:e>
                <m:sub>
                  <m:r>
                    <m:rPr>
                      <m:sty m:val="p"/>
                    </m:rPr>
                    <m:t>3</m:t>
                  </m:r>
                </m:sub>
              </m:sSub>
              <m:sSub>
                <m:sSubPr/>
                <m:e>
                  <m:r>
                    <m:rPr>
                      <m:sty m:val="p"/>
                    </m:rPr>
                    <m:t>O</m:t>
                  </m:r>
                </m:e>
                <m:sub>
                  <m:r>
                    <m:rPr>
                      <m:sty m:val="p"/>
                    </m:rPr>
                    <m:t>4</m:t>
                  </m:r>
                </m:sub>
              </m:sSub>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Pb</m:t>
                    </m:r>
                  </m:e>
                  <m:sub>
                    <m:r>
                      <m:rPr>
                        <m:sty m:val="p"/>
                      </m:rPr>
                      <m:t>3</m:t>
                    </m:r>
                  </m:sub>
                </m:sSub>
                <m:sSub>
                  <m:sSubPr/>
                  <m:e>
                    <m:r>
                      <m:rPr>
                        <m:sty m:val="p"/>
                      </m:rPr>
                      <m:t>O</m:t>
                    </m:r>
                  </m:e>
                  <m:sub>
                    <m:r>
                      <m:rPr>
                        <m:sty m:val="p"/>
                      </m:rPr>
                      <m:t>4</m:t>
                    </m:r>
                  </m:sub>
                </m:sSub>
              </m:oMath>
            </m:oMathPara>
          </w:p>
        </w:tc>
        <w:tc>
          <w:tcPr>
            <w:tcBorders>
              <w:bottom w:val="single" w:sz="8" w:space="0" w:color="000000"/>
              <w:right w:val="single" w:sz="8" w:space="0" w:color="000000"/>
            </w:tcBorders>
            <w:vAlign w:val="center"/>
          </w:tcPr>
          <w:p>
            <w:pPr>
              <w:spacing w:lineRule="auto"/>
              <w:jc w:val="left"/>
            </w:pPr>
            <w:r>
              <w:rPr/>
              <w:t xml:space="preserve">orange (minium)</w:t>
            </w:r>
          </w:p>
        </w:tc>
        <w:tc>
          <w:tcPr>
            <w:tcBorders>
              <w:bottom w:val="single" w:sz="8" w:space="0" w:color="000000"/>
              <w:right w:val="single" w:sz="8" w:space="0" w:color="000000"/>
            </w:tcBorders>
            <w:vAlign w:val="center"/>
          </w:tcPr>
          <w:p>
            <w:pPr>
              <w:spacing w:lineRule="auto"/>
              <w:jc w:val="left"/>
            </w:pPr>
            <w:r>
              <w:rPr/>
              <w:t xml:space="preserve">9100</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fusion et décomposition après </w:t>
            </w:r>
            <m:oMath>
              <m:sSup>
                <m:sSupPr/>
                <m:e>
                  <m:r>
                    <m:rPr>
                      <m:sty m:val="p"/>
                    </m:rPr>
                    <m:t>500</m:t>
                  </m:r>
                </m:e>
                <m:sup>
                  <m:r>
                    <m:rPr>
                      <m:sty m:val="p"/>
                    </m:rPr>
                    <m:t>∘</m:t>
                  </m:r>
                </m:sup>
              </m:sSup>
              <m:r>
                <m:rPr>
                  <m:sty m:val="p"/>
                </m:rPr>
                <m:t>C</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PbO</m:t>
                    </m:r>
                  </m:e>
                  <m:sub>
                    <m:r>
                      <m:rPr>
                        <m:sty m:val="p"/>
                      </m:rPr>
                      <m:t>2</m:t>
                    </m:r>
                  </m:sub>
                </m:sSub>
              </m:oMath>
            </m:oMathPara>
          </w:p>
        </w:tc>
        <w:tc>
          <w:tcPr>
            <w:tcBorders>
              <w:bottom w:val="single" w:sz="8" w:space="0" w:color="000000"/>
              <w:right w:val="single" w:sz="8" w:space="0" w:color="000000"/>
            </w:tcBorders>
            <w:vAlign w:val="center"/>
          </w:tcPr>
          <w:p>
            <w:pPr>
              <w:spacing w:lineRule="auto"/>
              <w:jc w:val="left"/>
            </w:pPr>
            <w:r>
              <w:rPr/>
              <w:t xml:space="preserve">noir</w:t>
            </w:r>
          </w:p>
        </w:tc>
        <w:tc>
          <w:tcPr>
            <w:tcBorders>
              <w:bottom w:val="single" w:sz="8" w:space="0" w:color="000000"/>
              <w:right w:val="single" w:sz="8" w:space="0" w:color="000000"/>
            </w:tcBorders>
            <w:vAlign w:val="center"/>
          </w:tcPr>
          <w:p>
            <w:pPr>
              <w:spacing w:lineRule="auto"/>
              <w:jc w:val="left"/>
            </w:pPr>
            <w:r>
              <w:rPr/>
              <w:t xml:space="preserve">9380</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fusion et décomposition à </w:t>
            </w:r>
            <m:oMath>
              <m:r>
                <m:rPr>
                  <m:sty m:val="p"/>
                </m:rPr>
                <m:t>290</m:t>
              </m:r>
              <m:sSup>
                <m:sSupPr/>
                <m:e>
                  <m:r>
                    <m:t xml:space="preserve"> </m:t>
                  </m:r>
                </m:e>
                <m:sup>
                  <m:r>
                    <m:rPr>
                      <m:sty m:val="p"/>
                    </m:rPr>
                    <m:t>∘</m:t>
                  </m:r>
                </m:sup>
              </m:sSup>
              <m:r>
                <m:rPr>
                  <m:sty m:val="p"/>
                </m:rPr>
                <m:t>C</m:t>
              </m:r>
            </m:oMath>
            <w:r>
              <w:rPr/>
              <w:t xml:space="preserve"> en </w:t>
            </w:r>
            <m:oMath>
              <m:sSub>
                <m:sSubPr/>
                <m:e>
                  <m:r>
                    <m:rPr>
                      <m:sty m:val="p"/>
                    </m:rPr>
                    <m:t>Pb</m:t>
                  </m:r>
                </m:e>
                <m:sub>
                  <m:r>
                    <m:rPr>
                      <m:sty m:val="p"/>
                    </m:rPr>
                    <m:t>3</m:t>
                  </m:r>
                </m:sub>
              </m:sSub>
              <m:sSub>
                <m:sSubPr/>
                <m:e>
                  <m:r>
                    <m:rPr>
                      <m:sty m:val="p"/>
                    </m:rPr>
                    <m:t>O</m:t>
                  </m:r>
                </m:e>
                <m:sub>
                  <m:r>
                    <m:rPr>
                      <m:sty m:val="p"/>
                    </m:rPr>
                    <m:t>4</m:t>
                  </m:r>
                </m:sub>
              </m:sSub>
            </m:oMath>
            <w:r>
              <w:rPr/>
              <w:t xml:space="preserve"> puis PbO</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PbCO</m:t>
                    </m:r>
                  </m:e>
                  <m:sub>
                    <m:r>
                      <m:rPr>
                        <m:sty m:val="p"/>
                      </m:rPr>
                      <m:t>3</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blanc (céruse)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instable au-dessus de </w:t>
            </w:r>
            <m:oMath>
              <m:sSup>
                <m:sSupPr/>
                <m:e>
                  <m:r>
                    <m:rPr>
                      <m:sty m:val="p"/>
                    </m:rPr>
                    <m:t>400</m:t>
                  </m:r>
                </m:e>
                <m:sup>
                  <m:r>
                    <m:rPr>
                      <m:sty m:val="p"/>
                    </m:rPr>
                    <m:t>∘</m:t>
                  </m:r>
                </m:sup>
              </m:sSup>
              <m:r>
                <m:rPr>
                  <m:sty m:val="p"/>
                </m:rPr>
                <m:t>C</m:t>
              </m:r>
            </m:oMath>
            <w:r>
              <w:rPr/>
              <w:t xml:space="preserve"> en </w:t>
            </w:r>
            <m:oMath>
              <m:r>
                <m:rPr>
                  <m:sty m:val="p"/>
                </m:rPr>
                <m:t>PbO</m:t>
              </m:r>
              <m:r>
                <m:rPr>
                  <m:sty m:val="p"/>
                </m:rPr>
                <m:t>,</m:t>
              </m:r>
              <m:r>
                <m:rPr>
                  <m:sty m:val="p"/>
                </m:rPr>
                <m:t>CO</m:t>
              </m:r>
            </m:oMath>
            <w:r>
              <w:rPr/>
              <w:t xml:space="preserve"> et </w:t>
            </w:r>
            <m:oMath>
              <m:sSub>
                <m:sSubPr/>
                <m:e>
                  <m:r>
                    <m:rPr>
                      <m:sty m:val="p"/>
                    </m:rPr>
                    <m:t>CO</m:t>
                  </m:r>
                </m:e>
                <m:sub>
                  <m:r>
                    <m:rPr>
                      <m:sty m:val="p"/>
                    </m:rPr>
                    <m:t>2</m:t>
                  </m:r>
                </m:sub>
              </m:sSub>
            </m:oMath>
          </w:p>
        </w:tc>
      </w:tr>
    </w:tbl>
    <w:p>
      <w:pPr>
        <w:spacing w:lineRule="auto"/>
      </w:pPr>
    </w:p>
    <w:p>
      <w:pPr>
        <w:spacing w:line="271" w:before="330" w:lineRule="auto"/>
      </w:pPr>
      <w:r>
        <w:rPr>
          <w:rFonts w:eastAsia="Georgia" w:cs="Georgia" w:ascii="Georgia" w:hAnsi="Georgia"/>
          <w:b/>
          <w:sz w:val="42"/>
        </w:rPr>
        <w:t xml:space="preserve">Représentation graphique de la fonction </w:t>
      </w:r>
      <m:oMath>
        <m:r>
          <m:rPr>
            <m:sty m:val="p"/>
          </m:rPr>
          <w:rPr>
            <w:sz w:val="42"/>
          </w:rPr>
          <m:t>ln</m:t>
        </m:r>
        <m:r>
          <m:rPr>
            <m:sty m:val="p"/>
          </m:rPr>
          <w:rPr>
            <w:sz w:val="42"/>
          </w:rPr>
          <m:t>⁡</m:t>
        </m:r>
        <m:r>
          <m:rPr>
            <m:sty m:val="p"/>
          </m:rPr>
          <w:rPr>
            <w:sz w:val="42"/>
          </w:rPr>
          <m:t>(</m:t>
        </m:r>
        <m:r>
          <m:rPr>
            <m:sty m:val="p"/>
          </m:rPr>
          <w:rPr>
            <w:sz w:val="42"/>
          </w:rPr>
          <m:t>1</m:t>
        </m:r>
        <m:r>
          <m:rPr>
            <m:sty m:val="p"/>
          </m:rPr>
          <w:rPr>
            <w:sz w:val="42"/>
          </w:rPr>
          <m:t>−</m:t>
        </m:r>
        <m:r>
          <m:rPr>
            <m:sty m:val="i"/>
          </m:rPr>
          <w:rPr>
            <w:sz w:val="42"/>
          </w:rPr>
          <m:t>x</m:t>
        </m:r>
        <m:r>
          <m:rPr>
            <m:sty m:val="p"/>
          </m:rPr>
          <w:rPr>
            <w:sz w:val="42"/>
          </w:rPr>
          <m:t>)</m:t>
        </m:r>
      </m:oMath>
    </w:p>
    <w:p>
      <w:pPr>
        <w:spacing w:lineRule="auto"/>
        <w:jc w:val="center"/>
      </w:pPr>
      <w:r>
        <w:rPr/>
        <w:drawing>
          <wp:inline distB="0" distL="0" distR="0" distT="0">
            <wp:extent cx="5486400" cy="2880000"/>
            <wp:effectExtent b="0" l="0" r="0" t="0"/>
            <wp:docPr id="8" name="image-32edd512ce86ecf7a63ec7a85664f6fdcdb68659.jpg"/>
            <a:graphic>
              <a:graphicData uri="http://schemas.openxmlformats.org/drawingml/2006/picture">
                <pic:pic>
                  <pic:nvPicPr>
                    <pic:cNvPr id="8" name="image-32edd512ce86ecf7a63ec7a85664f6fdcdb68659.jpg" descr=""/>
                    <pic:cNvPicPr/>
                  </pic:nvPicPr>
                  <pic:blipFill>
                    <a:blip r:embed="rId12" cstate="print"/>
                    <a:srcRect b="0" l="0" r="0" t="0"/>
                    <a:stretch>
                      <a:fillRect/>
                    </a:stretch>
                  </pic:blipFill>
                  <pic:spPr>
                    <a:xfrm>
                      <a:off x="0" y="0"/>
                      <a:ext cx="5486400" cy="2880000"/>
                    </a:xfrm>
                    <a:prstGeom prst="rect"/>
                  </pic:spPr>
                </pic:pic>
              </a:graphicData>
            </a:graphic>
          </wp:inline>
        </w:drawing>
      </w:r>
    </w:p>
    <w:p>
      <w:pPr>
        <w:spacing w:line="271" w:before="330" w:lineRule="auto"/>
      </w:pPr>
      <w:r>
        <w:rPr>
          <w:rFonts w:eastAsia="Georgia" w:cs="Georgia" w:ascii="Georgia" w:hAnsi="Georgia"/>
          <w:b/>
          <w:sz w:val="42"/>
        </w:rPr>
        <w:t xml:space="preserve">La cathédrale Notre-Dame de Paris</w:t>
      </w:r>
    </w:p>
    <w:p>
      <w:pPr>
        <w:spacing w:after="220" w:lineRule="auto"/>
      </w:pPr>
      <w:r>
        <w:rPr>
          <w:rFonts w:eastAsia="Georgia" w:cs="Georgia" w:ascii="Georgia" w:hAnsi="Georgia"/>
        </w:rPr>
        <w:t xml:space="preserve">Principales dimensions de l'édifice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w:r>
              <w:rPr/>
              <w:t xml:space="preserve">longueur</w:t>
            </w:r>
          </w:p>
        </w:tc>
        <w:tc>
          <w:tcPr>
            <w:tcBorders/>
            <w:vAlign w:val="center"/>
          </w:tcPr>
          <w:p>
            <w:pPr>
              <w:spacing w:lineRule="auto"/>
              <w:jc w:val="left"/>
            </w:pPr>
            <w:r>
              <w:rPr/>
              <w:t xml:space="preserve">127 m</w:t>
            </w:r>
          </w:p>
        </w:tc>
      </w:tr>
      <w:tr>
        <w:trPr>
          <w:cantSplit/>
        </w:trPr>
        <w:tc>
          <w:tcPr>
            <w:tcBorders/>
            <w:vAlign w:val="center"/>
          </w:tcPr>
          <w:p>
            <w:pPr>
              <w:spacing w:lineRule="auto"/>
              <w:jc w:val="left"/>
            </w:pPr>
            <w:r>
              <w:rPr/>
              <w:t xml:space="preserve">largeur</w:t>
            </w:r>
          </w:p>
        </w:tc>
        <w:tc>
          <w:tcPr>
            <w:tcBorders/>
            <w:vAlign w:val="center"/>
          </w:tcPr>
          <w:p>
            <w:pPr>
              <w:spacing w:lineRule="auto"/>
              <w:jc w:val="left"/>
            </w:pPr>
            <w:r>
              <w:rPr/>
              <w:t xml:space="preserve">48 m</w:t>
            </w:r>
          </w:p>
        </w:tc>
      </w:tr>
      <w:tr>
        <w:trPr>
          <w:cantSplit/>
        </w:trPr>
        <w:tc>
          <w:tcPr>
            <w:tcBorders/>
            <w:vAlign w:val="center"/>
          </w:tcPr>
          <w:p>
            <w:pPr>
              <w:spacing w:lineRule="auto"/>
              <w:jc w:val="left"/>
            </w:pPr>
            <w:r>
              <w:rPr>
                <w:rFonts w:eastAsia="Georgia" w:cs="Georgia" w:ascii="Georgia" w:hAnsi="Georgia"/>
              </w:rPr>
              <w:t xml:space="preserve">superficie intérieure</w:t>
            </w:r>
          </w:p>
        </w:tc>
        <w:tc>
          <w:tcPr>
            <w:tcBorders/>
            <w:vAlign w:val="center"/>
          </w:tcPr>
          <w:p>
            <w:pPr>
              <w:spacing w:lineRule="auto"/>
              <w:jc w:val="left"/>
            </w:pPr>
            <m:oMathPara>
              <m:oMathParaPr>
                <m:jc m:val="left"/>
              </m:oMathParaPr>
              <m:oMath>
                <m:r>
                  <m:rPr>
                    <m:sty m:val="p"/>
                  </m:rPr>
                  <m:t>4800</m:t>
                </m:r>
                <m:sSup>
                  <m:sSupPr/>
                  <m:e>
                    <m:r>
                      <m:rPr>
                        <m:nor/>
                      </m:rPr>
                      <m:t xml:space="preserve"> </m:t>
                    </m:r>
                    <m:r>
                      <m:rPr>
                        <m:sty m:val="p"/>
                      </m:rPr>
                      <m:t>m</m:t>
                    </m:r>
                  </m:e>
                  <m:sup>
                    <m:r>
                      <m:rPr>
                        <m:sty m:val="p"/>
                      </m:rPr>
                      <m:t>2</m:t>
                    </m:r>
                  </m:sup>
                </m:sSup>
              </m:oMath>
            </m:oMathPara>
          </w:p>
        </w:tc>
      </w:tr>
      <w:tr>
        <w:trPr>
          <w:cantSplit/>
        </w:trPr>
        <w:tc>
          <w:tcPr>
            <w:tcBorders/>
            <w:vAlign w:val="center"/>
          </w:tcPr>
          <w:p>
            <w:pPr>
              <w:spacing w:lineRule="auto"/>
              <w:jc w:val="left"/>
            </w:pPr>
            <w:r>
              <w:rPr/>
              <w:t xml:space="preserve">hauteur des tours</w:t>
            </w:r>
          </w:p>
        </w:tc>
        <w:tc>
          <w:tcPr>
            <w:tcBorders/>
            <w:vAlign w:val="center"/>
          </w:tcPr>
          <w:p>
            <w:pPr>
              <w:spacing w:lineRule="auto"/>
              <w:jc w:val="left"/>
            </w:pPr>
            <w:r>
              <w:rPr/>
              <w:t xml:space="preserve">69 m</w:t>
            </w:r>
          </w:p>
        </w:tc>
      </w:tr>
      <w:tr>
        <w:trPr>
          <w:cantSplit/>
        </w:trPr>
        <w:tc>
          <w:tcPr>
            <w:tcBorders/>
            <w:vAlign w:val="center"/>
          </w:tcPr>
          <w:p>
            <w:pPr>
              <w:spacing w:lineRule="auto"/>
              <w:jc w:val="left"/>
            </w:pPr>
            <w:r>
              <w:rPr>
                <w:rFonts w:eastAsia="Georgia" w:cs="Georgia" w:ascii="Georgia" w:hAnsi="Georgia"/>
              </w:rPr>
              <w:t xml:space="preserve">hauteur de la flèche</w:t>
            </w:r>
          </w:p>
        </w:tc>
        <w:tc>
          <w:tcPr>
            <w:tcBorders/>
            <w:vAlign w:val="center"/>
          </w:tcPr>
          <w:p>
            <w:pPr>
              <w:spacing w:lineRule="auto"/>
              <w:jc w:val="left"/>
            </w:pPr>
            <w:r>
              <w:rPr/>
              <w:t xml:space="preserve">96 m</w:t>
            </w:r>
          </w:p>
        </w:tc>
      </w:tr>
      <w:tr>
        <w:trPr>
          <w:cantSplit/>
        </w:trPr>
        <w:tc>
          <w:tcPr>
            <w:tcBorders/>
            <w:vAlign w:val="center"/>
          </w:tcPr>
          <w:p>
            <w:pPr>
              <w:spacing w:lineRule="auto"/>
              <w:jc w:val="left"/>
            </w:pPr>
            <w:r>
              <w:rPr>
                <w:rFonts w:eastAsia="Georgia" w:cs="Georgia" w:ascii="Georgia" w:hAnsi="Georgia"/>
              </w:rPr>
              <w:t xml:space="preserve">hauteur de la façade sans les tours</w:t>
            </w:r>
          </w:p>
        </w:tc>
        <w:tc>
          <w:tcPr>
            <w:tcBorders/>
            <w:vAlign w:val="center"/>
          </w:tcPr>
          <w:p>
            <w:pPr>
              <w:spacing w:lineRule="auto"/>
              <w:jc w:val="left"/>
            </w:pPr>
            <w:r>
              <w:rPr/>
              <w:t xml:space="preserve">45 m</w:t>
            </w:r>
          </w:p>
        </w:tc>
      </w:tr>
      <w:tr>
        <w:trPr>
          <w:cantSplit/>
        </w:trPr>
        <w:tc>
          <w:tcPr>
            <w:tcBorders/>
            <w:vAlign w:val="center"/>
          </w:tcPr>
          <w:p>
            <w:pPr>
              <w:spacing w:lineRule="auto"/>
              <w:jc w:val="left"/>
            </w:pPr>
            <w:r>
              <w:rPr>
                <w:rFonts w:eastAsia="Georgia" w:cs="Georgia" w:ascii="Georgia" w:hAnsi="Georgia"/>
              </w:rPr>
              <w:t xml:space="preserve">hauteur estimée de chaque arc-boutant</w:t>
            </w:r>
          </w:p>
        </w:tc>
        <w:tc>
          <w:tcPr>
            <w:tcBorders/>
            <w:vAlign w:val="center"/>
          </w:tcPr>
          <w:p>
            <w:pPr>
              <w:spacing w:lineRule="auto"/>
              <w:jc w:val="left"/>
            </w:pPr>
            <w:r>
              <w:rPr/>
              <w:t xml:space="preserve">30 m</w:t>
            </w:r>
          </w:p>
        </w:tc>
      </w:tr>
    </w:tbl>
    <w:p>
      <w:pPr>
        <w:spacing w:lineRule="auto"/>
      </w:pPr>
    </w:p>
    <w:p>
      <w:pPr>
        <w:spacing w:lineRule="auto"/>
        <w:jc w:val="center"/>
      </w:pPr>
      <w:r>
        <w:rPr/>
        <w:drawing>
          <wp:inline distB="0" distL="0" distR="0" distT="0">
            <wp:extent cx="5486400" cy="3947050"/>
            <wp:effectExtent b="0" l="0" r="0" t="0"/>
            <wp:docPr id="9" name="image-807fb14c22794dbcc10f296f62ef5bab20b6fee7.jpg"/>
            <a:graphic>
              <a:graphicData uri="http://schemas.openxmlformats.org/drawingml/2006/picture">
                <pic:pic>
                  <pic:nvPicPr>
                    <pic:cNvPr id="9" name="image-807fb14c22794dbcc10f296f62ef5bab20b6fee7.jpg" descr=""/>
                    <pic:cNvPicPr/>
                  </pic:nvPicPr>
                  <pic:blipFill>
                    <a:blip r:embed="rId13" cstate="print"/>
                    <a:srcRect b="0" l="0" r="0" t="0"/>
                    <a:stretch>
                      <a:fillRect/>
                    </a:stretch>
                  </pic:blipFill>
                  <pic:spPr>
                    <a:xfrm>
                      <a:off x="0" y="0"/>
                      <a:ext cx="5486400" cy="3947050"/>
                    </a:xfrm>
                    <a:prstGeom prst="rect"/>
                  </pic:spPr>
                </pic:pic>
              </a:graphicData>
            </a:graphic>
          </wp:inline>
        </w:drawing>
      </w:r>
    </w:p>
    <w:p>
      <w:pPr>
        <w:spacing w:after="220" w:lineRule="auto"/>
      </w:pPr>
      <w:r>
        <w:rPr>
          <w:rFonts w:eastAsia="Georgia" w:cs="Georgia" w:ascii="Georgia" w:hAnsi="Georgia"/>
        </w:rPr>
        <w:t xml:space="preserve">Schéma réalisé par le dessinateur de la Brigade des Sapeurs-Pompiers de Paris. Les marques circulaires noires indiquent les positions des pieds des échelles coulissantes porte-nacelles ou BEA (bras élévateurs aériens).</w:t>
      </w:r>
      <w:r>
        <w:rPr/>
        <w:br w:type="textWrapping"/>
      </w:r>
    </w:p>
    <w:p>
      <w:pPr>
        <w:spacing w:lineRule="auto"/>
        <w:jc w:val="center"/>
      </w:pPr>
      <w:r>
        <w:rPr/>
        <w:drawing>
          <wp:inline distB="0" distL="0" distR="0" distT="0">
            <wp:extent cx="5486400" cy="3865498"/>
            <wp:effectExtent b="0" l="0" r="0" t="0"/>
            <wp:docPr id="10" name="image-86c8e3ef3ecb64515db206c8ebc7cb0757ebefd4.jpg"/>
            <a:graphic>
              <a:graphicData uri="http://schemas.openxmlformats.org/drawingml/2006/picture">
                <pic:pic>
                  <pic:nvPicPr>
                    <pic:cNvPr id="10" name="image-86c8e3ef3ecb64515db206c8ebc7cb0757ebefd4.jpg" descr=""/>
                    <pic:cNvPicPr/>
                  </pic:nvPicPr>
                  <pic:blipFill>
                    <a:blip r:embed="rId14" cstate="print"/>
                    <a:srcRect b="0" l="0" r="0" t="0"/>
                    <a:stretch>
                      <a:fillRect/>
                    </a:stretch>
                  </pic:blipFill>
                  <pic:spPr>
                    <a:xfrm>
                      <a:off x="0" y="0"/>
                      <a:ext cx="5486400" cy="3865498"/>
                    </a:xfrm>
                    <a:prstGeom prst="rect"/>
                  </pic:spPr>
                </pic:pic>
              </a:graphicData>
            </a:graphic>
          </wp:inline>
        </w:drawing>
      </w:r>
    </w:p>
    <w:p>
      <w:pPr>
        <w:spacing w:after="220" w:lineRule="auto"/>
      </w:pPr>
      <w:r>
        <w:rPr>
          <w:rFonts w:eastAsia="Georgia" w:cs="Georgia" w:ascii="Georgia" w:hAnsi="Georgia"/>
        </w:rPr>
        <w:t xml:space="preserve">Schéma de la cathédrale réalisé lors de l'incendie par René Dosne, pompier retraité.</w:t>
      </w:r>
    </w:p>
    <w:p>
      <w:pPr>
        <w:spacing w:lineRule="auto"/>
      </w:pPr>
      <w:r>
        <w:rPr>
          <w:noProof/>
        </w:rPr>
        <w:pict>
          <v:rect alt="" style="width:432pt;height:.05pt;mso-width-percent:0;mso-height-percent:0;mso-width-percent:0;mso-height-percent:0" o:hralign="center" o:hrstd="t" o:hr="t"/>
        </w:pict>
      </w:r>
    </w:p>
    <w:bookmarkStart w:id="0" w:name="fn1"/>
    <w:bookmarkEnd w:id="0"/>
    <w:p>
      <w:pPr>
        <w:numPr>
          <w:ilvl w:val="0"/>
          <w:numId w:val="4"/>
        </w:numPr>
        <w:spacing w:after="220" w:lineRule="auto"/>
        <w:ind w:left="357"/>
      </w:pPr>
      <m:oMath>
        <m:sSup>
          <m:sSupPr/>
          <m:e>
            <m:r>
              <m:t xml:space="preserve"> </m:t>
            </m:r>
          </m:e>
          <m:sup>
            <m:r>
              <m:rPr>
                <m:sty m:val="p"/>
              </m:rPr>
              <m:t>1</m:t>
            </m:r>
          </m:sup>
        </m:sSup>
      </m:oMath>
      <w:r>
        <w:rPr>
          <w:rFonts w:eastAsia="Georgia" w:cs="Georgia" w:ascii="Georgia" w:hAnsi="Georgia"/>
        </w:rPr>
        <w:t xml:space="preserve"> Benoît Brandelet. (2016). Caractérisation physico-chimique des particules issues du chauffage domestique au bois. Thèse de doctorat. Université de Lorraine.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abstractNum>
  <w:abstractNum w:abstractNumId="4">
    <w:multiLevelType w:val="hybridMultilevel"/>
    <w:lvl w:ilvl="0">
      <w:start w:val="1"/>
      <w:numFmt w:val="decimal"/>
      <w:lvlText w:val=""/>
      <w:lvlJc w:val="left"/>
      <w:pPr>
        <w:tabs>
          <w:tab w:val="num" w:pos="780"/>
        </w:tabs>
        <w:ind w:left="420" w:hanging="36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6d04b4c14dc46c338ec7b24c1b81404c2ab147db.jpg" TargetMode="Internal"/><Relationship Id="rId6" Type="http://schemas.openxmlformats.org/officeDocument/2006/relationships/image" Target="media/image-8919c640804ebc484fe799fd85a7fd05d560a185.jpg" TargetMode="Internal"/><Relationship Id="rId7" Type="http://schemas.openxmlformats.org/officeDocument/2006/relationships/image" Target="media/image-624a201a8bcf7b0a01fe3c346482e55900d6e516.jpg" TargetMode="Internal"/><Relationship Id="rId8" Type="http://schemas.openxmlformats.org/officeDocument/2006/relationships/image" Target="media/image-aa9412f218ab1b1f594b1e396cda98043876370c.jpg" TargetMode="Internal"/><Relationship Id="rId9" Type="http://schemas.openxmlformats.org/officeDocument/2006/relationships/image" Target="media/image-e7f8cb43606bfb44a969209b305e5046c6134aee.jpg" TargetMode="Internal"/><Relationship Id="rId10" Type="http://schemas.openxmlformats.org/officeDocument/2006/relationships/image" Target="media/image-1677141972ee34dd52070a8567a7381e0123911d.jpg" TargetMode="Internal"/><Relationship Id="rId11" Type="http://schemas.openxmlformats.org/officeDocument/2006/relationships/image" Target="media/image-5ab7d7176e9f5a8720da7c55689b1135f953a713.jpg" TargetMode="Internal"/><Relationship Id="rId12" Type="http://schemas.openxmlformats.org/officeDocument/2006/relationships/image" Target="media/image-32edd512ce86ecf7a63ec7a85664f6fdcdb68659.jpg" TargetMode="Internal"/><Relationship Id="rId13" Type="http://schemas.openxmlformats.org/officeDocument/2006/relationships/image" Target="media/image-807fb14c22794dbcc10f296f62ef5bab20b6fee7.jpg" TargetMode="Internal"/><Relationship Id="rId14" Type="http://schemas.openxmlformats.org/officeDocument/2006/relationships/image" Target="media/image-86c8e3ef3ecb64515db206c8ebc7cb0757ebefd4.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2025-09-04T19:51:08.651Z</dcterms:created>
  <dcterms:modified xsi:type="dcterms:W3CDTF">2025-09-04T19:51:08.651Z</dcterms:modified>
</cp:coreProperties>
</file>