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Dans le vingt-et-unième album de la série Les Aventures de Tintin, intitulé Les Bijoux de la Castafiore, cette dernière est en mesure de faire exploser un verre par la simple utilisation de sa voix. Le présent sujet se penche sur les aspects physiques de ce phénomène. Nous tenterons ainsi de déterminer les circonstances dans lesquelles il est effectivement possible de réaliser une telle prouesse et nous nous pencherons sur les rôles joués par les différents paramètres physiques susceptibles d'influer sur ces circonstances.</w:t>
      </w:r>
      <w:r>
        <w:rPr/>
        <w:br w:type="textWrapping"/>
      </w:r>
      <w:r>
        <w:rPr>
          <w:rFonts w:eastAsia="Georgia" w:cs="Georgia" w:ascii="Georgia" w:hAnsi="Georgia"/>
        </w:rPr>
        <w:t xml:space="preserve">Ce sujet comporte un document réponse à rendre avec la copie. Ce document contient un texte sur le laser.</w:t>
      </w:r>
      <w:r>
        <w:rPr/>
        <w:br w:type="textWrapping"/>
      </w:r>
      <w:r>
        <w:rPr>
          <w:rFonts w:eastAsia="Georgia" w:cs="Georgia" w:ascii="Georgia" w:hAnsi="Georgia"/>
        </w:rPr>
        <w:t xml:space="preserve">Conseils généraux et remarques</w:t>
      </w:r>
    </w:p>
    <w:p>
      <w:pPr>
        <w:numPr>
          <w:ilvl w:val="0"/>
          <w:numId w:val="1"/>
        </w:numPr>
        <w:spacing w:lineRule="auto"/>
      </w:pPr>
      <w:r>
        <w:rPr>
          <w:rFonts w:eastAsia="Georgia" w:cs="Georgia" w:ascii="Georgia" w:hAnsi="Georgia"/>
        </w:rPr>
        <w:t xml:space="preserve">Afin d'en faciliter la lecture et l'analyse, certaines courbes et images expérimentales ont été simplifiées.</w:t>
      </w:r>
    </w:p>
    <w:p>
      <w:pPr>
        <w:numPr>
          <w:ilvl w:val="0"/>
          <w:numId w:val="1"/>
        </w:numPr>
        <w:spacing w:lineRule="auto"/>
      </w:pPr>
      <w:r>
        <w:rPr>
          <w:rFonts w:eastAsia="Georgia" w:cs="Georgia" w:ascii="Georgia" w:hAnsi="Georgia"/>
        </w:rPr>
        <w:t xml:space="preserve">Les applications numériques seront faites avec un nombre adapté de chiffres significatifs.</w:t>
      </w:r>
    </w:p>
    <w:p>
      <w:pPr>
        <w:numPr>
          <w:ilvl w:val="0"/>
          <w:numId w:val="1"/>
        </w:numPr>
        <w:spacing w:lineRule="auto"/>
      </w:pPr>
      <w:r>
        <w:rPr>
          <w:rFonts w:eastAsia="Georgia" w:cs="Georgia" w:ascii="Georgia" w:hAnsi="Georgia"/>
        </w:rPr>
        <w:t xml:space="preserve">Les trois parties du problème sont largement indépendantes, mais les données numériques fournies ou calculées dans les différentes parties sont susceptibles d'être utilisées dans toutes les parties.</w:t>
      </w:r>
    </w:p>
    <w:p>
      <w:pPr>
        <w:spacing w:line="271" w:before="330" w:lineRule="auto"/>
      </w:pPr>
      <w:r>
        <w:rPr>
          <w:rFonts w:eastAsia="Georgia" w:cs="Georgia" w:ascii="Georgia" w:hAnsi="Georgia"/>
          <w:b/>
          <w:sz w:val="42"/>
        </w:rPr>
        <w:t xml:space="preserve">I Analyse expérimentale des vibrations du verre</w:t>
      </w:r>
    </w:p>
    <w:p>
      <w:pPr>
        <w:spacing w:after="220" w:lineRule="auto"/>
      </w:pPr>
      <w:r>
        <w:rPr>
          <w:rFonts w:eastAsia="Georgia" w:cs="Georgia" w:ascii="Georgia" w:hAnsi="Georgia"/>
        </w:rPr>
        <w:t xml:space="preserve">Il est extrêmement facile, en frappant un verre à pied, d'entendre le son que celui-ci émet. On se propose dans cette partie de déterminer, à partir d'une modélisation simple, quelques propriétés des oscillations libres d'un verre mis ainsi en vibration.</w:t>
      </w:r>
    </w:p>
    <w:p>
      <w:pPr>
        <w:spacing w:lineRule="auto"/>
        <w:jc w:val="center"/>
      </w:pPr>
      <w:r>
        <w:rPr/>
        <w:drawing>
          <wp:inline distB="0" distL="0" distR="0" distT="0">
            <wp:extent cx="5486400" cy="1045029"/>
            <wp:effectExtent b="0" l="0" r="0" t="0"/>
            <wp:docPr id="1" name="image-4d7677cf683cf679826657f854f8e0d53e584471.jpg"/>
            <a:graphic>
              <a:graphicData uri="http://schemas.openxmlformats.org/drawingml/2006/picture">
                <pic:pic>
                  <pic:nvPicPr>
                    <pic:cNvPr id="1" name="image-4d7677cf683cf679826657f854f8e0d53e584471.jpg" descr=""/>
                    <pic:cNvPicPr/>
                  </pic:nvPicPr>
                  <pic:blipFill>
                    <a:blip r:embed="rId5" cstate="print"/>
                    <a:srcRect b="0" l="0" r="0" t="0"/>
                    <a:stretch>
                      <a:fillRect/>
                    </a:stretch>
                  </pic:blipFill>
                  <pic:spPr>
                    <a:xfrm>
                      <a:off x="0" y="0"/>
                      <a:ext cx="5486400" cy="1045029"/>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Un verre à pied, d'un diamètre de 12 cm , est frappé, à l'instant </w:t>
      </w:r>
      <m:oMath>
        <m:r>
          <m:rPr>
            <m:sty m:val="i"/>
          </m:rPr>
          <m:t>t</m:t>
        </m:r>
        <m:r>
          <m:rPr>
            <m:sty m:val="p"/>
          </m:rPr>
          <m:t>=</m:t>
        </m:r>
        <m:r>
          <m:rPr>
            <m:sty m:val="p"/>
          </m:rPr>
          <m:t>0</m:t>
        </m:r>
      </m:oMath>
      <w:r>
        <w:rPr>
          <w:rFonts w:eastAsia="Georgia" w:cs="Georgia" w:ascii="Georgia" w:hAnsi="Georgia"/>
        </w:rPr>
        <w:t xml:space="preserve">, au niveau du bord supérieur à l'aide d'un petit marteau. Le son émis est enregistré par ordinateur. Son analyse spectrale peut alors être réalisée à tout moment de l'enregistrement. Le microphone utilisé pour l'enregistrement présente une courbe de réponse en fonction de la fréquence donnée sur la figure 2.</w:t>
      </w:r>
    </w:p>
    <w:p>
      <w:pPr>
        <w:spacing w:lineRule="auto"/>
        <w:jc w:val="center"/>
      </w:pPr>
      <w:r>
        <w:rPr/>
        <w:drawing>
          <wp:inline distB="0" distL="0" distR="0" distT="0">
            <wp:extent cx="5486400" cy="1857044"/>
            <wp:effectExtent b="0" l="0" r="0" t="0"/>
            <wp:docPr id="2" name="image-6461546d7d994d03e0e004be893e173ec34153e0.jpg"/>
            <a:graphic>
              <a:graphicData uri="http://schemas.openxmlformats.org/drawingml/2006/picture">
                <pic:pic>
                  <pic:nvPicPr>
                    <pic:cNvPr id="2" name="image-6461546d7d994d03e0e004be893e173ec34153e0.jpg" descr=""/>
                    <pic:cNvPicPr/>
                  </pic:nvPicPr>
                  <pic:blipFill>
                    <a:blip r:embed="rId6" cstate="print"/>
                    <a:srcRect b="0" l="0" r="0" t="0"/>
                    <a:stretch>
                      <a:fillRect/>
                    </a:stretch>
                  </pic:blipFill>
                  <pic:spPr>
                    <a:xfrm>
                      <a:off x="0" y="0"/>
                      <a:ext cx="5486400" cy="1857044"/>
                    </a:xfrm>
                    <a:prstGeom prst="rect"/>
                  </pic:spPr>
                </pic:pic>
              </a:graphicData>
            </a:graphic>
          </wp:inline>
        </w:drawing>
      </w:r>
    </w:p>
    <w:p>
      <w:pPr>
        <w:spacing w:lineRule="auto"/>
      </w:pPr>
      <w:r>
        <w:rPr>
          <w:rFonts w:eastAsia="Georgia" w:cs="Georgia" w:ascii="Georgia" w:hAnsi="Georgia"/>
        </w:rPr>
        <w:t xml:space="preserve">Figure 2 Réponse relative du microphone en fonction de la fréquence</w:t>
      </w:r>
    </w:p>
    <w:p>
      <w:pPr>
        <w:spacing w:after="220" w:lineRule="auto"/>
      </w:pPr>
      <w:r>
        <w:rPr>
          <w:rFonts w:eastAsia="Georgia" w:cs="Georgia" w:ascii="Georgia" w:hAnsi="Georgia"/>
        </w:rPr>
        <w:t xml:space="preserve">La figure 3 représente le chronogramme de cet enregistrement et la figure 4 une analyse spectrale réalisée peu après le début de l'enregistrement. La figure 5 présente son analyse spectrale aux dates </w:t>
      </w:r>
      <m:oMath>
        <m:r>
          <m:rPr>
            <m:sty m:val="i"/>
          </m:rPr>
          <m:t>t</m:t>
        </m:r>
        <m:r>
          <m:rPr>
            <m:sty m:val="p"/>
          </m:rPr>
          <m:t>=</m:t>
        </m:r>
        <m:r>
          <m:rPr>
            <m:sty m:val="p"/>
          </m:rPr>
          <m:t>1</m:t>
        </m:r>
        <m:r>
          <m:rPr>
            <m:sty m:val="p"/>
          </m:rPr>
          <m:t>,</m:t>
        </m:r>
        <m:r>
          <m:rPr>
            <m:sty m:val="p"/>
          </m:rPr>
          <m:t>0</m:t>
        </m:r>
        <m:r>
          <m:rPr>
            <m:sty m:val="p"/>
          </m:rPr>
          <m:t>,</m:t>
        </m:r>
        <m:r>
          <m:rPr>
            <m:sty m:val="p"/>
          </m:rPr>
          <m:t>2</m:t>
        </m:r>
        <m:r>
          <m:rPr>
            <m:sty m:val="p"/>
          </m:rPr>
          <m:t>,</m:t>
        </m:r>
        <m:r>
          <m:rPr>
            <m:sty m:val="p"/>
          </m:rPr>
          <m:t>0</m:t>
        </m:r>
        <m:r>
          <m:rPr>
            <m:sty m:val="p"/>
          </m:rPr>
          <m:t>,</m:t>
        </m:r>
        <m:r>
          <m:rPr>
            <m:sty m:val="p"/>
          </m:rPr>
          <m:t>3</m:t>
        </m:r>
        <m:r>
          <m:rPr>
            <m:sty m:val="p"/>
          </m:rPr>
          <m:t>,</m:t>
        </m:r>
        <m:r>
          <m:rPr>
            <m:sty m:val="p"/>
          </m:rPr>
          <m:t>0</m:t>
        </m:r>
      </m:oMath>
      <w:r>
        <w:rPr/>
        <w:t xml:space="preserve"> et </w:t>
      </w:r>
      <m:oMath>
        <m:r>
          <m:rPr>
            <m:sty m:val="p"/>
          </m:rPr>
          <m:t>4</m:t>
        </m:r>
        <m:r>
          <m:rPr>
            <m:sty m:val="p"/>
          </m:rPr>
          <m:t>,</m:t>
        </m:r>
        <m:r>
          <m:rPr>
            <m:sty m:val="p"/>
          </m:rPr>
          <m:t>0</m:t>
        </m:r>
        <m:r>
          <m:rPr>
            <m:nor/>
          </m:rPr>
          <m:t xml:space="preserve"> </m:t>
        </m:r>
        <m:r>
          <m:rPr>
            <m:sty m:val="p"/>
          </m:rPr>
          <m:t>s</m:t>
        </m:r>
      </m:oMath>
      <w:r>
        <w:rPr/>
        <w:t xml:space="preserve">.</w:t>
      </w:r>
    </w:p>
    <w:p>
      <w:pPr>
        <w:spacing w:line="271" w:before="330" w:lineRule="auto"/>
      </w:pPr>
      <w:r>
        <w:rPr>
          <w:b/>
          <w:sz w:val="42"/>
        </w:rPr>
        <w:t xml:space="preserve">I.A - Analyse qualitative de l'enregistrement</w:t>
      </w:r>
    </w:p>
    <w:p>
      <w:pPr>
        <w:spacing w:after="220" w:lineRule="auto"/>
      </w:pPr>
      <w:r>
        <w:rPr>
          <w:rFonts w:eastAsia="Georgia" w:cs="Georgia" w:ascii="Georgia" w:hAnsi="Georgia"/>
        </w:rPr>
        <w:t xml:space="preserve">Les «pics» représentés dans les analyses spectrales correspondent à des modes propres de vibration du verre.</w:t>
      </w:r>
      <w:r>
        <w:rPr/>
        <w:br w:type="textWrapping"/>
      </w:r>
      <w:r>
        <w:rPr>
          <w:rFonts w:eastAsia="Georgia" w:cs="Georgia" w:ascii="Georgia" w:hAnsi="Georgia"/>
        </w:rPr>
        <w:t xml:space="preserve">Q 1. Que signifie la présence de modes propres dans le signal enregistré ? Comment peut-on les nommer ?</w:t>
      </w:r>
      <w:r>
        <w:rPr/>
        <w:br w:type="textWrapping"/>
      </w:r>
      <w:r>
        <w:rPr>
          <w:rFonts w:eastAsia="Georgia" w:cs="Georgia" w:ascii="Georgia" w:hAnsi="Georgia"/>
        </w:rPr>
        <w:t xml:space="preserve">Q 2. Quelle est la fréquence du signal enregistré ?</w:t>
      </w:r>
      <w:r>
        <w:rPr/>
        <w:br w:type="textWrapping"/>
      </w:r>
      <w:r>
        <w:rPr>
          <w:rFonts w:eastAsia="Georgia" w:cs="Georgia" w:ascii="Georgia" w:hAnsi="Georgia"/>
        </w:rPr>
        <w:t xml:space="preserve">Q 3. En limitant le raisonnement au bord supérieur du verre, estimer la vitesse de propagation de la déformation causée par le choc.</w:t>
      </w:r>
    </w:p>
    <w:p>
      <w:pPr>
        <w:spacing w:lineRule="auto"/>
        <w:jc w:val="center"/>
      </w:pPr>
      <w:r>
        <w:rPr/>
        <w:drawing>
          <wp:inline distB="0" distL="0" distR="0" distT="0">
            <wp:extent cx="5486400" cy="3173979"/>
            <wp:effectExtent b="0" l="0" r="0" t="0"/>
            <wp:docPr id="3" name="image-97c90ca2d38735bf908623d4a5f3c29db64fc2cf.jpg"/>
            <a:graphic>
              <a:graphicData uri="http://schemas.openxmlformats.org/drawingml/2006/picture">
                <pic:pic>
                  <pic:nvPicPr>
                    <pic:cNvPr id="3" name="image-97c90ca2d38735bf908623d4a5f3c29db64fc2cf.jpg" descr=""/>
                    <pic:cNvPicPr/>
                  </pic:nvPicPr>
                  <pic:blipFill>
                    <a:blip r:embed="rId7" cstate="print"/>
                    <a:srcRect b="0" l="0" r="0" t="0"/>
                    <a:stretch>
                      <a:fillRect/>
                    </a:stretch>
                  </pic:blipFill>
                  <pic:spPr>
                    <a:xfrm>
                      <a:off x="0" y="0"/>
                      <a:ext cx="5486400" cy="3173979"/>
                    </a:xfrm>
                    <a:prstGeom prst="rect"/>
                  </pic:spPr>
                </pic:pic>
              </a:graphicData>
            </a:graphic>
          </wp:inline>
        </w:drawing>
      </w:r>
    </w:p>
    <w:p>
      <w:pPr>
        <w:spacing w:lineRule="auto"/>
      </w:pPr>
      <w:r>
        <w:rPr/>
        <w:t xml:space="preserve">Figure 3 Chronogramme de l'enregistrement sonore du verre</w:t>
      </w:r>
    </w:p>
    <w:p>
      <w:pPr>
        <w:spacing w:lineRule="auto"/>
        <w:jc w:val="center"/>
      </w:pPr>
      <w:r>
        <w:rPr/>
        <w:drawing>
          <wp:inline distB="0" distL="0" distR="0" distT="0">
            <wp:extent cx="5486400" cy="3143933"/>
            <wp:effectExtent b="0" l="0" r="0" t="0"/>
            <wp:docPr id="4" name="image-8e0a8bcc27b950b305f813d22c545cd8f1a92882.jpg"/>
            <a:graphic>
              <a:graphicData uri="http://schemas.openxmlformats.org/drawingml/2006/picture">
                <pic:pic>
                  <pic:nvPicPr>
                    <pic:cNvPr id="4" name="image-8e0a8bcc27b950b305f813d22c545cd8f1a92882.jpg" descr=""/>
                    <pic:cNvPicPr/>
                  </pic:nvPicPr>
                  <pic:blipFill>
                    <a:blip r:embed="rId8" cstate="print"/>
                    <a:srcRect b="0" l="0" r="0" t="0"/>
                    <a:stretch>
                      <a:fillRect/>
                    </a:stretch>
                  </pic:blipFill>
                  <pic:spPr>
                    <a:xfrm>
                      <a:off x="0" y="0"/>
                      <a:ext cx="5486400" cy="3143933"/>
                    </a:xfrm>
                    <a:prstGeom prst="rect"/>
                  </pic:spPr>
                </pic:pic>
              </a:graphicData>
            </a:graphic>
          </wp:inline>
        </w:drawing>
      </w:r>
    </w:p>
    <w:p>
      <w:pPr>
        <w:spacing w:lineRule="auto"/>
      </w:pPr>
      <w:r>
        <w:rPr>
          <w:rFonts w:eastAsia="Georgia" w:cs="Georgia" w:ascii="Georgia" w:hAnsi="Georgia"/>
        </w:rPr>
        <w:t xml:space="preserve">Figure 4 Analyse spectrale du son réalisée peu après la frappe du verre</w:t>
      </w:r>
    </w:p>
    <w:p>
      <w:pPr>
        <w:spacing w:after="220" w:lineRule="auto"/>
      </w:pPr>
      <w:r>
        <w:rPr>
          <w:rFonts w:eastAsia="Georgia" w:cs="Georgia" w:ascii="Georgia" w:hAnsi="Georgia"/>
        </w:rPr>
        <w:t xml:space="preserve">Q 4. Donner les fréquences des différents modes propres. Elles sont liées par une relation simple ; laquelle ?</w:t>
      </w:r>
      <w:r>
        <w:rPr/>
        <w:br w:type="textWrapping"/>
      </w:r>
      <w:r>
        <w:rPr>
          <w:rFonts w:eastAsia="Georgia" w:cs="Georgia" w:ascii="Georgia" w:hAnsi="Georgia"/>
        </w:rPr>
        <w:t xml:space="preserve">Q 5. Quelle caractéristique de la courbe de réponse du microphone est essentielle pour réaliser un enregistrement et une analyse spectrale représentant correctement le phénomène étudié ?</w:t>
      </w:r>
      <w:r>
        <w:rPr/>
        <w:br w:type="textWrapping"/>
      </w:r>
      <w:r>
        <w:rPr>
          <w:rFonts w:eastAsia="Georgia" w:cs="Georgia" w:ascii="Georgia" w:hAnsi="Georgia"/>
        </w:rPr>
        <w:t xml:space="preserve">Q 6. Quelle(s) autre(s) information(s) peut-on déduire des différentes analyses spectrales ?</w:t>
      </w:r>
    </w:p>
    <w:p>
      <w:pPr>
        <w:spacing w:line="271" w:before="330" w:lineRule="auto"/>
      </w:pPr>
      <w:r>
        <w:rPr>
          <w:rFonts w:eastAsia="Georgia" w:cs="Georgia" w:ascii="Georgia" w:hAnsi="Georgia"/>
          <w:b/>
          <w:sz w:val="42"/>
        </w:rPr>
        <w:t xml:space="preserve">I.B - Estimation du facteur de qualité </w:t>
      </w:r>
      <m:oMath>
        <m:r>
          <m:rPr>
            <m:sty m:val="i"/>
          </m:rPr>
          <w:rPr>
            <w:sz w:val="42"/>
          </w:rPr>
          <m:t>Q</m:t>
        </m:r>
      </m:oMath>
    </w:p>
    <w:p>
      <w:pPr>
        <w:spacing w:after="220" w:lineRule="auto"/>
      </w:pPr>
      <w:r>
        <w:rPr>
          <w:rFonts w:eastAsia="Georgia" w:cs="Georgia" w:ascii="Georgia" w:hAnsi="Georgia"/>
        </w:rPr>
        <w:t xml:space="preserve">Quand le verre est en vibration, son bord supérieur oscille autour de sa position au repos. Afin d'estimer le facteur de qualité du verre, on le modélise par une masse </w:t>
      </w:r>
      <m:oMath>
        <m:r>
          <m:rPr>
            <m:sty m:val="i"/>
          </m:rPr>
          <m:t>m</m:t>
        </m:r>
      </m:oMath>
      <w:r>
        <w:rPr/>
        <w:t xml:space="preserve"> mobile sur l'axe ( </w:t>
      </w:r>
      <m:oMath>
        <m:r>
          <m:rPr>
            <m:sty m:val="i"/>
          </m:rPr>
          <m:t>O</m:t>
        </m:r>
        <m:r>
          <m:rPr>
            <m:sty m:val="i"/>
          </m:rPr>
          <m:t>x</m:t>
        </m:r>
      </m:oMath>
      <w:r>
        <w:rPr>
          <w:rFonts w:eastAsia="Georgia" w:cs="Georgia" w:ascii="Georgia" w:hAnsi="Georgia"/>
        </w:rPr>
        <w:t xml:space="preserve"> ) horizontal associée à un ressort de raideur </w:t>
      </w:r>
      <m:oMath>
        <m:r>
          <m:rPr>
            <m:sty m:val="i"/>
          </m:rPr>
          <m:t>k</m:t>
        </m:r>
      </m:oMath>
      <w:r>
        <w:rPr>
          <w:rFonts w:eastAsia="Georgia" w:cs="Georgia" w:ascii="Georgia" w:hAnsi="Georgia"/>
        </w:rPr>
        <w:t xml:space="preserve">, de longueur à vide nulle (figure 6). Les frottements seront, quant à eux, modélisés par un frottement fluide de type </w:t>
      </w:r>
      <m:oMath>
        <m:acc>
          <m:accPr>
            <m:chr m:val="⃗"/>
          </m:accPr>
          <m:e>
            <m:r>
              <m:rPr>
                <m:sty m:val="i"/>
              </m:rPr>
              <m:t>f</m:t>
            </m:r>
          </m:e>
        </m:acc>
        <m:r>
          <m:rPr>
            <m:sty m:val="p"/>
          </m:rPr>
          <m:t>=</m:t>
        </m:r>
        <m:r>
          <m:rPr>
            <m:sty m:val="p"/>
          </m:rPr>
          <m:t>−</m:t>
        </m:r>
        <m:r>
          <m:rPr>
            <m:sty m:val="i"/>
          </m:rPr>
          <m:t>α</m:t>
        </m:r>
        <m:acc>
          <m:accPr>
            <m:chr m:val="⃗"/>
          </m:accPr>
          <m:e>
            <m:r>
              <m:rPr>
                <m:sty m:val="i"/>
              </m:rPr>
              <m:t>v</m:t>
            </m:r>
          </m:e>
        </m:acc>
      </m:oMath>
      <w:r>
        <w:rPr>
          <w:rFonts w:eastAsia="Georgia" w:cs="Georgia" w:ascii="Georgia" w:hAnsi="Georgia"/>
        </w:rPr>
        <w:t xml:space="preserve"> où </w:t>
      </w:r>
      <m:oMath>
        <m:acc>
          <m:accPr>
            <m:chr m:val="⃗"/>
          </m:accPr>
          <m:e>
            <m:r>
              <m:rPr>
                <m:sty m:val="i"/>
              </m:rPr>
              <m:t>v</m:t>
            </m:r>
          </m:e>
        </m:acc>
      </m:oMath>
      <w:r>
        <w:rPr>
          <w:rFonts w:eastAsia="Georgia" w:cs="Georgia" w:ascii="Georgia" w:hAnsi="Georgia"/>
        </w:rPr>
        <w:t xml:space="preserve"> désigne le vecteur vitesse de la masse </w:t>
      </w:r>
      <m:oMath>
        <m:r>
          <m:rPr>
            <m:sty m:val="i"/>
          </m:rPr>
          <m:t>m</m:t>
        </m:r>
      </m:oMath>
      <w:r>
        <w:rPr/>
        <w:t xml:space="preserve">.</w:t>
      </w:r>
      <w:r>
        <w:rPr/>
        <w:br w:type="textWrapping"/>
      </w:r>
      <w:r>
        <w:rPr>
          <w:rFonts w:eastAsia="Georgia" w:cs="Georgia" w:ascii="Georgia" w:hAnsi="Georgia"/>
        </w:rPr>
        <w:t xml:space="preserve">Q 7. Montrer que l'équation différentielle traduisant l'évolution temporelle de </w:t>
      </w:r>
      <m:oMath>
        <m:r>
          <m:rPr>
            <m:sty m:val="i"/>
          </m:rPr>
          <m:t>x</m:t>
        </m:r>
        <m:r>
          <m:rPr>
            <m:sty m:val="p"/>
          </m:rPr>
          <m:t>(</m:t>
        </m:r>
        <m:r>
          <m:rPr>
            <m:sty m:val="i"/>
          </m:rPr>
          <m:t>t</m:t>
        </m:r>
        <m:r>
          <m:rPr>
            <m:sty m:val="p"/>
          </m:rPr>
          <m:t>)</m:t>
        </m:r>
      </m:oMath>
      <w:r>
        <w:rPr>
          <w:rFonts w:eastAsia="Georgia" w:cs="Georgia" w:ascii="Georgia" w:hAnsi="Georgia"/>
        </w:rPr>
        <w:t xml:space="preserve"> s'écrit de la façon suivante, avec </w:t>
      </w:r>
      <m:oMath>
        <m:sSub>
          <m:sSubPr/>
          <m:e>
            <m:r>
              <m:rPr>
                <m:sty m:val="i"/>
              </m:rPr>
              <m:t>ω</m:t>
            </m:r>
          </m:e>
          <m:sub>
            <m:r>
              <m:rPr>
                <m:sty m:val="p"/>
              </m:rPr>
              <m:t>0</m:t>
            </m:r>
          </m:sub>
        </m:sSub>
      </m:oMath>
      <w:r>
        <w:rPr/>
        <w:t xml:space="preserve"> et </w:t>
      </w:r>
      <m:oMath>
        <m:r>
          <m:rPr>
            <m:sty m:val="i"/>
          </m:rPr>
          <m:t>Q</m:t>
        </m:r>
      </m:oMath>
      <w:r>
        <w:rPr/>
        <w:t xml:space="preserve"> deux constantes que l'on exprimera en fonction de </w:t>
      </w:r>
      <m:oMath>
        <m:r>
          <m:rPr>
            <m:sty m:val="i"/>
          </m:rPr>
          <m:t>α</m:t>
        </m:r>
        <m:r>
          <m:rPr>
            <m:sty m:val="p"/>
          </m:rPr>
          <m:t>,</m:t>
        </m:r>
        <m:r>
          <m:rPr>
            <m:sty m:val="i"/>
          </m:rPr>
          <m:t>k</m:t>
        </m:r>
      </m:oMath>
      <w:r>
        <w:rPr/>
        <w:t xml:space="preserve"> et </w:t>
      </w:r>
      <m:oMath>
        <m:r>
          <m:rPr>
            <m:sty m:val="i"/>
          </m:rPr>
          <m:t>m</m:t>
        </m:r>
      </m:oMath>
      <w:r>
        <w:rPr/>
        <w:t xml:space="preserve"> :</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x</m:t>
              </m:r>
            </m:num>
            <m:den>
              <m:r>
                <m:rPr>
                  <m:nor/>
                </m:rPr>
                <m:t xml:space="preserve"> </m:t>
              </m:r>
              <m:r>
                <m:rPr>
                  <m:sty m:val="p"/>
                </m:rPr>
                <m:t>d</m:t>
              </m:r>
              <m:sSup>
                <m:sSupPr/>
                <m:e>
                  <m:r>
                    <m:rPr>
                      <m:sty m:val="i"/>
                    </m:rPr>
                    <m:t>t</m:t>
                  </m:r>
                </m:e>
                <m:sup>
                  <m:r>
                    <m:rPr>
                      <m:sty m:val="p"/>
                    </m:rPr>
                    <m:t>2</m:t>
                  </m:r>
                </m:sup>
              </m:sSup>
            </m:den>
          </m:f>
          <m:r>
            <m:rPr>
              <m:sty m:val="p"/>
            </m:rPr>
            <m:t>+</m:t>
          </m:r>
          <m:f>
            <m:fPr>
              <m:ctrlPr>
                <w:rPr>
                  <w:rFonts w:ascii="Cambria Math" w:hAnsi="Cambria Math"/>
                </w:rPr>
              </m:ctrlPr>
            </m:fPr>
            <m:num>
              <m:sSub>
                <m:sSubPr/>
                <m:e>
                  <m:r>
                    <m:rPr>
                      <m:sty m:val="i"/>
                    </m:rPr>
                    <m:t>ω</m:t>
                  </m:r>
                </m:e>
                <m:sub>
                  <m:r>
                    <m:rPr>
                      <m:sty m:val="p"/>
                    </m:rPr>
                    <m:t>0</m:t>
                  </m:r>
                </m:sub>
              </m:sSub>
            </m:num>
            <m:den>
              <m:r>
                <m:rPr>
                  <m:sty m:val="i"/>
                </m:rPr>
                <m:t>Q</m:t>
              </m:r>
            </m:den>
          </m:f>
          <m:f>
            <m:fPr>
              <m:ctrlPr>
                <w:rPr>
                  <w:rFonts w:ascii="Cambria Math" w:hAnsi="Cambria Math"/>
                </w:rPr>
              </m:ctrlPr>
            </m:fPr>
            <m:num>
              <m:r>
                <m:rPr>
                  <m:nor/>
                </m:rPr>
                <m:t xml:space="preserve"> </m:t>
              </m:r>
              <m:r>
                <m:rPr>
                  <m:sty m:val="p"/>
                </m:rPr>
                <m:t>d</m:t>
              </m:r>
              <m:r>
                <m:rPr>
                  <m:sty m:val="i"/>
                </m:rPr>
                <m:t>x</m:t>
              </m:r>
            </m:num>
            <m:den>
              <m:r>
                <m:rPr>
                  <m:nor/>
                </m:rPr>
                <m:t xml:space="preserve"> </m:t>
              </m:r>
              <m:r>
                <m:rPr>
                  <m:sty m:val="p"/>
                </m:rPr>
                <m:t>d</m:t>
              </m:r>
              <m:r>
                <m:rPr>
                  <m:sty m:val="i"/>
                </m:rPr>
                <m:t>t</m:t>
              </m:r>
            </m:den>
          </m:f>
          <m:r>
            <m:rPr>
              <m:sty m:val="p"/>
            </m:rPr>
            <m:t>+</m:t>
          </m:r>
          <m:sSubSup>
            <m:sSubSupPr/>
            <m:e>
              <m:r>
                <m:rPr>
                  <m:sty m:val="i"/>
                </m:rPr>
                <m:t>ω</m:t>
              </m:r>
            </m:e>
            <m:sub>
              <m:r>
                <m:rPr>
                  <m:sty m:val="p"/>
                </m:rPr>
                <m:t>0</m:t>
              </m:r>
            </m:sub>
            <m:sup>
              <m:r>
                <m:rPr>
                  <m:sty m:val="p"/>
                </m:rPr>
                <m:t>2</m:t>
              </m:r>
            </m:sup>
          </m:sSubSup>
          <m:r>
            <m:rPr>
              <m:sty m:val="i"/>
            </m:rPr>
            <m:t>x</m:t>
          </m:r>
          <m:r>
            <m:rPr>
              <m:sty m:val="p"/>
            </m:rPr>
            <m:t>=</m:t>
          </m:r>
          <m:r>
            <m:rPr>
              <m:sty m:val="p"/>
            </m:rPr>
            <m:t>0</m:t>
          </m:r>
        </m:oMath>
      </m:oMathPara>
    </w:p>
    <w:p>
      <w:pPr>
        <w:spacing w:lineRule="auto"/>
        <w:jc w:val="center"/>
      </w:pPr>
      <w:r>
        <w:rPr/>
        <w:drawing>
          <wp:inline distB="0" distL="0" distR="0" distT="0">
            <wp:extent cx="5486400" cy="3618914"/>
            <wp:effectExtent b="0" l="0" r="0" t="0"/>
            <wp:docPr id="5" name="image-bbd8c7ac40ce527a64623aad5e32feecd8dc87ba.jpg"/>
            <a:graphic>
              <a:graphicData uri="http://schemas.openxmlformats.org/drawingml/2006/picture">
                <pic:pic>
                  <pic:nvPicPr>
                    <pic:cNvPr id="5" name="image-bbd8c7ac40ce527a64623aad5e32feecd8dc87ba.jpg" descr=""/>
                    <pic:cNvPicPr/>
                  </pic:nvPicPr>
                  <pic:blipFill>
                    <a:blip r:embed="rId9" cstate="print"/>
                    <a:srcRect b="0" l="0" r="0" t="0"/>
                    <a:stretch>
                      <a:fillRect/>
                    </a:stretch>
                  </pic:blipFill>
                  <pic:spPr>
                    <a:xfrm>
                      <a:off x="0" y="0"/>
                      <a:ext cx="5486400" cy="3618914"/>
                    </a:xfrm>
                    <a:prstGeom prst="rect"/>
                  </pic:spPr>
                </pic:pic>
              </a:graphicData>
            </a:graphic>
          </wp:inline>
        </w:drawing>
      </w:r>
    </w:p>
    <w:p>
      <w:pPr>
        <w:spacing w:lineRule="auto"/>
      </w:pPr>
      <w:r>
        <w:rPr>
          <w:rFonts w:eastAsia="Georgia" w:cs="Georgia" w:ascii="Georgia" w:hAnsi="Georgia"/>
        </w:rPr>
        <w:t xml:space="preserve">Figure 5 Analyse spectrale du son à différents instants après la frappe du verre</w:t>
      </w:r>
    </w:p>
    <w:p>
      <w:pPr>
        <w:spacing w:lineRule="auto"/>
        <w:jc w:val="center"/>
      </w:pPr>
      <w:r>
        <w:rPr/>
        <w:drawing>
          <wp:inline distB="0" distL="0" distR="0" distT="0">
            <wp:extent cx="5486400" cy="912043"/>
            <wp:effectExtent b="0" l="0" r="0" t="0"/>
            <wp:docPr id="6" name="image-dec13cbef131f724d3671f0745eacbf5e8a9a687.jpg"/>
            <a:graphic>
              <a:graphicData uri="http://schemas.openxmlformats.org/drawingml/2006/picture">
                <pic:pic>
                  <pic:nvPicPr>
                    <pic:cNvPr id="6" name="image-dec13cbef131f724d3671f0745eacbf5e8a9a687.jpg" descr=""/>
                    <pic:cNvPicPr/>
                  </pic:nvPicPr>
                  <pic:blipFill>
                    <a:blip r:embed="rId10" cstate="print"/>
                    <a:srcRect b="0" l="0" r="0" t="0"/>
                    <a:stretch>
                      <a:fillRect/>
                    </a:stretch>
                  </pic:blipFill>
                  <pic:spPr>
                    <a:xfrm>
                      <a:off x="0" y="0"/>
                      <a:ext cx="5486400" cy="912043"/>
                    </a:xfrm>
                    <a:prstGeom prst="rect"/>
                  </pic:spPr>
                </pic:pic>
              </a:graphicData>
            </a:graphic>
          </wp:inline>
        </w:drawing>
      </w:r>
    </w:p>
    <w:p>
      <w:pPr>
        <w:spacing w:lineRule="auto"/>
      </w:pPr>
      <w:r>
        <w:rPr>
          <w:rFonts w:eastAsia="Georgia" w:cs="Georgia" w:ascii="Georgia" w:hAnsi="Georgia"/>
        </w:rPr>
        <w:t xml:space="preserve">Figure 6 Modèle mécanique du déplacement</w:t>
      </w:r>
    </w:p>
    <w:p>
      <w:pPr>
        <w:spacing w:after="220" w:lineRule="auto"/>
      </w:pPr>
      <w:r>
        <w:rPr/>
        <w:t xml:space="preserve">Q 8. Quelle est la signification physique de </w:t>
      </w:r>
      <m:oMath>
        <m:sSub>
          <m:sSubPr/>
          <m:e>
            <m:r>
              <m:rPr>
                <m:sty m:val="i"/>
              </m:rPr>
              <m:t>ω</m:t>
            </m:r>
          </m:e>
          <m:sub>
            <m:r>
              <m:rPr>
                <m:sty m:val="p"/>
              </m:rPr>
              <m:t>0</m:t>
            </m:r>
          </m:sub>
        </m:sSub>
      </m:oMath>
      <w:r>
        <w:rPr/>
        <w:t xml:space="preserve"> et de </w:t>
      </w:r>
      <m:oMath>
        <m:r>
          <m:rPr>
            <m:sty m:val="i"/>
          </m:rPr>
          <m:t>Q</m:t>
        </m:r>
      </m:oMath>
      <w:r>
        <w:rPr>
          <w:rFonts w:eastAsia="Georgia" w:cs="Georgia" w:ascii="Georgia" w:hAnsi="Georgia"/>
        </w:rPr>
        <w:t xml:space="preserve"> ? Quelles sont les unités de ces deux grandeurs ?</w:t>
      </w:r>
      <w:r>
        <w:rPr/>
        <w:br w:type="textWrapping"/>
      </w:r>
      <w:r>
        <w:rPr>
          <w:rFonts w:eastAsia="Georgia" w:cs="Georgia" w:ascii="Georgia" w:hAnsi="Georgia"/>
        </w:rPr>
        <w:t xml:space="preserve">Q 9. Compte tenu du choc initial avec le marteau, déterminer, dans le cas d'un frottement «faible», l'expression approchée de la solution </w:t>
      </w:r>
      <m:oMath>
        <m:r>
          <m:rPr>
            <m:sty m:val="i"/>
          </m:rPr>
          <m:t>x</m:t>
        </m:r>
        <m:r>
          <m:rPr>
            <m:sty m:val="p"/>
          </m:rPr>
          <m:t>(</m:t>
        </m:r>
        <m:r>
          <m:rPr>
            <m:sty m:val="i"/>
          </m:rPr>
          <m:t>t</m:t>
        </m:r>
        <m:r>
          <m:rPr>
            <m:sty m:val="p"/>
          </m:rPr>
          <m:t>)</m:t>
        </m:r>
      </m:oMath>
      <w:r>
        <w:rPr/>
        <w:t xml:space="preserve"> avec les conditions initiales </w:t>
      </w:r>
      <m:oMath>
        <m:r>
          <m:rPr>
            <m:sty m:val="i"/>
          </m:rPr>
          <m:t>x</m:t>
        </m:r>
        <m:r>
          <m:rPr>
            <m:sty m:val="p"/>
          </m:rPr>
          <m:t>(</m:t>
        </m:r>
        <m:r>
          <m:rPr>
            <m:sty m:val="p"/>
          </m:rPr>
          <m:t>0</m:t>
        </m:r>
        <m:r>
          <m:rPr>
            <m:sty m:val="p"/>
          </m:rPr>
          <m:t>)</m:t>
        </m:r>
        <m:r>
          <m:rPr>
            <m:sty m:val="p"/>
          </m:rPr>
          <m:t>=</m:t>
        </m:r>
        <m:r>
          <m:rPr>
            <m:sty m:val="p"/>
          </m:rPr>
          <m:t>0</m:t>
        </m:r>
      </m:oMath>
      <w:r>
        <w:rPr/>
        <w:t xml:space="preserve"> et </w:t>
      </w:r>
      <m:oMath>
        <m:f>
          <m:fPr>
            <m:ctrlPr>
              <w:rPr>
                <w:rFonts w:ascii="Cambria Math" w:hAnsi="Cambria Math"/>
              </w:rPr>
            </m:ctrlPr>
          </m:fPr>
          <m:num>
            <m:r>
              <m:rPr>
                <m:sty m:val="p"/>
              </m:rPr>
              <m:t>d</m:t>
            </m:r>
            <m:r>
              <m:rPr>
                <m:sty m:val="i"/>
              </m:rPr>
              <m:t>x</m:t>
            </m:r>
          </m:num>
          <m:den>
            <m:r>
              <m:rPr>
                <m:nor/>
              </m:rPr>
              <m:t xml:space="preserve"> </m:t>
            </m:r>
            <m:r>
              <m:rPr>
                <m:sty m:val="p"/>
              </m:rPr>
              <m:t>d</m:t>
            </m:r>
            <m:r>
              <m:rPr>
                <m:sty m:val="i"/>
              </m:rPr>
              <m:t>t</m:t>
            </m:r>
          </m:den>
        </m:f>
        <m:r>
          <m:rPr>
            <m:sty m:val="p"/>
          </m:rPr>
          <m:t>(</m:t>
        </m:r>
        <m:r>
          <m:rPr>
            <m:sty m:val="p"/>
          </m:rPr>
          <m:t>0</m:t>
        </m:r>
        <m:r>
          <m:rPr>
            <m:sty m:val="p"/>
          </m:rPr>
          <m:t>)</m:t>
        </m:r>
        <m:r>
          <m:rPr>
            <m:sty m:val="p"/>
          </m:rPr>
          <m:t>=</m:t>
        </m:r>
        <m:sSub>
          <m:sSubPr/>
          <m:e>
            <m:r>
              <m:rPr>
                <m:sty m:val="i"/>
              </m:rPr>
              <m:t>V</m:t>
            </m:r>
          </m:e>
          <m:sub>
            <m:r>
              <m:rPr>
                <m:sty m:val="p"/>
              </m:rPr>
              <m:t>0</m:t>
            </m:r>
          </m:sub>
        </m:sSub>
      </m:oMath>
      <w:r>
        <w:rPr>
          <w:rFonts w:eastAsia="Georgia" w:cs="Georgia" w:ascii="Georgia" w:hAnsi="Georgia"/>
        </w:rPr>
        <w:t xml:space="preserve">. Représenter son allure.</w:t>
      </w:r>
      <w:r>
        <w:rPr/>
        <w:br w:type="textWrapping"/>
      </w:r>
      <w:r>
        <w:rPr>
          <w:rFonts w:eastAsia="Georgia" w:cs="Georgia" w:ascii="Georgia" w:hAnsi="Georgia"/>
        </w:rPr>
        <w:t xml:space="preserve">Q 10. En quoi, l'enregistrement de la figure 3 est-il en accord à la modélisation par un frottement fluide ?</w:t>
      </w:r>
      <w:r>
        <w:rPr/>
        <w:br w:type="textWrapping"/>
      </w:r>
      <w:r>
        <w:rPr>
          <w:rFonts w:eastAsia="Georgia" w:cs="Georgia" w:ascii="Georgia" w:hAnsi="Georgia"/>
        </w:rPr>
        <w:t xml:space="preserve">Q 11. Proposer, à partir de l'évolution temporelle du mode 1 sur les analyses spectrales, un ordre de grandeur du facteur de qualité </w:t>
      </w:r>
      <m:oMath>
        <m:r>
          <m:rPr>
            <m:sty m:val="i"/>
          </m:rPr>
          <m:t>Q</m:t>
        </m:r>
      </m:oMath>
      <w:r>
        <w:rPr/>
        <w:t xml:space="preserve">.</w:t>
      </w:r>
    </w:p>
    <w:p>
      <w:pPr>
        <w:spacing w:after="220" w:lineRule="auto"/>
      </w:pPr>
      <w:r>
        <w:rPr>
          <w:rFonts w:eastAsia="Georgia" w:cs="Georgia" w:ascii="Georgia" w:hAnsi="Georgia"/>
        </w:rPr>
        <w:t xml:space="preserve">Dans la suite de l'expérience, on va chercher à mettre en résonance le verre à l'aide d'une excitation sinusoïdale.</w:t>
      </w:r>
      <w:r>
        <w:rPr/>
        <w:br w:type="textWrapping"/>
      </w:r>
      <w:r>
        <w:rPr>
          <w:rFonts w:eastAsia="Georgia" w:cs="Georgia" w:ascii="Georgia" w:hAnsi="Georgia"/>
        </w:rPr>
        <w:t xml:space="preserve">Q 12. Donner une estimation du temps nécessaire pour mettre le système en régime sinusoïdal forcé.</w:t>
      </w:r>
    </w:p>
    <w:p>
      <w:pPr>
        <w:spacing w:line="271" w:before="330" w:lineRule="auto"/>
      </w:pPr>
      <w:r>
        <w:rPr>
          <w:rFonts w:eastAsia="Georgia" w:cs="Georgia" w:ascii="Georgia" w:hAnsi="Georgia"/>
          <w:b/>
          <w:sz w:val="42"/>
        </w:rPr>
        <w:t xml:space="preserve">II Étude de la résonance en amplitude du verre en régime sinusoïdal forcé</w:t>
      </w:r>
    </w:p>
    <w:p>
      <w:pPr>
        <w:spacing w:after="220" w:lineRule="auto"/>
      </w:pPr>
      <w:r>
        <w:rPr>
          <w:rFonts w:eastAsia="Georgia" w:cs="Georgia" w:ascii="Georgia" w:hAnsi="Georgia"/>
        </w:rPr>
        <w:t xml:space="preserve">On souhaite étudier plus finement la réponse en amplitude du verre au voisinage de la fréquence de résonance du mode 1 précédemment déterminée.</w:t>
      </w:r>
      <w:r>
        <w:rPr/>
        <w:br w:type="textWrapping"/>
      </w:r>
      <w:r>
        <w:rPr>
          <w:rFonts w:eastAsia="Georgia" w:cs="Georgia" w:ascii="Georgia" w:hAnsi="Georgia"/>
        </w:rPr>
        <w:t xml:space="preserve">Un hautparleur relié à un générateur basse fréquence produit une onde sonore sinusoïdale de fréquence </w:t>
      </w:r>
      <m:oMath>
        <m:r>
          <m:rPr>
            <m:sty m:val="i"/>
          </m:rPr>
          <m:t>f</m:t>
        </m:r>
      </m:oMath>
      <w:r>
        <w:rPr>
          <w:rFonts w:eastAsia="Georgia" w:cs="Georgia" w:ascii="Georgia" w:hAnsi="Georgia"/>
        </w:rPr>
        <w:t xml:space="preserve">. Le verre, placé à proximité du hautparleur (figure 7), est ainsi placé en régime sinusoïdal forcé.</w:t>
      </w:r>
    </w:p>
    <w:p>
      <w:pPr>
        <w:spacing w:lineRule="auto"/>
        <w:jc w:val="center"/>
      </w:pPr>
      <w:r>
        <w:rPr/>
        <w:drawing>
          <wp:inline distB="0" distL="0" distR="0" distT="0">
            <wp:extent cx="5486400" cy="1159446"/>
            <wp:effectExtent b="0" l="0" r="0" t="0"/>
            <wp:docPr id="7" name="image-70ce1f70fc19846bcf94aa0487bcd884b02cb091.jpg"/>
            <a:graphic>
              <a:graphicData uri="http://schemas.openxmlformats.org/drawingml/2006/picture">
                <pic:pic>
                  <pic:nvPicPr>
                    <pic:cNvPr id="7" name="image-70ce1f70fc19846bcf94aa0487bcd884b02cb091.jpg" descr=""/>
                    <pic:cNvPicPr/>
                  </pic:nvPicPr>
                  <pic:blipFill>
                    <a:blip r:embed="rId11" cstate="print"/>
                    <a:srcRect b="0" l="0" r="0" t="0"/>
                    <a:stretch>
                      <a:fillRect/>
                    </a:stretch>
                  </pic:blipFill>
                  <pic:spPr>
                    <a:xfrm>
                      <a:off x="0" y="0"/>
                      <a:ext cx="5486400" cy="1159446"/>
                    </a:xfrm>
                    <a:prstGeom prst="rect"/>
                  </pic:spPr>
                </pic:pic>
              </a:graphicData>
            </a:graphic>
          </wp:inline>
        </w:drawing>
      </w:r>
    </w:p>
    <w:p>
      <w:pPr>
        <w:spacing w:lineRule="auto"/>
      </w:pPr>
      <w:r>
        <w:rPr/>
        <w:t xml:space="preserve">Figure 7</w:t>
      </w:r>
    </w:p>
    <w:p>
      <w:pPr>
        <w:spacing w:line="271" w:before="330" w:lineRule="auto"/>
      </w:pPr>
      <w:r>
        <w:rPr>
          <w:rFonts w:eastAsia="Georgia" w:cs="Georgia" w:ascii="Georgia" w:hAnsi="Georgia"/>
          <w:b/>
          <w:sz w:val="42"/>
        </w:rPr>
        <w:t xml:space="preserve">II.A - Approche théorique</w:t>
      </w:r>
    </w:p>
    <w:p>
      <w:pPr>
        <w:spacing w:after="220" w:lineRule="auto"/>
      </w:pPr>
      <w:r>
        <w:rPr>
          <w:rFonts w:eastAsia="Georgia" w:cs="Georgia" w:ascii="Georgia" w:hAnsi="Georgia"/>
        </w:rPr>
        <w:t xml:space="preserve">L'équation différentielle traduisant l'évolution temporelle de </w:t>
      </w:r>
      <m:oMath>
        <m:r>
          <m:rPr>
            <m:sty m:val="i"/>
          </m:rPr>
          <m:t>x</m:t>
        </m:r>
        <m:r>
          <m:rPr>
            <m:sty m:val="p"/>
          </m:rPr>
          <m:t>(</m:t>
        </m:r>
        <m:r>
          <m:rPr>
            <m:sty m:val="i"/>
          </m:rPr>
          <m:t>t</m:t>
        </m:r>
        <m:r>
          <m:rPr>
            <m:sty m:val="p"/>
          </m:rPr>
          <m:t>)</m:t>
        </m:r>
      </m:oMath>
      <w:r>
        <w:rPr/>
        <w:t xml:space="preserve"> est alors de la forme suivante, avec </w:t>
      </w:r>
      <m:oMath>
        <m:r>
          <m:rPr>
            <m:sty m:val="i"/>
          </m:rPr>
          <m:t>ω</m:t>
        </m:r>
        <m:r>
          <m:rPr>
            <m:sty m:val="p"/>
          </m:rPr>
          <m:t>=</m:t>
        </m:r>
        <m:r>
          <m:rPr>
            <m:sty m:val="p"/>
          </m:rPr>
          <m:t>2</m:t>
        </m:r>
        <m:r>
          <m:rPr>
            <m:sty m:val="i"/>
          </m:rPr>
          <m:t>π</m:t>
        </m:r>
        <m:r>
          <m:rPr>
            <m:sty m:val="i"/>
          </m:rPr>
          <m:t>f</m:t>
        </m:r>
      </m:oMath>
      <w:r>
        <w:rPr/>
        <w:t xml:space="preserve"> la pulsation et </w:t>
      </w:r>
      <m:oMath>
        <m:r>
          <m:rPr>
            <m:sty m:val="p"/>
          </m:rPr>
          <m:t>Φ</m:t>
        </m:r>
      </m:oMath>
      <w:r>
        <w:rPr>
          <w:rFonts w:eastAsia="Georgia" w:cs="Georgia" w:ascii="Georgia" w:hAnsi="Georgia"/>
        </w:rPr>
        <w:t xml:space="preserve"> la phase du signal acoustique délivré par le générateur basse fréquence :</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x</m:t>
              </m:r>
            </m:num>
            <m:den>
              <m:r>
                <m:rPr>
                  <m:nor/>
                </m:rPr>
                <m:t xml:space="preserve"> </m:t>
              </m:r>
              <m:r>
                <m:rPr>
                  <m:sty m:val="p"/>
                </m:rPr>
                <m:t>d</m:t>
              </m:r>
              <m:sSup>
                <m:sSupPr/>
                <m:e>
                  <m:r>
                    <m:rPr>
                      <m:sty m:val="i"/>
                    </m:rPr>
                    <m:t>t</m:t>
                  </m:r>
                </m:e>
                <m:sup>
                  <m:r>
                    <m:rPr>
                      <m:sty m:val="p"/>
                    </m:rPr>
                    <m:t>2</m:t>
                  </m:r>
                </m:sup>
              </m:sSup>
            </m:den>
          </m:f>
          <m:r>
            <m:rPr>
              <m:sty m:val="p"/>
            </m:rPr>
            <m:t>+</m:t>
          </m:r>
          <m:f>
            <m:fPr>
              <m:ctrlPr>
                <w:rPr>
                  <w:rFonts w:ascii="Cambria Math" w:hAnsi="Cambria Math"/>
                </w:rPr>
              </m:ctrlPr>
            </m:fPr>
            <m:num>
              <m:sSub>
                <m:sSubPr/>
                <m:e>
                  <m:r>
                    <m:rPr>
                      <m:sty m:val="i"/>
                    </m:rPr>
                    <m:t>ω</m:t>
                  </m:r>
                </m:e>
                <m:sub>
                  <m:r>
                    <m:rPr>
                      <m:sty m:val="p"/>
                    </m:rPr>
                    <m:t>0</m:t>
                  </m:r>
                </m:sub>
              </m:sSub>
            </m:num>
            <m:den>
              <m:r>
                <m:rPr>
                  <m:sty m:val="i"/>
                </m:rPr>
                <m:t>Q</m:t>
              </m:r>
            </m:den>
          </m:f>
          <m:f>
            <m:fPr>
              <m:ctrlPr>
                <w:rPr>
                  <w:rFonts w:ascii="Cambria Math" w:hAnsi="Cambria Math"/>
                </w:rPr>
              </m:ctrlPr>
            </m:fPr>
            <m:num>
              <m:r>
                <m:rPr>
                  <m:nor/>
                </m:rPr>
                <m:t xml:space="preserve"> </m:t>
              </m:r>
              <m:r>
                <m:rPr>
                  <m:sty m:val="p"/>
                </m:rPr>
                <m:t>d</m:t>
              </m:r>
              <m:r>
                <m:rPr>
                  <m:sty m:val="i"/>
                </m:rPr>
                <m:t>x</m:t>
              </m:r>
            </m:num>
            <m:den>
              <m:r>
                <m:rPr>
                  <m:nor/>
                </m:rPr>
                <m:t xml:space="preserve"> </m:t>
              </m:r>
              <m:r>
                <m:rPr>
                  <m:sty m:val="p"/>
                </m:rPr>
                <m:t>d</m:t>
              </m:r>
              <m:r>
                <m:rPr>
                  <m:sty m:val="i"/>
                </m:rPr>
                <m:t>t</m:t>
              </m:r>
            </m:den>
          </m:f>
          <m:r>
            <m:rPr>
              <m:sty m:val="p"/>
            </m:rPr>
            <m:t>+</m:t>
          </m:r>
          <m:sSubSup>
            <m:sSubSupPr/>
            <m:e>
              <m:r>
                <m:rPr>
                  <m:sty m:val="i"/>
                </m:rPr>
                <m:t>ω</m:t>
              </m:r>
            </m:e>
            <m:sub>
              <m:r>
                <m:rPr>
                  <m:sty m:val="p"/>
                </m:rPr>
                <m:t>0</m:t>
              </m:r>
            </m:sub>
            <m:sup>
              <m:r>
                <m:rPr>
                  <m:sty m:val="p"/>
                </m:rPr>
                <m:t>2</m:t>
              </m:r>
            </m:sup>
          </m:sSubSup>
          <m:r>
            <m:rPr>
              <m:sty m:val="i"/>
            </m:rPr>
            <m:t>x</m:t>
          </m:r>
          <m:r>
            <m:rPr>
              <m:sty m:val="p"/>
            </m:rPr>
            <m:t>=</m:t>
          </m:r>
          <m:sSub>
            <m:sSubPr/>
            <m:e>
              <m:r>
                <m:rPr>
                  <m:sty m:val="i"/>
                </m:rPr>
                <m:t>A</m:t>
              </m:r>
            </m:e>
            <m:sub>
              <m:r>
                <m:rPr>
                  <m:sty m:val="p"/>
                </m:rPr>
                <m:t>0</m:t>
              </m:r>
            </m:sub>
          </m:sSub>
          <m:r>
            <m:rPr>
              <m:sty m:val="p"/>
            </m:rPr>
            <m:t>cos</m:t>
          </m:r>
          <m:r>
            <m:rPr>
              <m:sty m:val="p"/>
            </m:rPr>
            <m:t>⁡</m:t>
          </m:r>
          <m:r>
            <m:rPr>
              <m:sty m:val="p"/>
            </m:rPr>
            <m:t>(</m:t>
          </m:r>
          <m:r>
            <m:rPr>
              <m:sty m:val="i"/>
            </m:rPr>
            <m:t>ω</m:t>
          </m:r>
          <m:r>
            <m:rPr>
              <m:sty m:val="i"/>
            </m:rPr>
            <m:t>t</m:t>
          </m:r>
          <m:r>
            <m:rPr>
              <m:sty m:val="p"/>
            </m:rPr>
            <m:t>+</m:t>
          </m:r>
          <m:r>
            <m:rPr>
              <m:sty m:val="p"/>
            </m:rPr>
            <m:t>Φ</m:t>
          </m:r>
          <m:r>
            <m:rPr>
              <m:sty m:val="p"/>
            </m:rPr>
            <m:t>)</m:t>
          </m:r>
        </m:oMath>
      </m:oMathPara>
    </w:p>
    <w:p>
      <w:pPr>
        <w:spacing w:after="220" w:lineRule="auto"/>
      </w:pPr>
      <w:r>
        <w:rPr>
          <w:rFonts w:eastAsia="Georgia" w:cs="Georgia" w:ascii="Georgia" w:hAnsi="Georgia"/>
        </w:rPr>
        <w:t xml:space="preserve">En régime sinusoïdal forcé, la solution est de la forme </w:t>
      </w:r>
      <m:oMath>
        <m:r>
          <m:rPr>
            <m:sty m:val="i"/>
          </m:rPr>
          <m:t>x</m:t>
        </m:r>
        <m:r>
          <m:rPr>
            <m:sty m:val="p"/>
          </m:rPr>
          <m:t>(</m:t>
        </m:r>
        <m:r>
          <m:rPr>
            <m:sty m:val="i"/>
          </m:rPr>
          <m:t>t</m:t>
        </m:r>
        <m:r>
          <m:rPr>
            <m:sty m:val="p"/>
          </m:rPr>
          <m:t>)</m:t>
        </m:r>
        <m:r>
          <m:rPr>
            <m:sty m:val="p"/>
          </m:rPr>
          <m:t>=</m:t>
        </m:r>
        <m:r>
          <m:rPr>
            <m:sty m:val="i"/>
          </m:rPr>
          <m:t>X</m:t>
        </m:r>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rFonts w:eastAsia="Georgia" w:cs="Georgia" w:ascii="Georgia" w:hAnsi="Georgia"/>
        </w:rPr>
        <w:t xml:space="preserve">. Comme en électrocinétique, on introduit la grandeur complexe associée </w:t>
      </w:r>
      <m:oMath>
        <m:bar>
          <m:barPr/>
          <m:e>
            <m:r>
              <m:rPr>
                <m:sty m:val="i"/>
              </m:rPr>
              <m:t>x</m:t>
            </m:r>
          </m:e>
        </m:bar>
        <m:r>
          <m:rPr>
            <m:sty m:val="p"/>
          </m:rPr>
          <m:t>(</m:t>
        </m:r>
        <m:r>
          <m:rPr>
            <m:sty m:val="i"/>
          </m:rPr>
          <m:t>t</m:t>
        </m:r>
        <m:r>
          <m:rPr>
            <m:sty m:val="p"/>
          </m:rPr>
          <m:t>)</m:t>
        </m:r>
        <m:r>
          <m:rPr>
            <m:sty m:val="p"/>
          </m:rPr>
          <m:t>=</m:t>
        </m:r>
        <m:bar>
          <m:barPr/>
          <m:e>
            <m:r>
              <m:rPr>
                <m:sty m:val="i"/>
              </m:rPr>
              <m:t>X</m:t>
            </m:r>
          </m:e>
        </m:bar>
        <m:r>
          <m:rPr>
            <m:sty m:val="p"/>
          </m:rPr>
          <m:t>exp</m:t>
        </m:r>
        <m:r>
          <m:rPr>
            <m:sty m:val="p"/>
          </m:rPr>
          <m:t>⁡</m:t>
        </m:r>
        <m:r>
          <m:rPr>
            <m:sty m:val="p"/>
          </m:rPr>
          <m:t>(</m:t>
        </m:r>
        <m:r>
          <m:rPr>
            <m:sty m:val="i"/>
          </m:rPr>
          <m:t>j</m:t>
        </m:r>
        <m:r>
          <m:rPr>
            <m:sty m:val="i"/>
          </m:rPr>
          <m:t>ω</m:t>
        </m:r>
        <m:r>
          <m:rPr>
            <m:sty m:val="i"/>
          </m:rPr>
          <m:t>t</m:t>
        </m:r>
        <m:r>
          <m:rPr>
            <m:sty m:val="p"/>
          </m:rPr>
          <m:t>)</m:t>
        </m:r>
      </m:oMath>
      <w:r>
        <w:rPr/>
        <w:t xml:space="preserve"> avec </w:t>
      </w:r>
      <m:oMath>
        <m:sSup>
          <m:sSupPr/>
          <m:e>
            <m:r>
              <m:rPr>
                <m:sty m:val="i"/>
              </m:rPr>
              <m:t>j</m:t>
            </m:r>
          </m:e>
          <m:sup>
            <m:r>
              <m:rPr>
                <m:sty m:val="p"/>
              </m:rPr>
              <m:t>2</m:t>
            </m:r>
          </m:sup>
        </m:sSup>
        <m:r>
          <m:rPr>
            <m:sty m:val="p"/>
          </m:rPr>
          <m:t>=</m:t>
        </m:r>
        <m:r>
          <m:rPr>
            <m:sty m:val="p"/>
          </m:rPr>
          <m:t>−</m:t>
        </m:r>
        <m:r>
          <m:rPr>
            <m:sty m:val="p"/>
          </m:rPr>
          <m:t>1</m:t>
        </m:r>
      </m:oMath>
      <w:r>
        <w:rPr/>
        <w:t xml:space="preserve">.</w:t>
      </w:r>
      <w:r>
        <w:rPr/>
        <w:br w:type="textWrapping"/>
      </w:r>
      <w:r>
        <w:rPr/>
        <w:t xml:space="preserve">Q 13. Comment nomme-t-on la grandeur </w:t>
      </w:r>
      <m:oMath>
        <m:bar>
          <m:barPr/>
          <m:e>
            <m:r>
              <m:rPr>
                <m:sty m:val="i"/>
              </m:rPr>
              <m:t>X</m:t>
            </m:r>
          </m:e>
        </m:bar>
      </m:oMath>
      <w:r>
        <w:rPr>
          <w:rFonts w:eastAsia="Georgia" w:cs="Georgia" w:ascii="Georgia" w:hAnsi="Georgia"/>
        </w:rPr>
        <w:t xml:space="preserve"> ? Que représente son module, son argument?</w:t>
      </w:r>
      <w:r>
        <w:rPr/>
        <w:br w:type="textWrapping"/>
      </w:r>
      <w:r>
        <w:rPr>
          <w:rFonts w:eastAsia="Georgia" w:cs="Georgia" w:ascii="Georgia" w:hAnsi="Georgia"/>
        </w:rPr>
        <w:t xml:space="preserve">Q 14. Établir l'expression du module de </w:t>
      </w:r>
      <m:oMath>
        <m:bar>
          <m:barPr/>
          <m:e>
            <m:r>
              <m:rPr>
                <m:sty m:val="i"/>
              </m:rPr>
              <m:t>X</m:t>
            </m:r>
          </m:e>
        </m:bar>
      </m:oMath>
      <w:r>
        <w:rPr/>
        <w:t xml:space="preserve"> en fonction de </w:t>
      </w:r>
      <m:oMath>
        <m:r>
          <m:rPr>
            <m:sty m:val="i"/>
          </m:rPr>
          <m:t>ω</m:t>
        </m:r>
        <m:r>
          <m:rPr>
            <m:sty m:val="p"/>
          </m:rPr>
          <m:t>,</m:t>
        </m:r>
        <m:sSub>
          <m:sSubPr/>
          <m:e>
            <m:r>
              <m:rPr>
                <m:sty m:val="i"/>
              </m:rPr>
              <m:t>ω</m:t>
            </m:r>
          </m:e>
          <m:sub>
            <m:r>
              <m:rPr>
                <m:sty m:val="p"/>
              </m:rPr>
              <m:t>0</m:t>
            </m:r>
          </m:sub>
        </m:sSub>
        <m:r>
          <m:rPr>
            <m:sty m:val="p"/>
          </m:rPr>
          <m:t>,</m:t>
        </m:r>
        <m:sSub>
          <m:sSubPr/>
          <m:e>
            <m:r>
              <m:rPr>
                <m:sty m:val="i"/>
              </m:rPr>
              <m:t>A</m:t>
            </m:r>
          </m:e>
          <m:sub>
            <m:r>
              <m:rPr>
                <m:sty m:val="p"/>
              </m:rPr>
              <m:t>0</m:t>
            </m:r>
          </m:sub>
        </m:sSub>
      </m:oMath>
      <w:r>
        <w:rPr/>
        <w:t xml:space="preserve"> et </w:t>
      </w:r>
      <m:oMath>
        <m:r>
          <m:rPr>
            <m:sty m:val="i"/>
          </m:rPr>
          <m:t>Q</m:t>
        </m:r>
      </m:oMath>
      <w:r>
        <w:rPr/>
        <w:t xml:space="preserve">.</w:t>
      </w:r>
      <w:r>
        <w:rPr/>
        <w:br w:type="textWrapping"/>
      </w:r>
      <w:r>
        <w:rPr>
          <w:rFonts w:eastAsia="Georgia" w:cs="Georgia" w:ascii="Georgia" w:hAnsi="Georgia"/>
        </w:rPr>
        <w:t xml:space="preserve">Q 15. À partir d'une étude qualitative, justifier le numéro de graphe de la figure 8 compatible avec le tracé du module de </w:t>
      </w:r>
      <m:oMath>
        <m:bar>
          <m:barPr/>
          <m:e>
            <m:r>
              <m:rPr>
                <m:sty m:val="i"/>
              </m:rPr>
              <m:t>X</m:t>
            </m:r>
          </m:e>
        </m:bar>
      </m:oMath>
      <w:r>
        <w:rPr/>
        <w:t xml:space="preserve"> en fonction de la pulsation </w:t>
      </w:r>
      <m:oMath>
        <m:r>
          <m:rPr>
            <m:sty m:val="i"/>
          </m:rPr>
          <m:t>ω</m:t>
        </m:r>
      </m:oMath>
      <w:r>
        <w:rPr/>
        <w:t xml:space="preserve">.</w:t>
      </w:r>
    </w:p>
    <w:p>
      <w:pPr>
        <w:spacing w:lineRule="auto"/>
        <w:jc w:val="center"/>
      </w:pPr>
      <w:r>
        <w:rPr/>
        <w:drawing>
          <wp:inline distB="0" distL="0" distR="0" distT="0">
            <wp:extent cx="5486400" cy="3669073"/>
            <wp:effectExtent b="0" l="0" r="0" t="0"/>
            <wp:docPr id="8" name="image-5af7902e898a0bd2c2a8f11b7ce97247b20c4ce0.jpg"/>
            <a:graphic>
              <a:graphicData uri="http://schemas.openxmlformats.org/drawingml/2006/picture">
                <pic:pic>
                  <pic:nvPicPr>
                    <pic:cNvPr id="8" name="image-5af7902e898a0bd2c2a8f11b7ce97247b20c4ce0.jpg" descr=""/>
                    <pic:cNvPicPr/>
                  </pic:nvPicPr>
                  <pic:blipFill>
                    <a:blip r:embed="rId12" cstate="print"/>
                    <a:srcRect b="0" l="0" r="0" t="0"/>
                    <a:stretch>
                      <a:fillRect/>
                    </a:stretch>
                  </pic:blipFill>
                  <pic:spPr>
                    <a:xfrm>
                      <a:off x="0" y="0"/>
                      <a:ext cx="5486400" cy="3669073"/>
                    </a:xfrm>
                    <a:prstGeom prst="rect"/>
                  </pic:spPr>
                </pic:pic>
              </a:graphicData>
            </a:graphic>
          </wp:inline>
        </w:drawing>
      </w:r>
    </w:p>
    <w:p>
      <w:pPr>
        <w:spacing w:lineRule="auto"/>
      </w:pPr>
      <w:r>
        <w:rPr/>
        <w:t xml:space="preserve">Figure 8 Module de </w:t>
      </w:r>
      <m:oMath>
        <m:bar>
          <m:barPr/>
          <m:e>
            <m:r>
              <m:rPr>
                <m:sty m:val="i"/>
              </m:rPr>
              <m:t>X</m:t>
            </m:r>
          </m:e>
        </m:bar>
      </m:oMath>
      <w:r>
        <w:rPr/>
        <w:t xml:space="preserve"> en fonction de </w:t>
      </w:r>
      <m:oMath>
        <m:r>
          <m:rPr>
            <m:sty m:val="i"/>
          </m:rPr>
          <m:t>ω</m:t>
        </m:r>
      </m:oMath>
    </w:p>
    <w:p>
      <w:pPr>
        <w:spacing w:after="220" w:lineRule="auto"/>
      </w:pPr>
      <w:r>
        <w:rPr>
          <w:rFonts w:eastAsia="Georgia" w:cs="Georgia" w:ascii="Georgia" w:hAnsi="Georgia"/>
        </w:rPr>
        <w:t xml:space="preserve">Q 16. À quelle condition sur le facteur de qualité peut-on envisager une résonance d'amplitude ?</w:t>
      </w:r>
      <w:r>
        <w:rPr/>
        <w:br w:type="textWrapping"/>
      </w:r>
      <w:r>
        <w:rPr/>
        <w:t xml:space="preserve">On note </w:t>
      </w:r>
      <m:oMath>
        <m:sSub>
          <m:sSubPr/>
          <m:e>
            <m:r>
              <m:rPr>
                <m:sty m:val="i"/>
              </m:rPr>
              <m:t>Q</m:t>
            </m:r>
          </m:e>
          <m:sub>
            <m:r>
              <m:rPr>
                <m:sty m:val="p"/>
              </m:rPr>
              <m:t>0</m:t>
            </m:r>
          </m:sub>
        </m:sSub>
      </m:oMath>
      <w:r>
        <w:rPr/>
        <w:t xml:space="preserve"> cette condition.</w:t>
      </w:r>
      <w:r>
        <w:rPr/>
        <w:br w:type="textWrapping"/>
      </w:r>
      <w:r>
        <w:rPr>
          <w:rFonts w:eastAsia="Georgia" w:cs="Georgia" w:ascii="Georgia" w:hAnsi="Georgia"/>
        </w:rPr>
        <w:t xml:space="preserve">Q 17. Dans le cas d'une résonance d'amplitude, exprimer la pulsation correspondante, notée </w:t>
      </w:r>
      <m:oMath>
        <m:sSub>
          <m:sSubPr/>
          <m:e>
            <m:r>
              <m:rPr>
                <m:sty m:val="i"/>
              </m:rPr>
              <m:t>ω</m:t>
            </m:r>
          </m:e>
          <m:sub>
            <m:r>
              <m:rPr>
                <m:sty m:val="i"/>
              </m:rPr>
              <m:t>r</m:t>
            </m:r>
          </m:sub>
        </m:sSub>
      </m:oMath>
      <w:r>
        <w:rPr/>
        <w:t xml:space="preserve"> en fonction de </w:t>
      </w:r>
      <m:oMath>
        <m:sSub>
          <m:sSubPr/>
          <m:e>
            <m:r>
              <m:rPr>
                <m:sty m:val="i"/>
              </m:rPr>
              <m:t>ω</m:t>
            </m:r>
          </m:e>
          <m:sub>
            <m:r>
              <m:rPr>
                <m:sty m:val="p"/>
              </m:rPr>
              <m:t>0</m:t>
            </m:r>
          </m:sub>
        </m:sSub>
      </m:oMath>
      <w:r>
        <w:rPr/>
        <w:t xml:space="preserve"> et </w:t>
      </w:r>
      <m:oMath>
        <m:r>
          <m:rPr>
            <m:sty m:val="i"/>
          </m:rPr>
          <m:t>Q</m:t>
        </m:r>
      </m:oMath>
      <w:r>
        <w:rPr/>
        <w:t xml:space="preserve">.</w:t>
      </w:r>
    </w:p>
    <w:p>
      <w:pPr>
        <w:spacing w:after="220" w:lineRule="auto"/>
      </w:pPr>
      <w:r>
        <w:rPr/>
        <w:t xml:space="preserve">Dans la suite, on suppose </w:t>
      </w:r>
      <m:oMath>
        <m:r>
          <m:rPr>
            <m:sty m:val="i"/>
          </m:rPr>
          <m:t>Q</m:t>
        </m:r>
        <m:r>
          <m:rPr>
            <m:sty m:val="p"/>
          </m:rPr>
          <m:t>≫</m:t>
        </m:r>
        <m:sSub>
          <m:sSubPr/>
          <m:e>
            <m:r>
              <m:rPr>
                <m:sty m:val="i"/>
              </m:rPr>
              <m:t>Q</m:t>
            </m:r>
          </m:e>
          <m:sub>
            <m:r>
              <m:rPr>
                <m:sty m:val="p"/>
              </m:rPr>
              <m:t>0</m:t>
            </m:r>
          </m:sub>
        </m:sSub>
      </m:oMath>
      <w:r>
        <w:rPr/>
        <w:t xml:space="preserve">.</w:t>
      </w:r>
      <w:r>
        <w:rPr/>
        <w:br w:type="textWrapping"/>
      </w:r>
      <w:r>
        <w:rPr>
          <w:rFonts w:eastAsia="Georgia" w:cs="Georgia" w:ascii="Georgia" w:hAnsi="Georgia"/>
        </w:rPr>
        <w:t xml:space="preserve">Q 18. Quelle est alors l'expression de la pulsation de résonance </w:t>
      </w:r>
      <m:oMath>
        <m:sSub>
          <m:sSubPr/>
          <m:e>
            <m:r>
              <m:rPr>
                <m:sty m:val="i"/>
              </m:rPr>
              <m:t>ω</m:t>
            </m:r>
          </m:e>
          <m:sub>
            <m:r>
              <m:rPr>
                <m:sty m:val="i"/>
              </m:rPr>
              <m:t>r</m:t>
            </m:r>
          </m:sub>
        </m:sSub>
      </m:oMath>
      <w:r>
        <w:rPr/>
        <w:t xml:space="preserve"> ?</w:t>
      </w:r>
      <w:r>
        <w:rPr/>
        <w:br w:type="textWrapping"/>
      </w:r>
      <w:r>
        <w:rPr/>
        <w:t xml:space="preserve">Q 19. On note </w:t>
      </w:r>
      <m:oMath>
        <m:sSub>
          <m:sSubPr/>
          <m:e>
            <m:r>
              <m:rPr>
                <m:sty m:val="i"/>
              </m:rPr>
              <m:t>X</m:t>
            </m:r>
          </m:e>
          <m:sub>
            <m:r>
              <m:rPr>
                <m:sty m:val="i"/>
              </m:rPr>
              <m:t>r</m:t>
            </m:r>
          </m:sub>
        </m:sSub>
      </m:oMath>
      <w:r>
        <w:rPr/>
        <w:t xml:space="preserve"> le module de </w:t>
      </w:r>
      <m:oMath>
        <m:bar>
          <m:barPr/>
          <m:e>
            <m:r>
              <m:rPr>
                <m:sty m:val="i"/>
              </m:rPr>
              <m:t>X</m:t>
            </m:r>
          </m:e>
        </m:bar>
      </m:oMath>
      <w:r>
        <w:rPr/>
        <w:t xml:space="preserve"> pour </w:t>
      </w:r>
      <m:oMath>
        <m:r>
          <m:rPr>
            <m:sty m:val="i"/>
          </m:rPr>
          <m:t>ω</m:t>
        </m:r>
        <m:r>
          <m:rPr>
            <m:sty m:val="p"/>
          </m:rPr>
          <m:t>=</m:t>
        </m:r>
        <m:sSub>
          <m:sSubPr/>
          <m:e>
            <m:r>
              <m:rPr>
                <m:sty m:val="i"/>
              </m:rPr>
              <m:t>ω</m:t>
            </m:r>
          </m:e>
          <m:sub>
            <m:r>
              <m:rPr>
                <m:sty m:val="i"/>
              </m:rPr>
              <m:t>r</m:t>
            </m:r>
          </m:sub>
        </m:sSub>
      </m:oMath>
      <w:r>
        <w:rPr>
          <w:rFonts w:eastAsia="Georgia" w:cs="Georgia" w:ascii="Georgia" w:hAnsi="Georgia"/>
        </w:rPr>
        <w:t xml:space="preserve">. Établir son expression en fonction de </w:t>
      </w:r>
      <m:oMath>
        <m:sSub>
          <m:sSubPr/>
          <m:e>
            <m:r>
              <m:rPr>
                <m:sty m:val="i"/>
              </m:rPr>
              <m:t>ω</m:t>
            </m:r>
          </m:e>
          <m:sub>
            <m:r>
              <m:rPr>
                <m:sty m:val="p"/>
              </m:rPr>
              <m:t>0</m:t>
            </m:r>
          </m:sub>
        </m:sSub>
        <m:r>
          <m:rPr>
            <m:sty m:val="p"/>
          </m:rPr>
          <m:t>,</m:t>
        </m:r>
        <m:sSub>
          <m:sSubPr/>
          <m:e>
            <m:r>
              <m:rPr>
                <m:sty m:val="i"/>
              </m:rPr>
              <m:t>A</m:t>
            </m:r>
          </m:e>
          <m:sub>
            <m:r>
              <m:rPr>
                <m:sty m:val="p"/>
              </m:rPr>
              <m:t>0</m:t>
            </m:r>
          </m:sub>
        </m:sSub>
      </m:oMath>
      <w:r>
        <w:rPr/>
        <w:t xml:space="preserve"> et </w:t>
      </w:r>
      <m:oMath>
        <m:r>
          <m:rPr>
            <m:sty m:val="i"/>
          </m:rPr>
          <m:t>Q</m:t>
        </m:r>
      </m:oMath>
      <w:r>
        <w:rPr/>
        <w:t xml:space="preserve">.</w:t>
      </w:r>
      <w:r>
        <w:rPr/>
        <w:br w:type="textWrapping"/>
      </w:r>
      <w:r>
        <w:rPr>
          <w:rFonts w:eastAsia="Georgia" w:cs="Georgia" w:ascii="Georgia" w:hAnsi="Georgia"/>
        </w:rPr>
        <w:t xml:space="preserve">Q 20. Définir les pulsations de coupure </w:t>
      </w:r>
      <m:oMath>
        <m:sSub>
          <m:sSubPr/>
          <m:e>
            <m:r>
              <m:rPr>
                <m:sty m:val="i"/>
              </m:rPr>
              <m:t>ω</m:t>
            </m:r>
          </m:e>
          <m:sub>
            <m:r>
              <m:rPr>
                <m:sty m:val="p"/>
              </m:rPr>
              <m:t>1</m:t>
            </m:r>
          </m:sub>
        </m:sSub>
      </m:oMath>
      <w:r>
        <w:rPr/>
        <w:t xml:space="preserve"> et </w:t>
      </w:r>
      <m:oMath>
        <m:sSub>
          <m:sSubPr/>
          <m:e>
            <m:r>
              <m:rPr>
                <m:sty m:val="i"/>
              </m:rPr>
              <m:t>ω</m:t>
            </m:r>
          </m:e>
          <m:sub>
            <m:r>
              <m:rPr>
                <m:sty m:val="p"/>
              </m:rPr>
              <m:t>2</m:t>
            </m:r>
          </m:sub>
        </m:sSub>
        <m:d>
          <m:dPr>
            <m:begChr m:val="("/>
            <m:endChr m:val=")"/>
            <m:ctrlPr>
              <w:rPr>
                <w:rFonts w:ascii="Cambria Math" w:hAnsi="Cambria Math"/>
              </w:rPr>
            </m:ctrlPr>
          </m:dPr>
          <m:e>
            <m:sSub>
              <m:sSubPr/>
              <m:e>
                <m:r>
                  <m:rPr>
                    <m:sty m:val="i"/>
                  </m:rPr>
                  <m:t>ω</m:t>
                </m:r>
              </m:e>
              <m:sub>
                <m:r>
                  <m:rPr>
                    <m:sty m:val="p"/>
                  </m:rPr>
                  <m:t>1</m:t>
                </m:r>
              </m:sub>
            </m:sSub>
            <m:r>
              <m:rPr>
                <m:sty m:val="p"/>
              </m:rPr>
              <m:t>&lt;</m:t>
            </m:r>
            <m:sSub>
              <m:sSubPr/>
              <m:e>
                <m:r>
                  <m:rPr>
                    <m:sty m:val="i"/>
                  </m:rPr>
                  <m:t>ω</m:t>
                </m:r>
              </m:e>
              <m:sub>
                <m:r>
                  <m:rPr>
                    <m:sty m:val="p"/>
                  </m:rPr>
                  <m:t>2</m:t>
                </m:r>
              </m:sub>
            </m:sSub>
          </m:e>
        </m:d>
      </m:oMath>
      <w:r>
        <w:rPr/>
        <w:t xml:space="preserve"> du module de </w:t>
      </w:r>
      <m:oMath>
        <m:bar>
          <m:barPr/>
          <m:e>
            <m:r>
              <m:rPr>
                <m:sty m:val="i"/>
              </m:rPr>
              <m:t>X</m:t>
            </m:r>
          </m:e>
        </m:bar>
      </m:oMath>
      <w:r>
        <w:rPr/>
        <w:t xml:space="preserve">. Rappeler la relation liant </w:t>
      </w:r>
      <m:oMath>
        <m:sSub>
          <m:sSubPr/>
          <m:e>
            <m:r>
              <m:rPr>
                <m:sty m:val="i"/>
              </m:rPr>
              <m:t>ω</m:t>
            </m:r>
          </m:e>
          <m:sub>
            <m:r>
              <m:rPr>
                <m:sty m:val="p"/>
              </m:rPr>
              <m:t>0</m:t>
            </m:r>
          </m:sub>
        </m:sSub>
        <m:r>
          <m:rPr>
            <m:sty m:val="p"/>
          </m:rPr>
          <m:t>,</m:t>
        </m:r>
        <m:r>
          <m:rPr>
            <m:sty m:val="i"/>
          </m:rPr>
          <m:t>Q</m:t>
        </m:r>
      </m:oMath>
      <w:r>
        <w:rPr/>
        <w:t xml:space="preserve"> et </w:t>
      </w:r>
      <m:oMath>
        <m:r>
          <m:rPr>
            <m:sty m:val="p"/>
          </m:rPr>
          <m:t>Δ</m:t>
        </m:r>
        <m:r>
          <m:rPr>
            <m:sty m:val="i"/>
          </m:rPr>
          <m:t>ω</m:t>
        </m:r>
        <m:r>
          <m:rPr>
            <m:sty m:val="p"/>
          </m:rPr>
          <m:t>=</m:t>
        </m:r>
        <m:sSub>
          <m:sSubPr/>
          <m:e>
            <m:r>
              <m:rPr>
                <m:sty m:val="i"/>
              </m:rPr>
              <m:t>ω</m:t>
            </m:r>
          </m:e>
          <m:sub>
            <m:r>
              <m:rPr>
                <m:sty m:val="p"/>
              </m:rPr>
              <m:t>2</m:t>
            </m:r>
          </m:sub>
        </m:sSub>
        <m:r>
          <m:rPr>
            <m:sty m:val="p"/>
          </m:rPr>
          <m:t>−</m:t>
        </m:r>
        <m:sSub>
          <m:sSubPr/>
          <m:e>
            <m:r>
              <m:rPr>
                <m:sty m:val="i"/>
              </m:rPr>
              <m:t>ω</m:t>
            </m:r>
          </m:e>
          <m:sub>
            <m:r>
              <m:rPr>
                <m:sty m:val="p"/>
              </m:rPr>
              <m:t>1</m:t>
            </m:r>
          </m:sub>
        </m:sSub>
      </m:oMath>
      <w:r>
        <w:rPr/>
        <w:t xml:space="preserve">.</w:t>
      </w:r>
    </w:p>
    <w:p>
      <w:pPr>
        <w:spacing w:line="271" w:before="330" w:lineRule="auto"/>
      </w:pPr>
      <w:r>
        <w:rPr>
          <w:rFonts w:eastAsia="Georgia" w:cs="Georgia" w:ascii="Georgia" w:hAnsi="Georgia"/>
          <w:b/>
          <w:sz w:val="42"/>
        </w:rPr>
        <w:t xml:space="preserve">II.B - Tracé expérimental</w:t>
      </w:r>
    </w:p>
    <w:p>
      <w:pPr>
        <w:spacing w:after="220" w:lineRule="auto"/>
      </w:pPr>
      <w:r>
        <w:rPr>
          <w:rFonts w:eastAsia="Georgia" w:cs="Georgia" w:ascii="Georgia" w:hAnsi="Georgia"/>
        </w:rPr>
        <w:t xml:space="preserve">Le verre utilisé présente, en guise de décoration, une bande de dépôt métallique placée près du bord supérieur. Son rôle de miroir va permettre la réflexion d'une source lumineuse. Le verre est ici localement considéré plat dans le cadre de cette réflexion. Le dispositif réalisé va permettre la mesure des amplitudes de vibration par interférométrie.</w:t>
      </w:r>
      <w:r>
        <w:rPr/>
        <w:br w:type="textWrapping"/>
      </w:r>
      <w:r>
        <w:rPr/>
        <w:t xml:space="preserve">La fente source monochromatique </w:t>
      </w:r>
      <m:oMath>
        <m:r>
          <m:rPr>
            <m:sty m:val="i"/>
          </m:rPr>
          <m:t>S</m:t>
        </m:r>
      </m:oMath>
      <w:r>
        <w:rPr/>
        <w:t xml:space="preserve"> (perpendiculaire au plan de la figure), de longueur d'onde </w:t>
      </w:r>
      <m:oMath>
        <m:r>
          <m:rPr>
            <m:sty m:val="i"/>
          </m:rPr>
          <m:t>λ</m:t>
        </m:r>
        <m:r>
          <m:rPr>
            <m:sty m:val="p"/>
          </m:rPr>
          <m:t>=</m:t>
        </m:r>
        <m:r>
          <m:rPr>
            <m:sty m:val="p"/>
          </m:rPr>
          <m:t>633</m:t>
        </m:r>
        <m:r>
          <m:rPr>
            <m:nor/>
          </m:rPr>
          <m:t xml:space="preserve"> </m:t>
        </m:r>
        <m:r>
          <m:rPr>
            <m:sty m:val="p"/>
          </m:rPr>
          <m:t>nm</m:t>
        </m:r>
      </m:oMath>
      <w:r>
        <w:rPr>
          <w:rFonts w:eastAsia="Georgia" w:cs="Georgia" w:ascii="Georgia" w:hAnsi="Georgia"/>
        </w:rPr>
        <w:t xml:space="preserve">, est placée à la distance </w:t>
      </w:r>
      <m:oMath>
        <m:r>
          <m:rPr>
            <m:sty m:val="p"/>
          </m:rPr>
          <m:t>Δ</m:t>
        </m:r>
      </m:oMath>
      <w:r>
        <w:rPr>
          <w:rFonts w:eastAsia="Georgia" w:cs="Georgia" w:ascii="Georgia" w:hAnsi="Georgia"/>
        </w:rPr>
        <w:t xml:space="preserve"> du plan du miroir afin que celui-ci soit utilisé sous incidence rasante. La distance source - bord droit du miroir est notée </w:t>
      </w:r>
      <m:oMath>
        <m:r>
          <m:rPr>
            <m:sty m:val="i"/>
          </m:rPr>
          <m:t>ℓ</m:t>
        </m:r>
        <m:r>
          <m:rPr>
            <m:sty m:val="p"/>
          </m:rPr>
          <m:t>=</m:t>
        </m:r>
        <m:r>
          <m:rPr>
            <m:sty m:val="p"/>
          </m:rPr>
          <m:t>20</m:t>
        </m:r>
        <m:r>
          <m:rPr>
            <m:nor/>
          </m:rPr>
          <m:t xml:space="preserve"> </m:t>
        </m:r>
        <m:r>
          <m:rPr>
            <m:sty m:val="p"/>
          </m:rPr>
          <m:t>cm</m:t>
        </m:r>
      </m:oMath>
      <w:r>
        <w:rPr>
          <w:rFonts w:eastAsia="Georgia" w:cs="Georgia" w:ascii="Georgia" w:hAnsi="Georgia"/>
        </w:rPr>
        <w:t xml:space="preserve"> et la distance entre le miroir et l'écran </w:t>
      </w:r>
      <m:oMath>
        <m:r>
          <m:rPr>
            <m:sty m:val="i"/>
          </m:rPr>
          <m:t>d</m:t>
        </m:r>
        <m:r>
          <m:rPr>
            <m:sty m:val="p"/>
          </m:rPr>
          <m:t>=</m:t>
        </m:r>
        <m:r>
          <m:rPr>
            <m:sty m:val="p"/>
          </m:rPr>
          <m:t>30</m:t>
        </m:r>
        <m:r>
          <m:rPr>
            <m:nor/>
          </m:rPr>
          <m:t xml:space="preserve"> </m:t>
        </m:r>
        <m:r>
          <m:rPr>
            <m:sty m:val="p"/>
          </m:rPr>
          <m:t>cm</m:t>
        </m:r>
      </m:oMath>
      <w:r>
        <w:rPr/>
        <w:t xml:space="preserve"> (figure 9 ).</w:t>
      </w:r>
    </w:p>
    <w:p>
      <w:pPr>
        <w:spacing w:lineRule="auto"/>
        <w:jc w:val="center"/>
      </w:pPr>
      <w:r>
        <w:rPr/>
        <w:drawing>
          <wp:inline distB="0" distL="0" distR="0" distT="0">
            <wp:extent cx="5486400" cy="2025663"/>
            <wp:effectExtent b="0" l="0" r="0" t="0"/>
            <wp:docPr id="9" name="image-e392bc94af235724881e2fdd4b3e062c758e2e24.jpg"/>
            <a:graphic>
              <a:graphicData uri="http://schemas.openxmlformats.org/drawingml/2006/picture">
                <pic:pic>
                  <pic:nvPicPr>
                    <pic:cNvPr id="9" name="image-e392bc94af235724881e2fdd4b3e062c758e2e24.jpg" descr=""/>
                    <pic:cNvPicPr/>
                  </pic:nvPicPr>
                  <pic:blipFill>
                    <a:blip r:embed="rId13" cstate="print"/>
                    <a:srcRect b="0" l="0" r="0" t="0"/>
                    <a:stretch>
                      <a:fillRect/>
                    </a:stretch>
                  </pic:blipFill>
                  <pic:spPr>
                    <a:xfrm>
                      <a:off x="0" y="0"/>
                      <a:ext cx="5486400" cy="2025663"/>
                    </a:xfrm>
                    <a:prstGeom prst="rect"/>
                  </pic:spPr>
                </pic:pic>
              </a:graphicData>
            </a:graphic>
          </wp:inline>
        </w:drawing>
      </w:r>
    </w:p>
    <w:p>
      <w:pPr>
        <w:spacing w:lineRule="auto"/>
      </w:pPr>
      <w:r>
        <w:rPr>
          <w:rFonts w:eastAsia="Georgia" w:cs="Georgia" w:ascii="Georgia" w:hAnsi="Georgia"/>
        </w:rPr>
        <w:t xml:space="preserve">Figure 9 Dispositif interférentiel (échelle non respectée)</w:t>
      </w:r>
    </w:p>
    <w:p>
      <w:pPr>
        <w:spacing w:after="220" w:lineRule="auto"/>
      </w:pPr>
      <w:r>
        <w:rPr>
          <w:rFonts w:eastAsia="Georgia" w:cs="Georgia" w:ascii="Georgia" w:hAnsi="Georgia"/>
        </w:rPr>
        <w:t xml:space="preserve">Q 21. Sur le schéma de la figure A du document réponse, </w:t>
      </w:r>
      <m:oMath>
        <m:sSup>
          <m:sSupPr/>
          <m:e>
            <m:r>
              <m:rPr>
                <m:sty m:val="i"/>
              </m:rPr>
              <m:t>S</m:t>
            </m:r>
          </m:e>
          <m:sup>
            <m:r>
              <m:rPr>
                <m:sty m:val="i"/>
              </m:rPr>
              <m:t>′</m:t>
            </m:r>
          </m:sup>
        </m:sSup>
      </m:oMath>
      <w:r>
        <w:rPr>
          <w:rFonts w:eastAsia="Georgia" w:cs="Georgia" w:ascii="Georgia" w:hAnsi="Georgia"/>
        </w:rPr>
        <w:t xml:space="preserve"> représente l'image de la source </w:t>
      </w:r>
      <m:oMath>
        <m:r>
          <m:rPr>
            <m:sty m:val="i"/>
          </m:rPr>
          <m:t>S</m:t>
        </m:r>
      </m:oMath>
      <w:r>
        <w:rPr>
          <w:rFonts w:eastAsia="Georgia" w:cs="Georgia" w:ascii="Georgia" w:hAnsi="Georgia"/>
        </w:rPr>
        <w:t xml:space="preserve"> à travers le miroir. À l'aide d'une construction géométrique, faire apparaitre sur l'écran le champ d'interférence.</w:t>
      </w:r>
      <w:r>
        <w:rPr/>
        <w:br w:type="textWrapping"/>
      </w:r>
      <w:r>
        <w:rPr>
          <w:rFonts w:eastAsia="Georgia" w:cs="Georgia" w:ascii="Georgia" w:hAnsi="Georgia"/>
        </w:rPr>
        <w:t xml:space="preserve">Q 22. On considère un point </w:t>
      </w:r>
      <m:oMath>
        <m:r>
          <m:rPr>
            <m:sty m:val="i"/>
          </m:rPr>
          <m:t>M</m:t>
        </m:r>
      </m:oMath>
      <w:r>
        <w:rPr/>
        <w:t xml:space="preserve"> d'abscisse </w:t>
      </w:r>
      <m:oMath>
        <m:r>
          <m:rPr>
            <m:sty m:val="i"/>
          </m:rPr>
          <m:t>x</m:t>
        </m:r>
      </m:oMath>
      <w:r>
        <w:rPr>
          <w:rFonts w:eastAsia="Georgia" w:cs="Georgia" w:ascii="Georgia" w:hAnsi="Georgia"/>
        </w:rPr>
        <w:t xml:space="preserve">, situé sur l'écran dans le champ d'interférence. En supposant que </w:t>
      </w:r>
      <m:oMath>
        <m:r>
          <m:rPr>
            <m:sty m:val="p"/>
          </m:rPr>
          <m:t>Δ</m:t>
        </m:r>
        <m:r>
          <m:rPr>
            <m:sty m:val="p"/>
          </m:rPr>
          <m:t>≪</m:t>
        </m:r>
        <m:r>
          <m:rPr>
            <m:sty m:val="i"/>
          </m:rPr>
          <m:t>ℓ</m:t>
        </m:r>
        <m:r>
          <m:rPr>
            <m:sty m:val="p"/>
          </m:rPr>
          <m:t>+</m:t>
        </m:r>
        <m:r>
          <m:rPr>
            <m:sty m:val="i"/>
          </m:rPr>
          <m:t>d</m:t>
        </m:r>
      </m:oMath>
      <w:r>
        <w:rPr/>
        <w:t xml:space="preserve"> et </w:t>
      </w:r>
      <m:oMath>
        <m:r>
          <m:rPr>
            <m:sty m:val="p"/>
          </m:rPr>
          <m:t>|</m:t>
        </m:r>
        <m:r>
          <m:rPr>
            <m:sty m:val="i"/>
          </m:rPr>
          <m:t>x</m:t>
        </m:r>
        <m:r>
          <m:rPr>
            <m:sty m:val="p"/>
          </m:rPr>
          <m:t>|</m:t>
        </m:r>
        <m:r>
          <m:rPr>
            <m:sty m:val="p"/>
          </m:rPr>
          <m:t>≪</m:t>
        </m:r>
        <m:r>
          <m:rPr>
            <m:sty m:val="i"/>
          </m:rPr>
          <m:t>ℓ</m:t>
        </m:r>
        <m:r>
          <m:rPr>
            <m:sty m:val="p"/>
          </m:rPr>
          <m:t>+</m:t>
        </m:r>
        <m:r>
          <m:rPr>
            <m:sty m:val="i"/>
          </m:rPr>
          <m:t>d</m:t>
        </m:r>
      </m:oMath>
      <w:r>
        <w:rPr>
          <w:rFonts w:eastAsia="Georgia" w:cs="Georgia" w:ascii="Georgia" w:hAnsi="Georgia"/>
        </w:rPr>
        <w:t xml:space="preserve">, déterminer la différence de chemin géométrique </w:t>
      </w:r>
      <m:oMath>
        <m:sSub>
          <m:sSubPr/>
          <m:e>
            <m:r>
              <m:rPr>
                <m:sty m:val="i"/>
              </m:rPr>
              <m:t>δ</m:t>
            </m:r>
          </m:e>
          <m:sub>
            <m:r>
              <m:rPr>
                <m:sty m:val="i"/>
              </m:rPr>
              <m:t>g</m:t>
            </m:r>
          </m:sub>
        </m:sSub>
      </m:oMath>
      <w:r>
        <w:rPr/>
        <w:t xml:space="preserve"> entre un rayon issu de </w:t>
      </w:r>
      <m:oMath>
        <m:r>
          <m:rPr>
            <m:sty m:val="i"/>
          </m:rPr>
          <m:t>S</m:t>
        </m:r>
      </m:oMath>
      <w:r>
        <w:rPr>
          <w:rFonts w:eastAsia="Georgia" w:cs="Georgia" w:ascii="Georgia" w:hAnsi="Georgia"/>
        </w:rPr>
        <w:t xml:space="preserve"> après réflexion sur le miroir (donc semblant venir de </w:t>
      </w:r>
      <m:oMath>
        <m:sSup>
          <m:sSupPr/>
          <m:e>
            <m:r>
              <m:rPr>
                <m:sty m:val="i"/>
              </m:rPr>
              <m:t>S</m:t>
            </m:r>
          </m:e>
          <m:sup>
            <m:r>
              <m:rPr>
                <m:sty m:val="i"/>
              </m:rPr>
              <m:t>′</m:t>
            </m:r>
          </m:sup>
        </m:sSup>
      </m:oMath>
      <w:r>
        <w:rPr/>
        <w:t xml:space="preserve"> ) et un rayon issu directement de </w:t>
      </w:r>
      <m:oMath>
        <m:r>
          <m:rPr>
            <m:sty m:val="i"/>
          </m:rPr>
          <m:t>S</m:t>
        </m:r>
      </m:oMath>
      <w:r>
        <w:rPr/>
        <w:t xml:space="preserve">, au point </w:t>
      </w:r>
      <m:oMath>
        <m:r>
          <m:rPr>
            <m:sty m:val="i"/>
          </m:rPr>
          <m:t>M</m:t>
        </m:r>
      </m:oMath>
      <w:r>
        <w:rPr>
          <w:rFonts w:eastAsia="Georgia" w:cs="Georgia" w:ascii="Georgia" w:hAnsi="Georgia"/>
        </w:rPr>
        <w:t xml:space="preserve">. Sachant que lors d'une réflexion air - miroir il y a un déphasage supplémentaire de </w:t>
      </w:r>
      <m:oMath>
        <m:r>
          <m:rPr>
            <m:sty m:val="i"/>
          </m:rPr>
          <m:t>π</m:t>
        </m:r>
      </m:oMath>
      <w:r>
        <w:rPr>
          <w:rFonts w:eastAsia="Georgia" w:cs="Georgia" w:ascii="Georgia" w:hAnsi="Georgia"/>
        </w:rPr>
        <w:t xml:space="preserve">, exprimer la différence de chemin optique </w:t>
      </w:r>
      <m:oMath>
        <m:r>
          <m:rPr>
            <m:sty m:val="i"/>
          </m:rPr>
          <m:t>δ</m:t>
        </m:r>
      </m:oMath>
      <w:r>
        <w:rPr/>
        <w:t xml:space="preserve">.</w:t>
      </w:r>
      <w:r>
        <w:rPr/>
        <w:br w:type="textWrapping"/>
      </w:r>
      <w:r>
        <w:rPr>
          <w:rFonts w:eastAsia="Georgia" w:cs="Georgia" w:ascii="Georgia" w:hAnsi="Georgia"/>
        </w:rPr>
        <w:t xml:space="preserve">Q 23. Établir l'expression de l'interfrange </w:t>
      </w:r>
      <m:oMath>
        <m:r>
          <m:rPr>
            <m:sty m:val="i"/>
          </m:rPr>
          <m:t>i</m:t>
        </m:r>
        <m:r>
          <m:rPr>
            <m:sty m:val="p"/>
          </m:rPr>
          <m:t>:</m:t>
        </m:r>
        <m:r>
          <m:rPr>
            <m:sty m:val="i"/>
          </m:rPr>
          <m:t>i</m:t>
        </m:r>
        <m:r>
          <m:rPr>
            <m:sty m:val="p"/>
          </m:rPr>
          <m:t>=</m:t>
        </m:r>
        <m:f>
          <m:fPr>
            <m:ctrlPr>
              <w:rPr>
                <w:rFonts w:ascii="Cambria Math" w:hAnsi="Cambria Math"/>
              </w:rPr>
            </m:ctrlPr>
          </m:fPr>
          <m:num>
            <m:r>
              <m:rPr>
                <m:sty m:val="i"/>
              </m:rPr>
              <m:t>λ</m:t>
            </m:r>
            <m:r>
              <m:rPr>
                <m:sty m:val="p"/>
              </m:rPr>
              <m:t>(</m:t>
            </m:r>
            <m:r>
              <m:rPr>
                <m:sty m:val="i"/>
              </m:rPr>
              <m:t>ℓ</m:t>
            </m:r>
            <m:r>
              <m:rPr>
                <m:sty m:val="p"/>
              </m:rPr>
              <m:t>+</m:t>
            </m:r>
            <m:r>
              <m:rPr>
                <m:sty m:val="i"/>
              </m:rPr>
              <m:t>d</m:t>
            </m:r>
            <m:r>
              <m:rPr>
                <m:sty m:val="p"/>
              </m:rPr>
              <m:t>)</m:t>
            </m:r>
          </m:num>
          <m:den>
            <m:r>
              <m:rPr>
                <m:sty m:val="p"/>
              </m:rPr>
              <m:t>2</m:t>
            </m:r>
            <m:r>
              <m:rPr>
                <m:sty m:val="p"/>
              </m:rPr>
              <m:t>Δ</m:t>
            </m:r>
          </m:den>
        </m:f>
      </m:oMath>
      <w:r>
        <w:rPr/>
        <w:t xml:space="preserve">.</w:t>
      </w:r>
      <w:r>
        <w:rPr/>
        <w:br w:type="textWrapping"/>
      </w:r>
      <w:r>
        <w:rPr>
          <w:rFonts w:eastAsia="Georgia" w:cs="Georgia" w:ascii="Georgia" w:hAnsi="Georgia"/>
        </w:rPr>
        <w:t xml:space="preserve">Q 24. Le bord du verre, représenté par le miroir, est animé, en régime sinusoïdal forcé, d'un mouvement de translation dans la direction de l'axe ( </w:t>
      </w:r>
      <m:oMath>
        <m:r>
          <m:rPr>
            <m:sty m:val="i"/>
          </m:rPr>
          <m:t>O</m:t>
        </m:r>
        <m:r>
          <m:rPr>
            <m:sty m:val="i"/>
          </m:rPr>
          <m:t>x</m:t>
        </m:r>
      </m:oMath>
      <w:r>
        <w:rPr>
          <w:rFonts w:eastAsia="Georgia" w:cs="Georgia" w:ascii="Georgia" w:hAnsi="Georgia"/>
        </w:rPr>
        <w:t xml:space="preserve"> ), d'équation </w:t>
      </w:r>
      <m:oMath>
        <m:sSub>
          <m:sSubPr/>
          <m:e>
            <m:r>
              <m:rPr>
                <m:sty m:val="i"/>
              </m:rPr>
              <m:t>x</m:t>
            </m:r>
          </m:e>
          <m:sub>
            <m:r>
              <m:rPr>
                <m:sty m:val="i"/>
              </m:rPr>
              <m:t>m</m:t>
            </m:r>
          </m:sub>
        </m:sSub>
        <m:r>
          <m:rPr>
            <m:sty m:val="p"/>
          </m:rPr>
          <m:t>(</m:t>
        </m:r>
        <m:r>
          <m:rPr>
            <m:sty m:val="i"/>
          </m:rPr>
          <m:t>t</m:t>
        </m:r>
        <m:r>
          <m:rPr>
            <m:sty m:val="p"/>
          </m:rPr>
          <m:t>)</m:t>
        </m:r>
        <m:r>
          <m:rPr>
            <m:sty m:val="p"/>
          </m:rPr>
          <m:t>=</m:t>
        </m:r>
        <m:r>
          <m:rPr>
            <m:sty m:val="i"/>
          </m:rPr>
          <m:t>X</m:t>
        </m:r>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rFonts w:eastAsia="Georgia" w:cs="Georgia" w:ascii="Georgia" w:hAnsi="Georgia"/>
        </w:rPr>
        <w:t xml:space="preserve">. Déduire l'expression de l'évolution temporelle de l'interfrange en prenant en considération les paramètres de la vibration.</w:t>
      </w:r>
      <w:r>
        <w:rPr/>
        <w:br w:type="textWrapping"/>
      </w:r>
      <w:r>
        <w:rPr/>
        <w:t xml:space="preserve">Q 25. Pour une valeur de </w:t>
      </w:r>
      <m:oMath>
        <m:r>
          <m:rPr>
            <m:sty m:val="i"/>
          </m:rPr>
          <m:t>ω</m:t>
        </m:r>
      </m:oMath>
      <w:r>
        <w:rPr>
          <w:rFonts w:eastAsia="Georgia" w:cs="Georgia" w:ascii="Georgia" w:hAnsi="Georgia"/>
        </w:rPr>
        <w:t xml:space="preserve"> donnée, l'interfrange peut prendre une infinité de valeurs comprises entre deux extrêmes notés </w:t>
      </w:r>
      <m:oMath>
        <m:sSub>
          <m:sSubPr/>
          <m:e>
            <m:r>
              <m:rPr>
                <m:sty m:val="i"/>
              </m:rPr>
              <m:t>i</m:t>
            </m:r>
          </m:e>
          <m:sub>
            <m:r>
              <m:rPr>
                <m:nor/>
              </m:rPr>
              <m:t>min </m:t>
            </m:r>
          </m:sub>
        </m:sSub>
      </m:oMath>
      <w:r>
        <w:rPr/>
        <w:t xml:space="preserve"> et </w:t>
      </w:r>
      <m:oMath>
        <m:sSub>
          <m:sSubPr/>
          <m:e>
            <m:r>
              <m:rPr>
                <m:sty m:val="i"/>
              </m:rPr>
              <m:t>i</m:t>
            </m:r>
          </m:e>
          <m:sub>
            <m:r>
              <m:rPr>
                <m:nor/>
              </m:rPr>
              <m:t>max </m:t>
            </m:r>
          </m:sub>
        </m:sSub>
      </m:oMath>
      <w:r>
        <w:rPr/>
        <w:t xml:space="preserve">. Exprimer </w:t>
      </w:r>
      <m:oMath>
        <m:r>
          <m:rPr>
            <m:sty m:val="i"/>
          </m:rPr>
          <m:t>X</m:t>
        </m:r>
      </m:oMath>
      <w:r>
        <w:rPr/>
        <w:t xml:space="preserve">, amplitude des oscillations, en fonction de </w:t>
      </w:r>
      <m:oMath>
        <m:r>
          <m:rPr>
            <m:sty m:val="i"/>
          </m:rPr>
          <m:t>d</m:t>
        </m:r>
        <m:r>
          <m:rPr>
            <m:sty m:val="p"/>
          </m:rPr>
          <m:t>,</m:t>
        </m:r>
        <m:r>
          <m:rPr>
            <m:sty m:val="i"/>
          </m:rPr>
          <m:t>ℓ</m:t>
        </m:r>
        <m:r>
          <m:rPr>
            <m:sty m:val="p"/>
          </m:rPr>
          <m:t>,</m:t>
        </m:r>
        <m:r>
          <m:rPr>
            <m:sty m:val="i"/>
          </m:rPr>
          <m:t>λ</m:t>
        </m:r>
        <m:r>
          <m:rPr>
            <m:sty m:val="p"/>
          </m:rPr>
          <m:t>,</m:t>
        </m:r>
        <m:sSub>
          <m:sSubPr/>
          <m:e>
            <m:r>
              <m:rPr>
                <m:sty m:val="i"/>
              </m:rPr>
              <m:t>i</m:t>
            </m:r>
          </m:e>
          <m:sub>
            <m:r>
              <m:rPr>
                <m:nor/>
              </m:rPr>
              <m:t>min </m:t>
            </m:r>
          </m:sub>
        </m:sSub>
      </m:oMath>
      <w:r>
        <w:rPr/>
        <w:t xml:space="preserve"> et </w:t>
      </w:r>
      <m:oMath>
        <m:sSub>
          <m:sSubPr/>
          <m:e>
            <m:r>
              <m:rPr>
                <m:sty m:val="i"/>
              </m:rPr>
              <m:t>i</m:t>
            </m:r>
          </m:e>
          <m:sub>
            <m:r>
              <m:rPr>
                <m:nor/>
              </m:rPr>
              <m:t>max </m:t>
            </m:r>
          </m:sub>
        </m:sSub>
      </m:oMath>
      <w:r>
        <w:rPr/>
        <w:t xml:space="preserve">.</w:t>
      </w:r>
      <w:r>
        <w:rPr/>
        <w:br w:type="textWrapping"/>
      </w:r>
      <w:r>
        <w:rPr>
          <w:rFonts w:eastAsia="Georgia" w:cs="Georgia" w:ascii="Georgia" w:hAnsi="Georgia"/>
        </w:rPr>
        <w:t xml:space="preserve">Q 26. Dans l'expérience menée avec le verre, peut-on envisager de suivre à l'œil nu l'évolution de l'interfrange sur l'écran?</w:t>
      </w:r>
      <w:r>
        <w:rPr/>
        <w:br w:type="textWrapping"/>
      </w:r>
      <w:r>
        <w:rPr>
          <w:rFonts w:eastAsia="Georgia" w:cs="Georgia" w:ascii="Georgia" w:hAnsi="Georgia"/>
        </w:rPr>
        <w:t xml:space="preserve">Afin de pouvoir réaliser des mesures dans de bonnes conditions d'observation, on met en œuvre une méthode de stroboscopie en utilisant le capteur d'image CMOS d'une caméra rapide dont la fréquence de prise des images </w:t>
      </w:r>
      <m:oMath>
        <m:sSub>
          <m:sSubPr/>
          <m:e>
            <m:r>
              <m:rPr>
                <m:sty m:val="i"/>
              </m:rPr>
              <m:t>f</m:t>
            </m:r>
          </m:e>
          <m:sub>
            <m:r>
              <m:rPr>
                <m:sty m:val="i"/>
              </m:rPr>
              <m:t>i</m:t>
            </m:r>
          </m:sub>
        </m:sSub>
      </m:oMath>
      <w:r>
        <w:rPr>
          <w:rFonts w:eastAsia="Georgia" w:cs="Georgia" w:ascii="Georgia" w:hAnsi="Georgia"/>
        </w:rPr>
        <w:t xml:space="preserve"> est réglable jusqu'à 100 images par seconde. Le capteur est placé directement dans le champ d'interférence à la place de l'écran. On précise que la résolution du capteur CMOS (taille du pixel) est de </w:t>
      </w:r>
      <m:oMath>
        <m:r>
          <m:rPr>
            <m:sty m:val="p"/>
          </m:rPr>
          <m:t>1</m:t>
        </m:r>
        <m:r>
          <m:rPr>
            <m:sty m:val="i"/>
          </m:rPr>
          <m:t>μ</m:t>
        </m:r>
        <m:r>
          <m:rPr>
            <m:nor/>
          </m:rPr>
          <m:t xml:space="preserve"> </m:t>
        </m:r>
        <m:r>
          <m:rPr>
            <m:sty m:val="p"/>
          </m:rPr>
          <m:t>m</m:t>
        </m:r>
        <m:r>
          <m:rPr>
            <m:sty m:val="p"/>
          </m:rPr>
          <m:t>×</m:t>
        </m:r>
        <m:r>
          <m:rPr>
            <m:sty m:val="p"/>
          </m:rPr>
          <m:t>1</m:t>
        </m:r>
        <m:r>
          <m:rPr>
            <m:sty m:val="i"/>
          </m:rPr>
          <m:t>μ</m:t>
        </m:r>
        <m:r>
          <m:rPr>
            <m:nor/>
          </m:rPr>
          <m:t xml:space="preserve"> </m:t>
        </m:r>
        <m:r>
          <m:rPr>
            <m:sty m:val="p"/>
          </m:rPr>
          <m:t>m</m:t>
        </m:r>
      </m:oMath>
      <w:r>
        <w:rPr/>
        <w:t xml:space="preserve">.</w:t>
      </w:r>
      <w:r>
        <w:rPr/>
        <w:br w:type="textWrapping"/>
      </w:r>
      <w:r>
        <w:rPr>
          <w:rFonts w:eastAsia="Georgia" w:cs="Georgia" w:ascii="Georgia" w:hAnsi="Georgia"/>
        </w:rPr>
        <w:t xml:space="preserve">Q 27. On cherche à observer une immobilité de la figure d'interférence sur l'image. Exprimer la(les) fréquence(s) de prise de vue </w:t>
      </w:r>
      <m:oMath>
        <m:sSub>
          <m:sSubPr/>
          <m:e>
            <m:r>
              <m:rPr>
                <m:sty m:val="i"/>
              </m:rPr>
              <m:t>f</m:t>
            </m:r>
          </m:e>
          <m:sub>
            <m:r>
              <m:rPr>
                <m:sty m:val="i"/>
              </m:rPr>
              <m:t>i</m:t>
            </m:r>
          </m:sub>
        </m:sSub>
      </m:oMath>
      <w:r>
        <w:rPr/>
        <w:t xml:space="preserve"> possible(s) en fonction de la pulsation </w:t>
      </w:r>
      <m:oMath>
        <m:r>
          <m:rPr>
            <m:sty m:val="i"/>
          </m:rPr>
          <m:t>ω</m:t>
        </m:r>
      </m:oMath>
      <w:r>
        <w:rPr>
          <w:rFonts w:eastAsia="Georgia" w:cs="Georgia" w:ascii="Georgia" w:hAnsi="Georgia"/>
        </w:rPr>
        <w:t xml:space="preserve"> du générateur basse fréquence.</w:t>
      </w:r>
      <w:r>
        <w:rPr/>
        <w:br w:type="textWrapping"/>
      </w:r>
      <w:r>
        <w:rPr>
          <w:rFonts w:eastAsia="Georgia" w:cs="Georgia" w:ascii="Georgia" w:hAnsi="Georgia"/>
        </w:rPr>
        <w:t xml:space="preserve">Q 28. Une fois l'immobilité apparente réalisée sur l'image, expliquer pourquoi la mesure de l'interfrange nécessite de pouvoir régler la phase </w:t>
      </w:r>
      <m:oMath>
        <m:r>
          <m:rPr>
            <m:sty m:val="p"/>
          </m:rPr>
          <m:t>Φ</m:t>
        </m:r>
      </m:oMath>
      <w:r>
        <w:rPr>
          <w:rFonts w:eastAsia="Georgia" w:cs="Georgia" w:ascii="Georgia" w:hAnsi="Georgia"/>
        </w:rPr>
        <w:t xml:space="preserve"> du générateur basse fréquence.</w:t>
      </w:r>
      <w:r>
        <w:rPr/>
        <w:br w:type="textWrapping"/>
      </w:r>
      <w:r>
        <w:rPr>
          <w:rFonts w:eastAsia="Georgia" w:cs="Georgia" w:ascii="Georgia" w:hAnsi="Georgia"/>
        </w:rPr>
        <w:t xml:space="preserve">Les images données figure 10, représentant un carré de 100 pixels de coté, ont été réalisées pour une pulsation </w:t>
      </w:r>
      <m:oMath>
        <m:r>
          <m:rPr>
            <m:sty m:val="i"/>
          </m:rPr>
          <m:t>ω</m:t>
        </m:r>
      </m:oMath>
      <w:r>
        <w:rPr>
          <w:rFonts w:eastAsia="Georgia" w:cs="Georgia" w:ascii="Georgia" w:hAnsi="Georgia"/>
        </w:rPr>
        <w:t xml:space="preserve"> proche de la résonance. Seule la phase </w:t>
      </w:r>
      <m:oMath>
        <m:r>
          <m:rPr>
            <m:sty m:val="p"/>
          </m:rPr>
          <m:t>Φ</m:t>
        </m:r>
      </m:oMath>
      <w:r>
        <w:rPr>
          <w:rFonts w:eastAsia="Georgia" w:cs="Georgia" w:ascii="Georgia" w:hAnsi="Georgia"/>
        </w:rPr>
        <w:t xml:space="preserve"> du générateur basse fréquence est différente pour chacune d'entre elle.</w:t>
      </w:r>
      <w:r>
        <w:rPr/>
        <w:br w:type="textWrapping"/>
      </w:r>
      <w:r>
        <w:rPr>
          <w:rFonts w:eastAsia="Georgia" w:cs="Georgia" w:ascii="Georgia" w:hAnsi="Georgia"/>
        </w:rPr>
        <w:t xml:space="preserve">Q 29. À partir d'une exploitation des images de la figure 10, estimer l'amplitude des oscillations </w:t>
      </w:r>
      <m:oMath>
        <m:r>
          <m:rPr>
            <m:sty m:val="i"/>
          </m:rPr>
          <m:t>X</m:t>
        </m:r>
      </m:oMath>
      <w:r>
        <w:rPr/>
        <w:t xml:space="preserve"> du verre pour la pulsation </w:t>
      </w:r>
      <m:oMath>
        <m:r>
          <m:rPr>
            <m:sty m:val="i"/>
          </m:rPr>
          <m:t>ω</m:t>
        </m:r>
      </m:oMath>
      <w:r>
        <w:rPr/>
        <w:t xml:space="preserve">.</w:t>
      </w:r>
      <w:r>
        <w:rPr/>
        <w:br w:type="textWrapping"/>
      </w:r>
      <w:r>
        <w:rPr>
          <w:rFonts w:eastAsia="Georgia" w:cs="Georgia" w:ascii="Georgia" w:hAnsi="Georgia"/>
        </w:rPr>
        <w:t xml:space="preserve">Une série de mesure de l'amplitude </w:t>
      </w:r>
      <m:oMath>
        <m:r>
          <m:rPr>
            <m:sty m:val="i"/>
          </m:rPr>
          <m:t>X</m:t>
        </m:r>
      </m:oMath>
      <w:r>
        <w:rPr>
          <w:rFonts w:eastAsia="Georgia" w:cs="Georgia" w:ascii="Georgia" w:hAnsi="Georgia"/>
        </w:rPr>
        <w:t xml:space="preserve"> au voisinage de la résonance permet de tracer le graphe représenté sur la figure 11.</w:t>
      </w:r>
      <w:r>
        <w:rPr/>
        <w:br w:type="textWrapping"/>
      </w:r>
      <w:r>
        <w:rPr>
          <w:rFonts w:eastAsia="Georgia" w:cs="Georgia" w:ascii="Georgia" w:hAnsi="Georgia"/>
        </w:rPr>
        <w:t xml:space="preserve">Q 30. Déterminer, à partir de la figure 11, la fréquence de résonance </w:t>
      </w:r>
      <m:oMath>
        <m:sSub>
          <m:sSubPr/>
          <m:e>
            <m:r>
              <m:rPr>
                <m:sty m:val="i"/>
              </m:rPr>
              <m:t>f</m:t>
            </m:r>
          </m:e>
          <m:sub>
            <m:r>
              <m:rPr>
                <m:sty m:val="i"/>
              </m:rPr>
              <m:t>r</m:t>
            </m:r>
          </m:sub>
        </m:sSub>
      </m:oMath>
      <w:r>
        <w:rPr>
          <w:rFonts w:eastAsia="Georgia" w:cs="Georgia" w:ascii="Georgia" w:hAnsi="Georgia"/>
        </w:rPr>
        <w:t xml:space="preserve"> et le facteur de qualité </w:t>
      </w:r>
      <m:oMath>
        <m:r>
          <m:rPr>
            <m:sty m:val="i"/>
          </m:rPr>
          <m:t>Q</m:t>
        </m:r>
      </m:oMath>
      <w:r>
        <w:rPr>
          <w:rFonts w:eastAsia="Georgia" w:cs="Georgia" w:ascii="Georgia" w:hAnsi="Georgia"/>
        </w:rPr>
        <w:t xml:space="preserve"> du verre dans son mode 1. Comparer ces résultats à ceux du II.A.</w:t>
      </w:r>
      <w:r>
        <w:rPr/>
        <w:br w:type="textWrapping"/>
      </w:r>
      <w:r>
        <w:rPr>
          <w:rFonts w:eastAsia="Georgia" w:cs="Georgia" w:ascii="Georgia" w:hAnsi="Georgia"/>
        </w:rPr>
        <w:t xml:space="preserve">Q 31. Un générateur basse fréquence disponible au laboratoire présente les caractéristiques données dans le tableau ci-dessous. Est-il réaliste de pouvoir mettre en résonance le verre en utilisant celui-ci?</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w:t>
            </w:r>
          </w:p>
        </w:tc>
        <w:tc>
          <w:tcPr>
            <w:tcBorders>
              <w:top w:val="single" w:sz="8" w:space="0" w:color="000000"/>
              <w:bottom w:val="single" w:sz="8" w:space="0" w:color="000000"/>
              <w:right w:val="single" w:sz="8" w:space="0" w:color="000000"/>
            </w:tcBorders>
            <w:vAlign w:val="center"/>
          </w:tcPr>
          <w:p>
            <w:pPr>
              <w:spacing w:lineRule="auto"/>
              <w:jc w:val="left"/>
            </w:pPr>
            <m:oMath>
              <m:r>
                <m:rPr>
                  <m:sty m:val="p"/>
                </m:rPr>
                <m:t>0</m:t>
              </m:r>
              <m:r>
                <m:rPr>
                  <m:sty m:val="p"/>
                </m:rPr>
                <m:t>,</m:t>
              </m:r>
              <m:r>
                <m:rPr>
                  <m:sty m:val="p"/>
                </m:rPr>
                <m:t>1</m:t>
              </m:r>
              <m:r>
                <m:rPr>
                  <m:nor/>
                </m:rPr>
                <m:t xml:space="preserve"> </m:t>
              </m:r>
              <m:r>
                <m:rPr>
                  <m:sty m:val="p"/>
                </m:rPr>
                <m:t>Hz</m:t>
              </m:r>
            </m:oMath>
            <w:r>
              <w:rPr>
                <w:rFonts w:eastAsia="Georgia" w:cs="Georgia" w:ascii="Georgia" w:hAnsi="Georgia"/>
              </w:rPr>
              <w:t xml:space="preserve"> à </w:t>
            </w:r>
            <m:oMath>
              <m:r>
                <m:rPr>
                  <m:sty m:val="p"/>
                </m:rPr>
                <m:t>2</m:t>
              </m:r>
              <m:r>
                <m:rPr>
                  <m:sty m:val="p"/>
                </m:rPr>
                <m:t>,</m:t>
              </m:r>
              <m:r>
                <m:rPr>
                  <m:sty m:val="p"/>
                </m:rPr>
                <m:t>1</m:t>
              </m:r>
              <m:r>
                <m:rPr>
                  <m:sty m:val="p"/>
                </m:rPr>
                <m:t>MHz</m:t>
              </m:r>
            </m:oMath>
            <w:r>
              <w:rPr/>
              <w:t xml:space="preserve"> sur 6 gammes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bottom w:val="single" w:sz="8" w:space="0" w:color="000000"/>
              <w:right w:val="single" w:sz="8" w:space="0" w:color="000000"/>
            </w:tcBorders>
            <w:vAlign w:val="center"/>
          </w:tcPr>
          <w:p>
            <w:pPr>
              <w:spacing w:lineRule="auto"/>
              <w:jc w:val="left"/>
            </w:pPr>
            <w:r>
              <w:rPr/>
              <w:t xml:space="preserve">0,5%</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t xml:space="preserve">Niveau de sortie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20 V crête-crête en circuit ouvert</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10 V crête-crête sur </w:t>
            </w:r>
            <m:oMath>
              <m:r>
                <m:rPr>
                  <m:sty m:val="p"/>
                </m:rPr>
                <m:t>50</m:t>
              </m:r>
              <m:r>
                <m:rPr>
                  <m:sty m:val="p"/>
                </m:rPr>
                <m:t>Ω</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Alimentation</w:t>
            </w:r>
          </w:p>
        </w:tc>
        <w:tc>
          <w:tcPr>
            <w:tcBorders>
              <w:bottom w:val="single" w:sz="8" w:space="0" w:color="000000"/>
              <w:right w:val="single" w:sz="8" w:space="0" w:color="000000"/>
            </w:tcBorders>
            <w:vAlign w:val="center"/>
          </w:tcPr>
          <w:p>
            <w:pPr>
              <w:spacing w:lineRule="auto"/>
              <w:jc w:val="left"/>
            </w:pPr>
            <w:r>
              <w:rPr/>
              <w:t xml:space="preserve">115 ou 230 Vc.a., </w:t>
            </w:r>
            <m:oMath>
              <m:r>
                <m:rPr>
                  <m:sty m:val="p"/>
                </m:rPr>
                <m:t>50</m:t>
              </m:r>
              <m:r>
                <m:rPr>
                  <m:sty m:val="p"/>
                </m:rPr>
                <m:t>−</m:t>
              </m:r>
              <m:r>
                <m:rPr>
                  <m:sty m:val="p"/>
                </m:rPr>
                <m:t>60</m:t>
              </m:r>
              <m:r>
                <m:rPr>
                  <m:nor/>
                </m:rPr>
                <m:t xml:space="preserve"> </m:t>
              </m:r>
              <m:r>
                <m:rPr>
                  <m:sty m:val="p"/>
                </m:rPr>
                <m:t>Hz</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Dimensions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200</m:t>
                </m:r>
                <m:r>
                  <m:rPr>
                    <m:sty m:val="p"/>
                  </m:rPr>
                  <m:t>×</m:t>
                </m:r>
                <m:r>
                  <m:rPr>
                    <m:sty m:val="p"/>
                  </m:rPr>
                  <m:t>300</m:t>
                </m:r>
                <m:r>
                  <m:rPr>
                    <m:sty m:val="p"/>
                  </m:rPr>
                  <m:t>×</m:t>
                </m:r>
                <m:r>
                  <m:rPr>
                    <m:sty m:val="p"/>
                  </m:rPr>
                  <m:t>150</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Poids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8</m:t>
                </m:r>
                <m:r>
                  <m:rPr>
                    <m:nor/>
                  </m:rPr>
                  <m:t xml:space="preserve"> </m:t>
                </m:r>
                <m:r>
                  <m:rPr>
                    <m:sty m:val="p"/>
                  </m:rPr>
                  <m:t>kg</m:t>
                </m:r>
              </m:oMath>
            </m:oMathPara>
          </w:p>
        </w:tc>
      </w:tr>
    </w:tbl>
    <w:p>
      <w:pPr>
        <w:spacing w:lineRule="auto"/>
      </w:pPr>
    </w:p>
    <w:p>
      <w:pPr>
        <w:spacing w:lineRule="auto"/>
        <w:jc w:val="center"/>
      </w:pPr>
      <w:r>
        <w:rPr/>
        <w:drawing>
          <wp:inline distB="0" distL="0" distR="0" distT="0">
            <wp:extent cx="5486400" cy="3811979"/>
            <wp:effectExtent b="0" l="0" r="0" t="0"/>
            <wp:docPr id="10" name="image-d51e0e0639ab8e1e57fcae16a4595f601db45142.jpg"/>
            <a:graphic>
              <a:graphicData uri="http://schemas.openxmlformats.org/drawingml/2006/picture">
                <pic:pic>
                  <pic:nvPicPr>
                    <pic:cNvPr id="10" name="image-d51e0e0639ab8e1e57fcae16a4595f601db45142.jpg" descr=""/>
                    <pic:cNvPicPr/>
                  </pic:nvPicPr>
                  <pic:blipFill>
                    <a:blip r:embed="rId14" cstate="print"/>
                    <a:srcRect b="0" l="0" r="0" t="0"/>
                    <a:stretch>
                      <a:fillRect/>
                    </a:stretch>
                  </pic:blipFill>
                  <pic:spPr>
                    <a:xfrm>
                      <a:off x="0" y="0"/>
                      <a:ext cx="5486400" cy="3811979"/>
                    </a:xfrm>
                    <a:prstGeom prst="rect"/>
                  </pic:spPr>
                </pic:pic>
              </a:graphicData>
            </a:graphic>
          </wp:inline>
        </w:drawing>
      </w:r>
    </w:p>
    <w:p>
      <w:pPr>
        <w:spacing w:lineRule="auto"/>
      </w:pPr>
      <w:r>
        <w:rPr/>
        <w:t xml:space="preserve">Figure 10 Images du capteur CMOS pour une pulsation </w:t>
      </w:r>
      <m:oMath>
        <m:r>
          <m:rPr>
            <m:sty m:val="i"/>
          </m:rPr>
          <m:t>ω</m:t>
        </m:r>
      </m:oMath>
    </w:p>
    <w:p>
      <w:pPr>
        <w:spacing w:lineRule="auto"/>
        <w:jc w:val="center"/>
      </w:pPr>
      <w:r>
        <w:rPr/>
        <w:drawing>
          <wp:inline distB="0" distL="0" distR="0" distT="0">
            <wp:extent cx="5486400" cy="3083572"/>
            <wp:effectExtent b="0" l="0" r="0" t="0"/>
            <wp:docPr id="11" name="image-27eb200e45f3879e8c9254abaf966e3d6e31d07f.jpg"/>
            <a:graphic>
              <a:graphicData uri="http://schemas.openxmlformats.org/drawingml/2006/picture">
                <pic:pic>
                  <pic:nvPicPr>
                    <pic:cNvPr id="11" name="image-27eb200e45f3879e8c9254abaf966e3d6e31d07f.jpg" descr=""/>
                    <pic:cNvPicPr/>
                  </pic:nvPicPr>
                  <pic:blipFill>
                    <a:blip r:embed="rId15" cstate="print"/>
                    <a:srcRect b="0" l="0" r="0" t="0"/>
                    <a:stretch>
                      <a:fillRect/>
                    </a:stretch>
                  </pic:blipFill>
                  <pic:spPr>
                    <a:xfrm>
                      <a:off x="0" y="0"/>
                      <a:ext cx="5486400" cy="3083572"/>
                    </a:xfrm>
                    <a:prstGeom prst="rect"/>
                  </pic:spPr>
                </pic:pic>
              </a:graphicData>
            </a:graphic>
          </wp:inline>
        </w:drawing>
      </w:r>
    </w:p>
    <w:p>
      <w:pPr>
        <w:spacing w:lineRule="auto"/>
      </w:pPr>
      <w:r>
        <w:rPr>
          <w:rFonts w:eastAsia="Georgia" w:cs="Georgia" w:ascii="Georgia" w:hAnsi="Georgia"/>
        </w:rPr>
        <w:t xml:space="preserve">Figure 11 Amplitude relative en fonction de la fréquence</w:t>
      </w:r>
    </w:p>
    <w:p>
      <w:pPr>
        <w:spacing w:line="271" w:before="330" w:lineRule="auto"/>
      </w:pPr>
      <w:r>
        <w:rPr>
          <w:rFonts w:eastAsia="Georgia" w:cs="Georgia" w:ascii="Georgia" w:hAnsi="Georgia"/>
          <w:b/>
          <w:sz w:val="42"/>
        </w:rPr>
        <w:t xml:space="preserve">III Mise en résonance du verre par rétroaction : Effet Larsen</w:t>
      </w:r>
    </w:p>
    <w:p>
      <w:pPr>
        <w:spacing w:after="220" w:lineRule="auto"/>
      </w:pPr>
      <w:r>
        <w:rPr>
          <w:rFonts w:eastAsia="Georgia" w:cs="Georgia" w:ascii="Georgia" w:hAnsi="Georgia"/>
        </w:rPr>
        <w:t xml:space="preserve">Compte tenu des résultats de la partie précédente, on se propose de mettre en résonance le verre en utilisant une boucle de rétroaction (figure 12). Cette solution présente l'avantage d'une très grande simplicité de montage.</w:t>
      </w:r>
    </w:p>
    <w:p>
      <w:pPr>
        <w:spacing w:lineRule="auto"/>
        <w:jc w:val="center"/>
      </w:pPr>
      <w:r>
        <w:rPr/>
        <w:drawing>
          <wp:inline distB="0" distL="0" distR="0" distT="0">
            <wp:extent cx="5486400" cy="1458194"/>
            <wp:effectExtent b="0" l="0" r="0" t="0"/>
            <wp:docPr id="12" name="image-15d320c935b59e9819e5a462f31fd9b71ecc0f1f.jpg"/>
            <a:graphic>
              <a:graphicData uri="http://schemas.openxmlformats.org/drawingml/2006/picture">
                <pic:pic>
                  <pic:nvPicPr>
                    <pic:cNvPr id="12" name="image-15d320c935b59e9819e5a462f31fd9b71ecc0f1f.jpg" descr=""/>
                    <pic:cNvPicPr/>
                  </pic:nvPicPr>
                  <pic:blipFill>
                    <a:blip r:embed="rId16" cstate="print"/>
                    <a:srcRect b="0" l="0" r="0" t="0"/>
                    <a:stretch>
                      <a:fillRect/>
                    </a:stretch>
                  </pic:blipFill>
                  <pic:spPr>
                    <a:xfrm>
                      <a:off x="0" y="0"/>
                      <a:ext cx="5486400" cy="1458194"/>
                    </a:xfrm>
                    <a:prstGeom prst="rect"/>
                  </pic:spPr>
                </pic:pic>
              </a:graphicData>
            </a:graphic>
          </wp:inline>
        </w:drawing>
      </w:r>
    </w:p>
    <w:p>
      <w:pPr>
        <w:spacing w:lineRule="auto"/>
      </w:pPr>
      <w:r>
        <w:rPr>
          <w:rFonts w:eastAsia="Georgia" w:cs="Georgia" w:ascii="Georgia" w:hAnsi="Georgia"/>
        </w:rPr>
        <w:t xml:space="preserve">Figure 12 Montage expérimental de la boucle de rétroaction</w:t>
      </w:r>
    </w:p>
    <w:p>
      <w:pPr>
        <w:spacing w:after="220" w:lineRule="auto"/>
      </w:pPr>
      <w:r>
        <w:rPr>
          <w:rFonts w:eastAsia="Georgia" w:cs="Georgia" w:ascii="Georgia" w:hAnsi="Georgia"/>
        </w:rPr>
        <w:t xml:space="preserve">Ce premier essai se solde en fait par un échec. Un effet Larsen (du nom de l'électro-acousticien danois Søren Absalon Larsen, 1871-1957) se met naturellement en place. Celui-ci se traduit par un sifflement très intense et très désagréable dans lequel le verre semble ne jouer aucun rôle, autrement dit semble être acoustiquement transparent. Nous allons ici étudier le mécanisme de cet effet Larsen, de façon à proposer une solution à ce problème.</w:t>
      </w:r>
    </w:p>
    <w:p>
      <w:pPr>
        <w:spacing w:line="271" w:before="330" w:lineRule="auto"/>
      </w:pPr>
      <w:r>
        <w:rPr>
          <w:rFonts w:eastAsia="Georgia" w:cs="Georgia" w:ascii="Georgia" w:hAnsi="Georgia"/>
          <w:b/>
          <w:sz w:val="42"/>
        </w:rPr>
        <w:t xml:space="preserve">III.A - Première analyse de l'effet Larsen</w:t>
      </w:r>
    </w:p>
    <w:p>
      <w:pPr>
        <w:spacing w:after="220" w:lineRule="auto"/>
      </w:pPr>
      <w:r>
        <w:rPr>
          <w:rFonts w:eastAsia="Georgia" w:cs="Georgia" w:ascii="Georgia" w:hAnsi="Georgia"/>
        </w:rPr>
        <w:t xml:space="preserve">Le hautparleur et le microphone, séparés d'une distance </w:t>
      </w:r>
      <m:oMath>
        <m:r>
          <m:rPr>
            <m:sty m:val="i"/>
          </m:rPr>
          <m:t>d</m:t>
        </m:r>
      </m:oMath>
      <w:r>
        <w:rPr>
          <w:rFonts w:eastAsia="Georgia" w:cs="Georgia" w:ascii="Georgia" w:hAnsi="Georgia"/>
        </w:rPr>
        <w:t xml:space="preserve">, délimitent une région de l'espace que l'on va appeler par la suite «cavité acoustique ». On note la vitesse de propagation des ondes sonores dans la cavité et on négligera tout phénomène d'amortissement de l'onde dans l'air.</w:t>
      </w:r>
      <w:r>
        <w:rPr/>
        <w:br w:type="textWrapping"/>
      </w:r>
      <w:r>
        <w:rPr>
          <w:rFonts w:eastAsia="Georgia" w:cs="Georgia" w:ascii="Georgia" w:hAnsi="Georgia"/>
        </w:rPr>
        <w:t xml:space="preserve">Q 32. Expliquer brièvement le rôle de chaque élément et le principe de fonctionnement du montage de la figure 12.</w:t>
      </w:r>
    </w:p>
    <w:p>
      <w:pPr>
        <w:spacing w:lineRule="auto"/>
        <w:jc w:val="center"/>
      </w:pPr>
      <w:r>
        <w:rPr/>
        <w:drawing>
          <wp:inline distB="0" distL="0" distR="0" distT="0">
            <wp:extent cx="5486400" cy="2252575"/>
            <wp:effectExtent b="0" l="0" r="0" t="0"/>
            <wp:docPr id="13" name="image-8814cd8f55df6cc58f4f30697bc14648a3ab3633.jpg"/>
            <a:graphic>
              <a:graphicData uri="http://schemas.openxmlformats.org/drawingml/2006/picture">
                <pic:pic>
                  <pic:nvPicPr>
                    <pic:cNvPr id="13" name="image-8814cd8f55df6cc58f4f30697bc14648a3ab3633.jpg" descr=""/>
                    <pic:cNvPicPr/>
                  </pic:nvPicPr>
                  <pic:blipFill>
                    <a:blip r:embed="rId17" cstate="print"/>
                    <a:srcRect b="0" l="0" r="0" t="0"/>
                    <a:stretch>
                      <a:fillRect/>
                    </a:stretch>
                  </pic:blipFill>
                  <pic:spPr>
                    <a:xfrm>
                      <a:off x="0" y="0"/>
                      <a:ext cx="5486400" cy="2252575"/>
                    </a:xfrm>
                    <a:prstGeom prst="rect"/>
                  </pic:spPr>
                </pic:pic>
              </a:graphicData>
            </a:graphic>
          </wp:inline>
        </w:drawing>
      </w:r>
    </w:p>
    <w:p>
      <w:pPr>
        <w:spacing w:lineRule="auto"/>
      </w:pPr>
      <w:r>
        <w:rPr/>
        <w:t xml:space="preserve">Figure 13 Chronogramme et analyse spectrale de l'effet Larsen</w:t>
      </w:r>
    </w:p>
    <w:p>
      <w:pPr>
        <w:spacing w:after="220" w:lineRule="auto"/>
      </w:pPr>
      <w:r>
        <w:rPr>
          <w:rFonts w:eastAsia="Georgia" w:cs="Georgia" w:ascii="Georgia" w:hAnsi="Georgia"/>
        </w:rPr>
        <w:t xml:space="preserve">Q 33. Quelle est la particularité de l'onde acoustique se propageant du hautparleur vers le microphone (figure 13) ? Proposer une expression de l'onde sonore émise par le hautparleur, en notant </w:t>
      </w:r>
      <m:oMath>
        <m:sSub>
          <m:sSubPr/>
          <m:e>
            <m:r>
              <m:rPr>
                <m:sty m:val="i"/>
              </m:rPr>
              <m:t>S</m:t>
            </m:r>
          </m:e>
          <m:sub>
            <m:r>
              <m:rPr>
                <m:sty m:val="p"/>
              </m:rPr>
              <m:t>0</m:t>
            </m:r>
          </m:sub>
        </m:sSub>
      </m:oMath>
      <w:r>
        <w:rPr/>
        <w:t xml:space="preserve"> son amplitude, </w:t>
      </w:r>
      <m:oMath>
        <m:r>
          <m:rPr>
            <m:sty m:val="i"/>
          </m:rPr>
          <m:t>f</m:t>
        </m:r>
      </m:oMath>
      <w:r>
        <w:rPr>
          <w:rFonts w:eastAsia="Georgia" w:cs="Georgia" w:ascii="Georgia" w:hAnsi="Georgia"/>
        </w:rPr>
        <w:t xml:space="preserve"> sa fréquence et </w:t>
      </w:r>
      <m:oMath>
        <m:r>
          <m:rPr>
            <m:sty m:val="i"/>
          </m:rPr>
          <m:t>c</m:t>
        </m:r>
      </m:oMath>
      <w:r>
        <w:rPr>
          <w:rFonts w:eastAsia="Georgia" w:cs="Georgia" w:ascii="Georgia" w:hAnsi="Georgia"/>
        </w:rPr>
        <w:t xml:space="preserve"> la célérité du son.</w:t>
      </w:r>
      <w:r>
        <w:rPr/>
        <w:br w:type="textWrapping"/>
      </w:r>
      <w:r>
        <w:rPr>
          <w:rFonts w:eastAsia="Georgia" w:cs="Georgia" w:ascii="Georgia" w:hAnsi="Georgia"/>
        </w:rPr>
        <w:t xml:space="preserve">Q 34. Dans l'hypothèse d'une transmission infiniment rapide du signal au travers de la partie électronique du montage ; expliquer pourquoi, afin de satisfaire les conditions aux limites de la cavité acoustique, la longueur d'onde </w:t>
      </w:r>
      <m:oMath>
        <m:r>
          <m:rPr>
            <m:sty m:val="i"/>
          </m:rPr>
          <m:t>λ</m:t>
        </m:r>
      </m:oMath>
      <w:r>
        <w:rPr>
          <w:rFonts w:eastAsia="Georgia" w:cs="Georgia" w:ascii="Georgia" w:hAnsi="Georgia"/>
        </w:rPr>
        <w:t xml:space="preserve"> du sifflement est nécessairement quantifiée. Soit : </w:t>
      </w:r>
      <m:oMath>
        <m:r>
          <m:rPr>
            <m:sty m:val="i"/>
          </m:rPr>
          <m:t>d</m:t>
        </m:r>
        <m:r>
          <m:rPr>
            <m:sty m:val="p"/>
          </m:rPr>
          <m:t>=</m:t>
        </m:r>
        <m:r>
          <m:rPr>
            <m:sty m:val="i"/>
          </m:rPr>
          <m:t>n</m:t>
        </m:r>
        <m:sSub>
          <m:sSubPr/>
          <m:e>
            <m:r>
              <m:rPr>
                <m:sty m:val="i"/>
              </m:rPr>
              <m:t>λ</m:t>
            </m:r>
          </m:e>
          <m:sub>
            <m:r>
              <m:rPr>
                <m:sty m:val="i"/>
              </m:rPr>
              <m:t>n</m:t>
            </m:r>
          </m:sub>
        </m:sSub>
      </m:oMath>
      <w:r>
        <w:rPr/>
        <w:t xml:space="preserve"> avec </w:t>
      </w:r>
      <m:oMath>
        <m:r>
          <m:rPr>
            <m:sty m:val="i"/>
          </m:rPr>
          <m:t>n</m:t>
        </m:r>
        <m:r>
          <m:rPr>
            <m:sty m:val="p"/>
          </m:rPr>
          <m:t>∈</m:t>
        </m:r>
        <m:sSup>
          <m:sSupPr/>
          <m:e>
            <m:r>
              <m:rPr>
                <m:scr m:val="double-struck"/>
              </m:rPr>
              <m:t>N</m:t>
            </m:r>
          </m:e>
          <m:sup>
            <m:r>
              <m:rPr>
                <m:sty m:val="p"/>
              </m:rPr>
              <m:t>∗</m:t>
            </m:r>
          </m:sup>
        </m:sSup>
      </m:oMath>
      <w:r>
        <w:rPr/>
        <w:t xml:space="preserve">.</w:t>
      </w:r>
      <w:r>
        <w:rPr/>
        <w:br w:type="textWrapping"/>
      </w:r>
      <w:r>
        <w:rPr>
          <w:rFonts w:eastAsia="Georgia" w:cs="Georgia" w:ascii="Georgia" w:hAnsi="Georgia"/>
        </w:rPr>
        <w:t xml:space="preserve">Une série de mesures des fréquences du sifflement en fonction de la distance est représentée sur la figure 14. Les points expérimentaux se répartissent sur des courbes hyperboliques.</w:t>
      </w:r>
      <w:r>
        <w:rPr/>
        <w:br w:type="textWrapping"/>
      </w:r>
      <w:r>
        <w:rPr>
          <w:rFonts w:eastAsia="Georgia" w:cs="Georgia" w:ascii="Georgia" w:hAnsi="Georgia"/>
        </w:rPr>
        <w:t xml:space="preserve">Q 35. Établir l'équation des hyperboles </w:t>
      </w:r>
      <m:oMath>
        <m:r>
          <m:rPr>
            <m:sty m:val="i"/>
          </m:rPr>
          <m:t>f</m:t>
        </m:r>
        <m:r>
          <m:rPr>
            <m:sty m:val="p"/>
          </m:rPr>
          <m:t>=</m:t>
        </m:r>
        <m:r>
          <m:rPr>
            <m:sty m:val="i"/>
          </m:rPr>
          <m:t>K</m:t>
        </m:r>
        <m:r>
          <m:rPr>
            <m:sty m:val="p"/>
          </m:rPr>
          <m:t>/</m:t>
        </m:r>
        <m:r>
          <m:rPr>
            <m:sty m:val="i"/>
          </m:rPr>
          <m:t>d</m:t>
        </m:r>
      </m:oMath>
      <w:r>
        <w:rPr/>
        <w:t xml:space="preserve"> avec </w:t>
      </w:r>
      <m:oMath>
        <m:r>
          <m:rPr>
            <m:sty m:val="i"/>
          </m:rPr>
          <m:t>K</m:t>
        </m:r>
      </m:oMath>
      <w:r>
        <w:rPr>
          <w:rFonts w:eastAsia="Georgia" w:cs="Georgia" w:ascii="Georgia" w:hAnsi="Georgia"/>
        </w:rPr>
        <w:t xml:space="preserve"> que l'on exprimera en fonction des paramètres du problème.</w:t>
      </w:r>
      <w:r>
        <w:rPr/>
        <w:br w:type="textWrapping"/>
      </w:r>
      <w:r>
        <w:rPr>
          <w:rFonts w:eastAsia="Georgia" w:cs="Georgia" w:ascii="Georgia" w:hAnsi="Georgia"/>
        </w:rPr>
        <w:t xml:space="preserve">Q 36. Estimer, à partir de la figure 14 les bornes inférieures et supérieures, notées respectivement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rFonts w:eastAsia="Georgia" w:cs="Georgia" w:ascii="Georgia" w:hAnsi="Georgia"/>
        </w:rPr>
        <w:t xml:space="preserve">, des fréquences mesurées.</w:t>
      </w:r>
      <w:r>
        <w:rPr/>
        <w:br w:type="textWrapping"/>
      </w:r>
      <w:r>
        <w:rPr>
          <w:rFonts w:eastAsia="Georgia" w:cs="Georgia" w:ascii="Georgia" w:hAnsi="Georgia"/>
        </w:rPr>
        <w:t xml:space="preserve">La question qui se pose ici concerne le fait que les points ne se situent pas sur une seule de ces courbes hyperboliques, mais semblent sauter d'une courbe à l'autre, lorsque la taille de la cavité acoustique augmente, de façon à rester dans une étroite plage de fréquences ( </w:t>
      </w:r>
      <m:oMath>
        <m:r>
          <m:rPr>
            <m:sty m:val="i"/>
          </m:rPr>
          <m:t>f</m:t>
        </m:r>
        <m:r>
          <m:rPr>
            <m:sty m:val="p"/>
          </m:rPr>
          <m:t>∈</m:t>
        </m:r>
        <m:d>
          <m:dPr>
            <m:begChr m:val="["/>
            <m:endChr m:val="]"/>
            <m:ctrlPr>
              <w:rPr>
                <w:rFonts w:ascii="Cambria Math" w:hAnsi="Cambria Math"/>
              </w:rPr>
            </m:ctrlPr>
          </m:dPr>
          <m:e>
            <m:sSub>
              <m:sSubPr/>
              <m:e>
                <m:r>
                  <m:rPr>
                    <m:sty m:val="i"/>
                  </m:rPr>
                  <m:t>f</m:t>
                </m:r>
              </m:e>
              <m:sub>
                <m:r>
                  <m:rPr>
                    <m:sty m:val="p"/>
                  </m:rPr>
                  <m:t>1</m:t>
                </m:r>
              </m:sub>
            </m:sSub>
            <m:r>
              <m:rPr>
                <m:sty m:val="p"/>
              </m:rPr>
              <m:t>,</m:t>
            </m:r>
            <m:sSub>
              <m:sSubPr/>
              <m:e>
                <m:r>
                  <m:rPr>
                    <m:sty m:val="i"/>
                  </m:rPr>
                  <m:t>f</m:t>
                </m:r>
              </m:e>
              <m:sub>
                <m:r>
                  <m:rPr>
                    <m:sty m:val="p"/>
                  </m:rPr>
                  <m:t>2</m:t>
                </m:r>
              </m:sub>
            </m:sSub>
          </m:e>
        </m:d>
      </m:oMath>
      <w:r>
        <w:rPr>
          <w:rFonts w:eastAsia="Georgia" w:cs="Georgia" w:ascii="Georgia" w:hAnsi="Georgia"/>
        </w:rPr>
        <w:t xml:space="preserve"> ). Il est permis de se demander si les caractéristiques du microphone jouent un rôle.</w:t>
      </w:r>
      <w:r>
        <w:rPr/>
        <w:br w:type="textWrapping"/>
      </w:r>
    </w:p>
    <w:p>
      <w:pPr>
        <w:spacing w:lineRule="auto"/>
        <w:jc w:val="center"/>
      </w:pPr>
      <w:r>
        <w:rPr/>
        <w:drawing>
          <wp:inline distB="0" distL="0" distR="0" distT="0">
            <wp:extent cx="5486400" cy="1451996"/>
            <wp:effectExtent b="0" l="0" r="0" t="0"/>
            <wp:docPr id="14" name="image-81a43bf6039994d23e649edc810b47971a99a3cd.jpg"/>
            <a:graphic>
              <a:graphicData uri="http://schemas.openxmlformats.org/drawingml/2006/picture">
                <pic:pic>
                  <pic:nvPicPr>
                    <pic:cNvPr id="14" name="image-81a43bf6039994d23e649edc810b47971a99a3cd.jpg" descr=""/>
                    <pic:cNvPicPr/>
                  </pic:nvPicPr>
                  <pic:blipFill>
                    <a:blip r:embed="rId18" cstate="print"/>
                    <a:srcRect b="0" l="0" r="0" t="0"/>
                    <a:stretch>
                      <a:fillRect/>
                    </a:stretch>
                  </pic:blipFill>
                  <pic:spPr>
                    <a:xfrm>
                      <a:off x="0" y="0"/>
                      <a:ext cx="5486400" cy="1451996"/>
                    </a:xfrm>
                    <a:prstGeom prst="rect"/>
                  </pic:spPr>
                </pic:pic>
              </a:graphicData>
            </a:graphic>
          </wp:inline>
        </w:drawing>
      </w:r>
    </w:p>
    <w:p>
      <w:pPr>
        <w:spacing w:lineRule="auto"/>
        <w:jc w:val="center"/>
      </w:pPr>
      <w:r>
        <w:rPr/>
        <w:drawing>
          <wp:inline distB="0" distL="0" distR="0" distT="0">
            <wp:extent cx="5486400" cy="2623620"/>
            <wp:effectExtent b="0" l="0" r="0" t="0"/>
            <wp:docPr id="15" name="image-d12eb9c939a6710c641f55269ade529ad9eb2c6d.jpg"/>
            <a:graphic>
              <a:graphicData uri="http://schemas.openxmlformats.org/drawingml/2006/picture">
                <pic:pic>
                  <pic:nvPicPr>
                    <pic:cNvPr id="15" name="image-d12eb9c939a6710c641f55269ade529ad9eb2c6d.jpg" descr=""/>
                    <pic:cNvPicPr/>
                  </pic:nvPicPr>
                  <pic:blipFill>
                    <a:blip r:embed="rId19" cstate="print"/>
                    <a:srcRect b="0" l="0" r="0" t="0"/>
                    <a:stretch>
                      <a:fillRect/>
                    </a:stretch>
                  </pic:blipFill>
                  <pic:spPr>
                    <a:xfrm>
                      <a:off x="0" y="0"/>
                      <a:ext cx="5486400" cy="2623620"/>
                    </a:xfrm>
                    <a:prstGeom prst="rect"/>
                  </pic:spPr>
                </pic:pic>
              </a:graphicData>
            </a:graphic>
          </wp:inline>
        </w:drawing>
      </w:r>
    </w:p>
    <w:p>
      <w:pPr>
        <w:spacing w:lineRule="auto"/>
      </w:pPr>
      <w:r>
        <w:rPr>
          <w:rFonts w:eastAsia="Georgia" w:cs="Georgia" w:ascii="Georgia" w:hAnsi="Georgia"/>
        </w:rPr>
        <w:t xml:space="preserve">Figure 14 Fréquence du sifflement en fonction de la distance</w:t>
      </w:r>
    </w:p>
    <w:p>
      <w:pPr>
        <w:spacing w:line="271" w:before="330" w:lineRule="auto"/>
      </w:pPr>
      <w:r>
        <w:rPr>
          <w:rFonts w:eastAsia="Georgia" w:cs="Georgia" w:ascii="Georgia" w:hAnsi="Georgia"/>
          <w:b/>
          <w:sz w:val="42"/>
        </w:rPr>
        <w:t xml:space="preserve">III.B - Le microphone électrostatique</w:t>
      </w:r>
    </w:p>
    <w:p>
      <w:pPr>
        <w:spacing w:after="220" w:lineRule="auto"/>
      </w:pPr>
      <w:r>
        <w:rPr>
          <w:rFonts w:eastAsia="Georgia" w:cs="Georgia" w:ascii="Georgia" w:hAnsi="Georgia"/>
        </w:rPr>
        <w:t xml:space="preserve">Le microphone électrostatique, dont la courbe de réponse est donnée figure 2, est constitué d'une membrane </w:t>
      </w:r>
      <m:oMath>
        <m:sSub>
          <m:sSubPr/>
          <m:e>
            <m:r>
              <m:rPr>
                <m:sty m:val="i"/>
              </m:rPr>
              <m:t>P</m:t>
            </m:r>
          </m:e>
          <m:sub>
            <m:r>
              <m:rPr>
                <m:sty m:val="p"/>
              </m:rPr>
              <m:t>1</m:t>
            </m:r>
          </m:sub>
        </m:sSub>
      </m:oMath>
      <w:r>
        <w:rPr/>
        <w:t xml:space="preserve"> de surface </w:t>
      </w:r>
      <m:oMath>
        <m:r>
          <m:rPr>
            <m:sty m:val="i"/>
          </m:rPr>
          <m:t>S</m:t>
        </m:r>
      </m:oMath>
      <w:r>
        <w:rPr>
          <w:rFonts w:eastAsia="Georgia" w:cs="Georgia" w:ascii="Georgia" w:hAnsi="Georgia"/>
        </w:rPr>
        <w:t xml:space="preserve">, extrêmement légère de masse </w:t>
      </w:r>
      <m:oMath>
        <m:sSub>
          <m:sSubPr/>
          <m:e>
            <m:r>
              <m:rPr>
                <m:sty m:val="i"/>
              </m:rPr>
              <m:t>m</m:t>
            </m:r>
          </m:e>
          <m:sub>
            <m:r>
              <m:rPr>
                <m:sty m:val="i"/>
              </m:rPr>
              <m:t>e</m:t>
            </m:r>
          </m:sub>
        </m:sSub>
      </m:oMath>
      <w:r>
        <w:rPr>
          <w:rFonts w:eastAsia="Georgia" w:cs="Georgia" w:ascii="Georgia" w:hAnsi="Georgia"/>
        </w:rPr>
        <w:t xml:space="preserve">. Celle-ci, réalisée en métal (ou en polyester rendu conducteur par un saupoudrage de métal), est mobile et constitue l'une des armatures d'un condensateur plan. L'espace entre la membrane </w:t>
      </w:r>
      <m:oMath>
        <m:sSub>
          <m:sSubPr/>
          <m:e>
            <m:r>
              <m:rPr>
                <m:sty m:val="i"/>
              </m:rPr>
              <m:t>P</m:t>
            </m:r>
          </m:e>
          <m:sub>
            <m:r>
              <m:rPr>
                <m:sty m:val="p"/>
              </m:rPr>
              <m:t>1</m:t>
            </m:r>
          </m:sub>
        </m:sSub>
      </m:oMath>
      <w:r>
        <w:rPr/>
        <w:t xml:space="preserve"> et l'armature fixe </w:t>
      </w:r>
      <m:oMath>
        <m:sSub>
          <m:sSubPr/>
          <m:e>
            <m:r>
              <m:rPr>
                <m:sty m:val="i"/>
              </m:rPr>
              <m:t>P</m:t>
            </m:r>
          </m:e>
          <m:sub>
            <m:r>
              <m:rPr>
                <m:sty m:val="p"/>
              </m:rPr>
              <m:t>2</m:t>
            </m:r>
          </m:sub>
        </m:sSub>
      </m:oMath>
      <w:r>
        <w:rPr>
          <w:rFonts w:eastAsia="Georgia" w:cs="Georgia" w:ascii="Georgia" w:hAnsi="Georgia"/>
        </w:rPr>
        <w:t xml:space="preserve"> est entièrement rempli d'air de permittivité électrique </w:t>
      </w:r>
      <m:oMath>
        <m:sSub>
          <m:sSubPr/>
          <m:e>
            <m:r>
              <m:rPr>
                <m:sty m:val="i"/>
              </m:rPr>
              <m:t>ε</m:t>
            </m:r>
          </m:e>
          <m:sub>
            <m:r>
              <m:rPr>
                <m:sty m:val="p"/>
              </m:rPr>
              <m:t>0</m:t>
            </m:r>
          </m:sub>
        </m:sSub>
      </m:oMath>
      <w:r>
        <w:rPr>
          <w:rFonts w:eastAsia="Georgia" w:cs="Georgia" w:ascii="Georgia" w:hAnsi="Georgia"/>
        </w:rPr>
        <w:t xml:space="preserve">. Au repos, la distance entre les deux armatures parallèles est notée </w:t>
      </w:r>
      <m:oMath>
        <m:r>
          <m:rPr>
            <m:sty m:val="i"/>
          </m:rPr>
          <m:t>e</m:t>
        </m:r>
      </m:oMath>
      <w:r>
        <w:rPr>
          <w:rFonts w:eastAsia="Georgia" w:cs="Georgia" w:ascii="Georgia" w:hAnsi="Georgia"/>
        </w:rPr>
        <w:t xml:space="preserve">. En mouvement, la liaison entre l'isolant et la membrane peut être modélisée par une force de rappel élastique de constante de raideur </w:t>
      </w:r>
      <m:oMath>
        <m:sSub>
          <m:sSubPr/>
          <m:e>
            <m:r>
              <m:rPr>
                <m:sty m:val="i"/>
              </m:rPr>
              <m:t>k</m:t>
            </m:r>
          </m:e>
          <m:sub>
            <m:r>
              <m:rPr>
                <m:sty m:val="i"/>
              </m:rPr>
              <m:t>e</m:t>
            </m:r>
          </m:sub>
        </m:sSub>
      </m:oMath>
      <w:r>
        <w:rPr/>
        <w:t xml:space="preserve">.</w:t>
      </w:r>
      <w:r>
        <w:rPr/>
        <w:br w:type="textWrapping"/>
      </w:r>
      <w:r>
        <w:rPr>
          <w:rFonts w:eastAsia="Georgia" w:cs="Georgia" w:ascii="Georgia" w:hAnsi="Georgia"/>
        </w:rPr>
        <w:t xml:space="preserve">Les variations de pression provoquées par l'onde sonore font varier la distance entre les deux armatures par un déplacement de la membrane parallèlement à l'axe </w:t>
      </w:r>
      <m:oMath>
        <m:r>
          <m:rPr>
            <m:sty m:val="i"/>
          </m:rPr>
          <m:t>O</m:t>
        </m:r>
        <m:r>
          <m:rPr>
            <m:sty m:val="i"/>
          </m:rPr>
          <m:t>x</m:t>
        </m:r>
      </m:oMath>
      <w:r>
        <w:rPr>
          <w:rFonts w:eastAsia="Georgia" w:cs="Georgia" w:ascii="Georgia" w:hAnsi="Georgia"/>
        </w:rPr>
        <w:t xml:space="preserve">. Ce déplacement induit une variation de la capacité et cet effet est exploité dans le circuit électrique de la figure 15 de manière à récupérer le signal </w:t>
      </w:r>
      <m:oMath>
        <m:r>
          <m:rPr>
            <m:sty m:val="i"/>
          </m:rPr>
          <m:t>u</m:t>
        </m:r>
        <m:r>
          <m:rPr>
            <m:sty m:val="p"/>
          </m:rPr>
          <m:t>(</m:t>
        </m:r>
        <m:r>
          <m:rPr>
            <m:sty m:val="i"/>
          </m:rPr>
          <m:t>t</m:t>
        </m:r>
        <m:r>
          <m:rPr>
            <m:sty m:val="p"/>
          </m:rPr>
          <m:t>)</m:t>
        </m:r>
      </m:oMath>
      <w:r>
        <w:rPr>
          <w:rFonts w:eastAsia="Georgia" w:cs="Georgia" w:ascii="Georgia" w:hAnsi="Georgia"/>
        </w:rPr>
        <w:t xml:space="preserve"> aux bornes de la résistance </w:t>
      </w:r>
      <m:oMath>
        <m:r>
          <m:rPr>
            <m:sty m:val="i"/>
          </m:rPr>
          <m:t>R</m:t>
        </m:r>
        <m:r>
          <m:rPr>
            <m:sty m:val="p"/>
          </m:rPr>
          <m:t>=</m:t>
        </m:r>
        <m:r>
          <m:rPr>
            <m:sty m:val="p"/>
          </m:rPr>
          <m:t>10</m:t>
        </m:r>
        <m:r>
          <m:rPr>
            <m:sty m:val="p"/>
          </m:rPr>
          <m:t>k</m:t>
        </m:r>
        <m:r>
          <m:rPr>
            <m:sty m:val="p"/>
          </m:rPr>
          <m:t>Ω</m:t>
        </m:r>
      </m:oMath>
      <w:r>
        <w:rPr/>
        <w:t xml:space="preserve">. Les variations de </w:t>
      </w:r>
      <m:oMath>
        <m:r>
          <m:rPr>
            <m:sty m:val="i"/>
          </m:rPr>
          <m:t>u</m:t>
        </m:r>
        <m:r>
          <m:rPr>
            <m:sty m:val="p"/>
          </m:rPr>
          <m:t>(</m:t>
        </m:r>
        <m:r>
          <m:rPr>
            <m:sty m:val="i"/>
          </m:rPr>
          <m:t>t</m:t>
        </m:r>
        <m:r>
          <m:rPr>
            <m:sty m:val="p"/>
          </m:rPr>
          <m:t>)</m:t>
        </m:r>
      </m:oMath>
      <w:r>
        <w:rPr>
          <w:rFonts w:eastAsia="Georgia" w:cs="Georgia" w:ascii="Georgia" w:hAnsi="Georgia"/>
        </w:rPr>
        <w:t xml:space="preserve"> sont à l'image de celles de la pression acoustique.</w:t>
      </w:r>
    </w:p>
    <w:p>
      <w:pPr>
        <w:spacing w:lineRule="auto"/>
        <w:jc w:val="center"/>
      </w:pPr>
      <w:r>
        <w:rPr/>
        <w:drawing>
          <wp:inline distB="0" distL="0" distR="0" distT="0">
            <wp:extent cx="5486400" cy="2136663"/>
            <wp:effectExtent b="0" l="0" r="0" t="0"/>
            <wp:docPr id="16" name="image-916a5361e6e03d68268eac5d4fb53426c169090b.jpg"/>
            <a:graphic>
              <a:graphicData uri="http://schemas.openxmlformats.org/drawingml/2006/picture">
                <pic:pic>
                  <pic:nvPicPr>
                    <pic:cNvPr id="16" name="image-916a5361e6e03d68268eac5d4fb53426c169090b.jpg" descr=""/>
                    <pic:cNvPicPr/>
                  </pic:nvPicPr>
                  <pic:blipFill>
                    <a:blip r:embed="rId20" cstate="print"/>
                    <a:srcRect b="0" l="0" r="0" t="0"/>
                    <a:stretch>
                      <a:fillRect/>
                    </a:stretch>
                  </pic:blipFill>
                  <pic:spPr>
                    <a:xfrm>
                      <a:off x="0" y="0"/>
                      <a:ext cx="5486400" cy="2136663"/>
                    </a:xfrm>
                    <a:prstGeom prst="rect"/>
                  </pic:spPr>
                </pic:pic>
              </a:graphicData>
            </a:graphic>
          </wp:inline>
        </w:drawing>
      </w:r>
    </w:p>
    <w:p>
      <w:pPr>
        <w:spacing w:lineRule="auto"/>
      </w:pPr>
      <w:r>
        <w:rPr>
          <w:rFonts w:eastAsia="Georgia" w:cs="Georgia" w:ascii="Georgia" w:hAnsi="Georgia"/>
        </w:rPr>
        <w:t xml:space="preserve">Figure 15 Microphone électrostatique</w:t>
      </w:r>
    </w:p>
    <w:p>
      <w:pPr>
        <w:spacing w:after="220" w:lineRule="auto"/>
      </w:pPr>
      <w:r>
        <w:rPr/>
        <w:t xml:space="preserve">La membrane </w:t>
      </w:r>
      <m:oMath>
        <m:sSub>
          <m:sSubPr/>
          <m:e>
            <m:r>
              <m:rPr>
                <m:sty m:val="i"/>
              </m:rPr>
              <m:t>P</m:t>
            </m:r>
          </m:e>
          <m:sub>
            <m:r>
              <m:rPr>
                <m:sty m:val="p"/>
              </m:rPr>
              <m:t>1</m:t>
            </m:r>
          </m:sub>
        </m:sSub>
      </m:oMath>
      <w:r>
        <w:rPr/>
        <w:t xml:space="preserve"> et l'armature fixe </w:t>
      </w:r>
      <m:oMath>
        <m:sSub>
          <m:sSubPr/>
          <m:e>
            <m:r>
              <m:rPr>
                <m:sty m:val="i"/>
              </m:rPr>
              <m:t>P</m:t>
            </m:r>
          </m:e>
          <m:sub>
            <m:r>
              <m:rPr>
                <m:sty m:val="p"/>
              </m:rPr>
              <m:t>2</m:t>
            </m:r>
          </m:sub>
        </m:sSub>
      </m:oMath>
      <w:r>
        <w:rPr>
          <w:rFonts w:eastAsia="Georgia" w:cs="Georgia" w:ascii="Georgia" w:hAnsi="Georgia"/>
        </w:rPr>
        <w:t xml:space="preserve"> sont chargées uniformément par les charges </w:t>
      </w:r>
      <m:oMath>
        <m:r>
          <m:rPr>
            <m:sty m:val="p"/>
          </m:rPr>
          <m:t>+</m:t>
        </m:r>
        <m:r>
          <m:rPr>
            <m:sty m:val="i"/>
          </m:rPr>
          <m:t>q</m:t>
        </m:r>
      </m:oMath>
      <w:r>
        <w:rPr/>
        <w:t xml:space="preserve"> et </w:t>
      </w:r>
      <m:oMath>
        <m:r>
          <m:rPr>
            <m:sty m:val="p"/>
          </m:rPr>
          <m:t>−</m:t>
        </m:r>
        <m:r>
          <m:rPr>
            <m:sty m:val="i"/>
          </m:rPr>
          <m:t>q</m:t>
        </m:r>
      </m:oMath>
      <w:r>
        <w:rPr>
          <w:rFonts w:eastAsia="Georgia" w:cs="Georgia" w:ascii="Georgia" w:hAnsi="Georgia"/>
        </w:rPr>
        <w:t xml:space="preserve">. On associe à </w:t>
      </w:r>
      <m:oMath>
        <m:sSub>
          <m:sSubPr/>
          <m:e>
            <m:r>
              <m:rPr>
                <m:sty m:val="i"/>
              </m:rPr>
              <m:t>P</m:t>
            </m:r>
          </m:e>
          <m:sub>
            <m:r>
              <m:rPr>
                <m:sty m:val="p"/>
              </m:rPr>
              <m:t>1</m:t>
            </m:r>
          </m:sub>
        </m:sSub>
      </m:oMath>
      <w:r>
        <w:rPr/>
        <w:t xml:space="preserve"> et </w:t>
      </w:r>
      <m:oMath>
        <m:sSub>
          <m:sSubPr/>
          <m:e>
            <m:r>
              <m:rPr>
                <m:sty m:val="i"/>
              </m:rPr>
              <m:t>P</m:t>
            </m:r>
          </m:e>
          <m:sub>
            <m:r>
              <m:rPr>
                <m:sty m:val="p"/>
              </m:rPr>
              <m:t>2</m:t>
            </m:r>
          </m:sub>
        </m:sSub>
      </m:oMath>
      <w:r>
        <w:rPr>
          <w:rFonts w:eastAsia="Georgia" w:cs="Georgia" w:ascii="Georgia" w:hAnsi="Georgia"/>
        </w:rPr>
        <w:t xml:space="preserve"> les densités surfaciques uniformes de charges </w:t>
      </w:r>
      <m:oMath>
        <m:r>
          <m:rPr>
            <m:sty m:val="p"/>
          </m:rPr>
          <m:t>+</m:t>
        </m:r>
        <m:r>
          <m:rPr>
            <m:sty m:val="i"/>
          </m:rPr>
          <m:t>σ</m:t>
        </m:r>
        <m:r>
          <m:rPr>
            <m:sty m:val="p"/>
          </m:rPr>
          <m:t>=</m:t>
        </m:r>
        <m:r>
          <m:rPr>
            <m:sty m:val="p"/>
          </m:rPr>
          <m:t>+</m:t>
        </m:r>
        <m:r>
          <m:rPr>
            <m:sty m:val="i"/>
          </m:rPr>
          <m:t>q</m:t>
        </m:r>
        <m:r>
          <m:rPr>
            <m:sty m:val="p"/>
          </m:rPr>
          <m:t>/</m:t>
        </m:r>
        <m:r>
          <m:rPr>
            <m:sty m:val="i"/>
          </m:rPr>
          <m:t>S</m:t>
        </m:r>
      </m:oMath>
      <w:r>
        <w:rPr/>
        <w:t xml:space="preserve"> pour </w:t>
      </w:r>
      <m:oMath>
        <m:sSub>
          <m:sSubPr/>
          <m:e>
            <m:r>
              <m:rPr>
                <m:sty m:val="i"/>
              </m:rPr>
              <m:t>P</m:t>
            </m:r>
          </m:e>
          <m:sub>
            <m:r>
              <m:rPr>
                <m:sty m:val="p"/>
              </m:rPr>
              <m:t>1</m:t>
            </m:r>
          </m:sub>
        </m:sSub>
      </m:oMath>
      <w:r>
        <w:rPr/>
        <w:t xml:space="preserve"> et </w:t>
      </w:r>
      <m:oMath>
        <m:r>
          <m:rPr>
            <m:sty m:val="p"/>
          </m:rPr>
          <m:t>−</m:t>
        </m:r>
        <m:r>
          <m:rPr>
            <m:sty m:val="i"/>
          </m:rPr>
          <m:t>σ</m:t>
        </m:r>
        <m:r>
          <m:rPr>
            <m:sty m:val="p"/>
          </m:rPr>
          <m:t>=</m:t>
        </m:r>
        <m:r>
          <m:rPr>
            <m:sty m:val="p"/>
          </m:rPr>
          <m:t>−</m:t>
        </m:r>
        <m:r>
          <m:rPr>
            <m:sty m:val="i"/>
          </m:rPr>
          <m:t>q</m:t>
        </m:r>
        <m:r>
          <m:rPr>
            <m:sty m:val="p"/>
          </m:rPr>
          <m:t>/</m:t>
        </m:r>
        <m:r>
          <m:rPr>
            <m:sty m:val="i"/>
          </m:rPr>
          <m:t>S</m:t>
        </m:r>
      </m:oMath>
      <w:r>
        <w:rPr/>
        <w:t xml:space="preserve"> pour </w:t>
      </w:r>
      <m:oMath>
        <m:sSub>
          <m:sSubPr/>
          <m:e>
            <m:r>
              <m:rPr>
                <m:sty m:val="i"/>
              </m:rPr>
              <m:t>P</m:t>
            </m:r>
          </m:e>
          <m:sub>
            <m:r>
              <m:rPr>
                <m:sty m:val="p"/>
              </m:rPr>
              <m:t>2</m:t>
            </m:r>
          </m:sub>
        </m:sSub>
      </m:oMath>
      <w:r>
        <w:rPr>
          <w:rFonts w:eastAsia="Georgia" w:cs="Georgia" w:ascii="Georgia" w:hAnsi="Georgia"/>
        </w:rPr>
        <w:t xml:space="preserve">. De plus, on assimile les deux plaques à des plans infinis afin de négliger par la suite les effets de bord.</w:t>
      </w:r>
    </w:p>
    <w:p>
      <w:pPr>
        <w:spacing w:line="271" w:before="330" w:lineRule="auto"/>
      </w:pPr>
      <w:r>
        <w:rPr>
          <w:rFonts w:eastAsia="Georgia" w:cs="Georgia" w:ascii="Georgia" w:hAnsi="Georgia"/>
          <w:b/>
          <w:sz w:val="42"/>
        </w:rPr>
        <w:t xml:space="preserve">III.B.1) Capacité du condensateur au repos</w:t>
      </w:r>
    </w:p>
    <w:p>
      <w:pPr>
        <w:spacing w:after="220" w:lineRule="auto"/>
      </w:pPr>
      <w:r>
        <w:rPr>
          <w:rFonts w:eastAsia="Georgia" w:cs="Georgia" w:ascii="Georgia" w:hAnsi="Georgia"/>
        </w:rPr>
        <w:t xml:space="preserve">Q 37. Montrer, par des considérations de symétrie et d'invariance, que le champ électrique </w:t>
      </w:r>
      <m:oMath>
        <m:sSub>
          <m:sSubPr/>
          <m:e>
            <m:acc>
              <m:accPr>
                <m:chr m:val="⃗"/>
              </m:accPr>
              <m:e>
                <m:r>
                  <m:rPr>
                    <m:sty m:val="i"/>
                  </m:rPr>
                  <m:t>E</m:t>
                </m:r>
              </m:e>
            </m:acc>
          </m:e>
          <m:sub>
            <m:r>
              <m:rPr>
                <m:sty m:val="p"/>
              </m:rPr>
              <m:t>1</m:t>
            </m:r>
          </m:sub>
        </m:sSub>
        <m:r>
          <m:rPr>
            <m:sty m:val="p"/>
          </m:rPr>
          <m:t>(</m:t>
        </m:r>
        <m:r>
          <m:rPr>
            <m:sty m:val="i"/>
          </m:rPr>
          <m:t>M</m:t>
        </m:r>
        <m:r>
          <m:rPr>
            <m:sty m:val="p"/>
          </m:rPr>
          <m:t>)</m:t>
        </m:r>
      </m:oMath>
      <w:r>
        <w:rPr>
          <w:rFonts w:eastAsia="Georgia" w:cs="Georgia" w:ascii="Georgia" w:hAnsi="Georgia"/>
        </w:rPr>
        <w:t xml:space="preserve"> créé par la plaque </w:t>
      </w:r>
      <m:oMath>
        <m:sSub>
          <m:sSubPr/>
          <m:e>
            <m:r>
              <m:rPr>
                <m:sty m:val="i"/>
              </m:rPr>
              <m:t>P</m:t>
            </m:r>
          </m:e>
          <m:sub>
            <m:r>
              <m:rPr>
                <m:sty m:val="p"/>
              </m:rPr>
              <m:t>1</m:t>
            </m:r>
          </m:sub>
        </m:sSub>
      </m:oMath>
      <w:r>
        <w:rPr>
          <w:rFonts w:eastAsia="Georgia" w:cs="Georgia" w:ascii="Georgia" w:hAnsi="Georgia"/>
        </w:rPr>
        <w:t xml:space="preserve"> en tout point de l'espace est perpendiculaire à ce plan et ne dépend que d'une variable d'espace.</w:t>
      </w:r>
      <w:r>
        <w:rPr/>
        <w:br w:type="textWrapping"/>
      </w:r>
      <w:r>
        <w:rPr/>
        <w:t xml:space="preserve">Q 38. Justifier que </w:t>
      </w:r>
      <m:oMath>
        <m:sSub>
          <m:sSubPr/>
          <m:e>
            <m:acc>
              <m:accPr>
                <m:chr m:val="⃗"/>
              </m:accPr>
              <m:e>
                <m:r>
                  <m:rPr>
                    <m:sty m:val="i"/>
                  </m:rPr>
                  <m:t>E</m:t>
                </m:r>
              </m:e>
            </m:acc>
          </m:e>
          <m:sub>
            <m:r>
              <m:rPr>
                <m:sty m:val="p"/>
              </m:rPr>
              <m:t>1</m:t>
            </m:r>
          </m:sub>
        </m:sSub>
        <m:r>
          <m:rPr>
            <m:sty m:val="p"/>
          </m:rPr>
          <m:t>(</m:t>
        </m:r>
        <m:r>
          <m:rPr>
            <m:sty m:val="i"/>
          </m:rPr>
          <m:t>M</m:t>
        </m:r>
        <m:r>
          <m:rPr>
            <m:sty m:val="p"/>
          </m:rPr>
          <m:t>)</m:t>
        </m:r>
        <m:r>
          <m:rPr>
            <m:sty m:val="p"/>
          </m:rPr>
          <m:t>=</m:t>
        </m:r>
        <m:r>
          <m:rPr>
            <m:sty m:val="p"/>
          </m:rPr>
          <m:t>−</m:t>
        </m:r>
        <m:sSub>
          <m:sSubPr/>
          <m:e>
            <m:acc>
              <m:accPr>
                <m:chr m:val="⃗"/>
              </m:accPr>
              <m:e>
                <m:r>
                  <m:rPr>
                    <m:sty m:val="i"/>
                  </m:rPr>
                  <m:t>E</m:t>
                </m:r>
              </m:e>
            </m:acc>
          </m:e>
          <m:sub>
            <m:r>
              <m:rPr>
                <m:sty m:val="p"/>
              </m:rPr>
              <m:t>1</m:t>
            </m:r>
          </m:sub>
        </m:sSub>
        <m:d>
          <m:dPr>
            <m:begChr m:val="("/>
            <m:endChr m:val=")"/>
            <m:ctrlPr>
              <w:rPr>
                <w:rFonts w:ascii="Cambria Math" w:hAnsi="Cambria Math"/>
              </w:rPr>
            </m:ctrlPr>
          </m:dPr>
          <m:e>
            <m:sSup>
              <m:sSupPr/>
              <m:e>
                <m:r>
                  <m:rPr>
                    <m:sty m:val="i"/>
                  </m:rPr>
                  <m:t>M</m:t>
                </m:r>
              </m:e>
              <m:sup>
                <m:r>
                  <m:rPr>
                    <m:sty m:val="i"/>
                  </m:rPr>
                  <m:t>′</m:t>
                </m:r>
              </m:sup>
            </m:sSup>
          </m:e>
        </m:d>
      </m:oMath>
      <w:r>
        <w:rPr>
          <w:rFonts w:eastAsia="Georgia" w:cs="Georgia" w:ascii="Georgia" w:hAnsi="Georgia"/>
        </w:rPr>
        <w:t xml:space="preserve"> où </w:t>
      </w:r>
      <m:oMath>
        <m:r>
          <m:rPr>
            <m:sty m:val="i"/>
          </m:rPr>
          <m:t>M</m:t>
        </m:r>
      </m:oMath>
      <w:r>
        <w:rPr/>
        <w:t xml:space="preserve"> et </w:t>
      </w:r>
      <m:oMath>
        <m:sSup>
          <m:sSupPr/>
          <m:e>
            <m:r>
              <m:rPr>
                <m:sty m:val="i"/>
              </m:rPr>
              <m:t>M</m:t>
            </m:r>
          </m:e>
          <m:sup>
            <m:r>
              <m:rPr>
                <m:sty m:val="i"/>
              </m:rPr>
              <m:t>′</m:t>
            </m:r>
          </m:sup>
        </m:sSup>
      </m:oMath>
      <w:r>
        <w:rPr>
          <w:rFonts w:eastAsia="Georgia" w:cs="Georgia" w:ascii="Georgia" w:hAnsi="Georgia"/>
        </w:rPr>
        <w:t xml:space="preserve"> sont deux points placés symétriquement par rapport au plan </w:t>
      </w:r>
      <m:oMath>
        <m:sSub>
          <m:sSubPr/>
          <m:e>
            <m:r>
              <m:rPr>
                <m:sty m:val="i"/>
              </m:rPr>
              <m:t>P</m:t>
            </m:r>
          </m:e>
          <m:sub>
            <m:r>
              <m:rPr>
                <m:sty m:val="p"/>
              </m:rPr>
              <m:t>1</m:t>
            </m:r>
          </m:sub>
        </m:sSub>
      </m:oMath>
      <w:r>
        <w:rPr/>
        <w:t xml:space="preserve">.</w:t>
      </w:r>
      <w:r>
        <w:rPr/>
        <w:br w:type="textWrapping"/>
      </w:r>
      <w:r>
        <w:rPr>
          <w:rFonts w:eastAsia="Georgia" w:cs="Georgia" w:ascii="Georgia" w:hAnsi="Georgia"/>
        </w:rPr>
        <w:t xml:space="preserve">Q 39. En appliquant le théorème de Gauss sur une surface clairement indiquée, exprimer le champ électrique </w:t>
      </w:r>
      <m:oMath>
        <m:sSub>
          <m:sSubPr/>
          <m:e>
            <m:acc>
              <m:accPr>
                <m:chr m:val="⃗"/>
              </m:accPr>
              <m:e>
                <m:r>
                  <m:rPr>
                    <m:sty m:val="i"/>
                  </m:rPr>
                  <m:t>E</m:t>
                </m:r>
              </m:e>
            </m:acc>
          </m:e>
          <m:sub>
            <m:r>
              <m:rPr>
                <m:sty m:val="p"/>
              </m:rPr>
              <m:t>1</m:t>
            </m:r>
          </m:sub>
        </m:sSub>
        <m:r>
          <m:rPr>
            <m:sty m:val="p"/>
          </m:rPr>
          <m:t>(</m:t>
        </m:r>
        <m:r>
          <m:rPr>
            <m:sty m:val="i"/>
          </m:rPr>
          <m:t>M</m:t>
        </m:r>
        <m:r>
          <m:rPr>
            <m:sty m:val="p"/>
          </m:rPr>
          <m:t>)</m:t>
        </m:r>
      </m:oMath>
      <w:r>
        <w:rPr/>
        <w:t xml:space="preserve">.</w:t>
      </w:r>
      <w:r>
        <w:rPr/>
        <w:br w:type="textWrapping"/>
      </w:r>
      <w:r>
        <w:rPr>
          <w:rFonts w:eastAsia="Georgia" w:cs="Georgia" w:ascii="Georgia" w:hAnsi="Georgia"/>
        </w:rPr>
        <w:t xml:space="preserve">Q 40. Déduire du résultat précédent l'expression du champ électrique total </w:t>
      </w:r>
      <m:oMath>
        <m:acc>
          <m:accPr>
            <m:chr m:val="⃗"/>
          </m:accPr>
          <m:e>
            <m:r>
              <m:rPr>
                <m:sty m:val="i"/>
              </m:rPr>
              <m:t>E</m:t>
            </m:r>
          </m:e>
        </m:acc>
        <m:r>
          <m:rPr>
            <m:sty m:val="p"/>
          </m:rPr>
          <m:t>(</m:t>
        </m:r>
        <m:r>
          <m:rPr>
            <m:sty m:val="i"/>
          </m:rPr>
          <m:t>M</m:t>
        </m:r>
        <m:r>
          <m:rPr>
            <m:sty m:val="p"/>
          </m:rPr>
          <m:t>)</m:t>
        </m:r>
        <m:r>
          <m:rPr>
            <m:sty m:val="p"/>
          </m:rPr>
          <m:t>=</m:t>
        </m:r>
        <m:sSub>
          <m:sSubPr/>
          <m:e>
            <m:acc>
              <m:accPr>
                <m:chr m:val="⃗"/>
              </m:accPr>
              <m:e>
                <m:r>
                  <m:rPr>
                    <m:sty m:val="i"/>
                  </m:rPr>
                  <m:t>E</m:t>
                </m:r>
              </m:e>
            </m:acc>
          </m:e>
          <m:sub>
            <m:r>
              <m:rPr>
                <m:sty m:val="p"/>
              </m:rPr>
              <m:t>1</m:t>
            </m:r>
          </m:sub>
        </m:sSub>
        <m:r>
          <m:rPr>
            <m:sty m:val="p"/>
          </m:rPr>
          <m:t>(</m:t>
        </m:r>
        <m:r>
          <m:rPr>
            <m:sty m:val="i"/>
          </m:rPr>
          <m:t>M</m:t>
        </m:r>
        <m:r>
          <m:rPr>
            <m:sty m:val="p"/>
          </m:rPr>
          <m:t>)</m:t>
        </m:r>
        <m:r>
          <m:rPr>
            <m:sty m:val="p"/>
          </m:rPr>
          <m:t>+</m:t>
        </m:r>
        <m:sSub>
          <m:sSubPr/>
          <m:e>
            <m:acc>
              <m:accPr>
                <m:chr m:val="⃗"/>
              </m:accPr>
              <m:e>
                <m:r>
                  <m:rPr>
                    <m:sty m:val="i"/>
                  </m:rPr>
                  <m:t>E</m:t>
                </m:r>
              </m:e>
            </m:acc>
          </m:e>
          <m:sub>
            <m:r>
              <m:rPr>
                <m:sty m:val="p"/>
              </m:rPr>
              <m:t>2</m:t>
            </m:r>
          </m:sub>
        </m:sSub>
        <m:r>
          <m:rPr>
            <m:sty m:val="p"/>
          </m:rPr>
          <m:t>(</m:t>
        </m:r>
        <m:r>
          <m:rPr>
            <m:sty m:val="i"/>
          </m:rPr>
          <m:t>M</m:t>
        </m:r>
        <m:r>
          <m:rPr>
            <m:sty m:val="p"/>
          </m:rPr>
          <m:t>)</m:t>
        </m:r>
      </m:oMath>
      <w:r>
        <w:rPr>
          <w:rFonts w:eastAsia="Georgia" w:cs="Georgia" w:ascii="Georgia" w:hAnsi="Georgia"/>
        </w:rPr>
        <w:t xml:space="preserve"> créé par les deux plaques </w:t>
      </w:r>
      <m:oMath>
        <m:sSub>
          <m:sSubPr/>
          <m:e>
            <m:r>
              <m:rPr>
                <m:sty m:val="i"/>
              </m:rPr>
              <m:t>P</m:t>
            </m:r>
          </m:e>
          <m:sub>
            <m:r>
              <m:rPr>
                <m:sty m:val="p"/>
              </m:rPr>
              <m:t>1</m:t>
            </m:r>
          </m:sub>
        </m:sSub>
      </m:oMath>
      <w:r>
        <w:rPr/>
        <w:t xml:space="preserve"> et </w:t>
      </w:r>
      <m:oMath>
        <m:sSub>
          <m:sSubPr/>
          <m:e>
            <m:r>
              <m:rPr>
                <m:sty m:val="i"/>
              </m:rPr>
              <m:t>P</m:t>
            </m:r>
          </m:e>
          <m:sub>
            <m:r>
              <m:rPr>
                <m:sty m:val="p"/>
              </m:rPr>
              <m:t>2</m:t>
            </m:r>
          </m:sub>
        </m:sSub>
      </m:oMath>
      <w:r>
        <w:rPr/>
        <w:t xml:space="preserve"> en tout point de l'espace.</w:t>
      </w:r>
      <w:r>
        <w:rPr/>
        <w:br w:type="textWrapping"/>
      </w:r>
      <w:r>
        <w:rPr>
          <w:rFonts w:eastAsia="Georgia" w:cs="Georgia" w:ascii="Georgia" w:hAnsi="Georgia"/>
        </w:rPr>
        <w:t xml:space="preserve">Q 41. Montrer que la différence de potentiel entre les deux plaques s'exprime par </w:t>
      </w:r>
      <m:oMath>
        <m:sSub>
          <m:sSubPr/>
          <m:e>
            <m:r>
              <m:rPr>
                <m:sty m:val="i"/>
              </m:rPr>
              <m:t>u</m:t>
            </m:r>
          </m:e>
          <m:sub>
            <m:r>
              <m:rPr>
                <m:sty m:val="i"/>
              </m:rPr>
              <m:t>c</m:t>
            </m:r>
          </m:sub>
        </m:sSub>
        <m:r>
          <m:rPr>
            <m:sty m:val="p"/>
          </m:rPr>
          <m:t>=</m:t>
        </m:r>
        <m:sSub>
          <m:sSubPr/>
          <m:e>
            <m:r>
              <m:rPr>
                <m:sty m:val="i"/>
              </m:rPr>
              <m:t>V</m:t>
            </m:r>
          </m:e>
          <m:sub>
            <m:sSub>
              <m:sSubPr/>
              <m:e>
                <m:r>
                  <m:rPr>
                    <m:sty m:val="i"/>
                  </m:rPr>
                  <m:t>P</m:t>
                </m:r>
              </m:e>
              <m:sub>
                <m:r>
                  <m:rPr>
                    <m:sty m:val="p"/>
                  </m:rPr>
                  <m:t>1</m:t>
                </m:r>
              </m:sub>
            </m:sSub>
          </m:sub>
        </m:sSub>
        <m:r>
          <m:rPr>
            <m:sty m:val="p"/>
          </m:rPr>
          <m:t>−</m:t>
        </m:r>
        <m:sSub>
          <m:sSubPr/>
          <m:e>
            <m:r>
              <m:rPr>
                <m:sty m:val="i"/>
              </m:rPr>
              <m:t>V</m:t>
            </m:r>
          </m:e>
          <m:sub>
            <m:sSub>
              <m:sSubPr/>
              <m:e>
                <m:r>
                  <m:rPr>
                    <m:sty m:val="i"/>
                  </m:rPr>
                  <m:t>P</m:t>
                </m:r>
              </m:e>
              <m:sub>
                <m:r>
                  <m:rPr>
                    <m:sty m:val="p"/>
                  </m:rPr>
                  <m:t>2</m:t>
                </m:r>
              </m:sub>
            </m:sSub>
          </m:sub>
        </m:sSub>
        <m:r>
          <m:rPr>
            <m:sty m:val="p"/>
          </m:rPr>
          <m:t>=</m:t>
        </m:r>
        <m:r>
          <m:rPr>
            <m:sty m:val="i"/>
          </m:rPr>
          <m:t>q</m:t>
        </m:r>
        <m:r>
          <m:rPr>
            <m:sty m:val="p"/>
          </m:rPr>
          <m:t>/</m:t>
        </m:r>
        <m:sSub>
          <m:sSubPr/>
          <m:e>
            <m:r>
              <m:rPr>
                <m:sty m:val="i"/>
              </m:rPr>
              <m:t>C</m:t>
            </m:r>
          </m:e>
          <m:sub>
            <m:r>
              <m:rPr>
                <m:sty m:val="p"/>
              </m:rPr>
              <m:t>0</m:t>
            </m:r>
          </m:sub>
        </m:sSub>
      </m:oMath>
      <w:r>
        <w:rPr/>
        <w:t xml:space="preserve"> avec </w:t>
      </w:r>
      <m:oMath>
        <m:sSub>
          <m:sSubPr/>
          <m:e>
            <m:r>
              <m:rPr>
                <m:sty m:val="i"/>
              </m:rPr>
              <m:t>C</m:t>
            </m:r>
          </m:e>
          <m:sub>
            <m:r>
              <m:rPr>
                <m:sty m:val="p"/>
              </m:rPr>
              <m:t>0</m:t>
            </m:r>
          </m:sub>
        </m:sSub>
        <m:r>
          <m:rPr>
            <m:sty m:val="p"/>
          </m:rPr>
          <m:t>=</m:t>
        </m:r>
        <m:f>
          <m:fPr>
            <m:ctrlPr>
              <w:rPr>
                <w:rFonts w:ascii="Cambria Math" w:hAnsi="Cambria Math"/>
              </w:rPr>
            </m:ctrlPr>
          </m:fPr>
          <m:num>
            <m:sSub>
              <m:sSubPr/>
              <m:e>
                <m:r>
                  <m:rPr>
                    <m:sty m:val="i"/>
                  </m:rPr>
                  <m:t>ε</m:t>
                </m:r>
              </m:e>
              <m:sub>
                <m:r>
                  <m:rPr>
                    <m:sty m:val="p"/>
                  </m:rPr>
                  <m:t>0</m:t>
                </m:r>
              </m:sub>
            </m:sSub>
            <m:r>
              <m:rPr>
                <m:sty m:val="i"/>
              </m:rPr>
              <m:t>S</m:t>
            </m:r>
          </m:num>
          <m:den>
            <m:r>
              <m:rPr>
                <m:sty m:val="i"/>
              </m:rPr>
              <m:t>e</m:t>
            </m:r>
          </m:den>
        </m:f>
      </m:oMath>
      <w:r>
        <w:rPr>
          <w:rFonts w:eastAsia="Georgia" w:cs="Georgia" w:ascii="Georgia" w:hAnsi="Georgia"/>
        </w:rPr>
        <w:t xml:space="preserve">, la capacité du condensateur au repos.</w:t>
      </w:r>
    </w:p>
    <w:p>
      <w:pPr>
        <w:spacing w:line="271" w:before="330" w:lineRule="auto"/>
      </w:pPr>
      <w:r>
        <w:rPr>
          <w:rFonts w:eastAsia="Georgia" w:cs="Georgia" w:ascii="Georgia" w:hAnsi="Georgia"/>
          <w:b/>
          <w:sz w:val="42"/>
        </w:rPr>
        <w:t xml:space="preserve">III.B.2) Réponse du circuit électrique en régime permanent sinusoïdal</w:t>
      </w:r>
    </w:p>
    <w:p>
      <w:pPr>
        <w:spacing w:after="220" w:lineRule="auto"/>
      </w:pPr>
      <w:r>
        <w:rPr>
          <w:rFonts w:eastAsia="Georgia" w:cs="Georgia" w:ascii="Georgia" w:hAnsi="Georgia"/>
        </w:rPr>
        <w:t xml:space="preserve">En raison d'une surpression sinusoïdale de pulsation </w:t>
      </w:r>
      <m:oMath>
        <m:r>
          <m:rPr>
            <m:sty m:val="i"/>
          </m:rPr>
          <m:t>ω</m:t>
        </m:r>
      </m:oMath>
      <w:r>
        <w:rPr/>
        <w:t xml:space="preserve">, la membrane mobile </w:t>
      </w:r>
      <m:oMath>
        <m:sSub>
          <m:sSubPr/>
          <m:e>
            <m:r>
              <m:rPr>
                <m:sty m:val="i"/>
              </m:rPr>
              <m:t>P</m:t>
            </m:r>
          </m:e>
          <m:sub>
            <m:r>
              <m:rPr>
                <m:sty m:val="p"/>
              </m:rPr>
              <m:t>1</m:t>
            </m:r>
          </m:sub>
        </m:sSub>
      </m:oMath>
      <w:r>
        <w:rPr>
          <w:rFonts w:eastAsia="Georgia" w:cs="Georgia" w:ascii="Georgia" w:hAnsi="Georgia"/>
        </w:rPr>
        <w:t xml:space="preserve"> oscille autour de sa position d'équilibre </w:t>
      </w:r>
      <m:oMath>
        <m:r>
          <m:rPr>
            <m:sty m:val="i"/>
          </m:rPr>
          <m:t>O</m:t>
        </m:r>
      </m:oMath>
      <w:r>
        <w:rPr>
          <w:rFonts w:eastAsia="Georgia" w:cs="Georgia" w:ascii="Georgia" w:hAnsi="Georgia"/>
        </w:rPr>
        <w:t xml:space="preserve"> selon l'équation </w:t>
      </w:r>
      <m:oMath>
        <m:sSub>
          <m:sSubPr/>
          <m:e>
            <m:r>
              <m:rPr>
                <m:sty m:val="i"/>
              </m:rPr>
              <m:t>x</m:t>
            </m:r>
          </m:e>
          <m:sub>
            <m:r>
              <m:rPr>
                <m:sty m:val="p"/>
              </m:rPr>
              <m:t>1</m:t>
            </m:r>
          </m:sub>
        </m:sSub>
        <m:r>
          <m:rPr>
            <m:sty m:val="p"/>
          </m:rPr>
          <m:t>(</m:t>
        </m:r>
        <m:r>
          <m:rPr>
            <m:sty m:val="i"/>
          </m:rPr>
          <m:t>t</m:t>
        </m:r>
        <m:r>
          <m:rPr>
            <m:sty m:val="p"/>
          </m:rPr>
          <m:t>)</m:t>
        </m:r>
        <m:r>
          <m:rPr>
            <m:sty m:val="p"/>
          </m:rPr>
          <m:t>=</m:t>
        </m:r>
        <m:sSub>
          <m:sSubPr/>
          <m:e>
            <m:r>
              <m:rPr>
                <m:sty m:val="i"/>
              </m:rPr>
              <m:t>X</m:t>
            </m:r>
          </m:e>
          <m:sub>
            <m:r>
              <m:rPr>
                <m:sty m:val="p"/>
              </m:rPr>
              <m:t>1</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avec l'amplitude du déplacement </w:t>
      </w:r>
      <m:oMath>
        <m:sSub>
          <m:sSubPr/>
          <m:e>
            <m:r>
              <m:rPr>
                <m:sty m:val="i"/>
              </m:rPr>
              <m:t>X</m:t>
            </m:r>
          </m:e>
          <m:sub>
            <m:r>
              <m:rPr>
                <m:sty m:val="p"/>
              </m:rPr>
              <m:t>1</m:t>
            </m:r>
          </m:sub>
        </m:sSub>
        <m:r>
          <m:rPr>
            <m:sty m:val="p"/>
          </m:rPr>
          <m:t>≪</m:t>
        </m:r>
        <m:r>
          <m:rPr>
            <m:sty m:val="i"/>
          </m:rPr>
          <m:t>e</m:t>
        </m:r>
      </m:oMath>
      <w:r>
        <w:rPr/>
        <w:t xml:space="preserve">.</w:t>
      </w:r>
      <w:r>
        <w:rPr/>
        <w:br w:type="textWrapping"/>
      </w:r>
      <w:r>
        <w:rPr>
          <w:rFonts w:eastAsia="Georgia" w:cs="Georgia" w:ascii="Georgia" w:hAnsi="Georgia"/>
        </w:rPr>
        <w:t xml:space="preserve">Q 42. À l'aide d'un développement limité, montrer que la capacité </w:t>
      </w:r>
      <m:oMath>
        <m:r>
          <m:rPr>
            <m:sty m:val="i"/>
          </m:rPr>
          <m:t>C</m:t>
        </m:r>
        <m:r>
          <m:rPr>
            <m:sty m:val="p"/>
          </m:rPr>
          <m:t>(</m:t>
        </m:r>
        <m:r>
          <m:rPr>
            <m:sty m:val="i"/>
          </m:rPr>
          <m:t>t</m:t>
        </m:r>
        <m:r>
          <m:rPr>
            <m:sty m:val="p"/>
          </m:rPr>
          <m:t>)</m:t>
        </m:r>
      </m:oMath>
      <w:r>
        <w:rPr/>
        <w:t xml:space="preserve"> du condensateur s'exprime par </w:t>
      </w:r>
      <m:oMath>
        <m:r>
          <m:rPr>
            <m:sty m:val="i"/>
          </m:rPr>
          <m:t>C</m:t>
        </m:r>
        <m:r>
          <m:rPr>
            <m:sty m:val="p"/>
          </m:rPr>
          <m:t>(</m:t>
        </m:r>
        <m:r>
          <m:rPr>
            <m:sty m:val="i"/>
          </m:rPr>
          <m:t>t</m:t>
        </m:r>
        <m:r>
          <m:rPr>
            <m:sty m:val="p"/>
          </m:rPr>
          <m:t>)</m:t>
        </m:r>
        <m:r>
          <m:rPr>
            <m:sty m:val="p"/>
          </m:rPr>
          <m:t>=</m:t>
        </m:r>
        <m:sSub>
          <m:sSubPr/>
          <m:e>
            <m:r>
              <m:rPr>
                <m:sty m:val="i"/>
              </m:rPr>
              <m:t>C</m:t>
            </m:r>
          </m:e>
          <m:sub>
            <m:r>
              <m:rPr>
                <m:sty m:val="p"/>
              </m:rPr>
              <m:t>0</m:t>
            </m:r>
          </m:sub>
        </m:sSub>
        <m:r>
          <m:rPr>
            <m:sty m:val="p"/>
          </m:rPr>
          <m:t>+</m:t>
        </m:r>
        <m:sSub>
          <m:sSubPr/>
          <m:e>
            <m:r>
              <m:rPr>
                <m:sty m:val="i"/>
              </m:rPr>
              <m:t>C</m:t>
            </m:r>
          </m:e>
          <m:sub>
            <m:r>
              <m:rPr>
                <m:sty m:val="p"/>
              </m:rPr>
              <m:t>1</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Préciser l'expression de </w:t>
      </w:r>
      <m:oMath>
        <m:sSub>
          <m:sSubPr/>
          <m:e>
            <m:r>
              <m:rPr>
                <m:sty m:val="i"/>
              </m:rPr>
              <m:t>C</m:t>
            </m:r>
          </m:e>
          <m:sub>
            <m:r>
              <m:rPr>
                <m:sty m:val="p"/>
              </m:rPr>
              <m:t>1</m:t>
            </m:r>
          </m:sub>
        </m:sSub>
      </m:oMath>
      <w:r>
        <w:rPr/>
        <w:t xml:space="preserve"> en fonction de </w:t>
      </w:r>
      <m:oMath>
        <m:sSub>
          <m:sSubPr/>
          <m:e>
            <m:r>
              <m:rPr>
                <m:sty m:val="i"/>
              </m:rPr>
              <m:t>C</m:t>
            </m:r>
          </m:e>
          <m:sub>
            <m:r>
              <m:rPr>
                <m:sty m:val="p"/>
              </m:rPr>
              <m:t>0</m:t>
            </m:r>
          </m:sub>
        </m:sSub>
        <m:r>
          <m:rPr>
            <m:sty m:val="p"/>
          </m:rPr>
          <m:t>,</m:t>
        </m:r>
        <m:sSub>
          <m:sSubPr/>
          <m:e>
            <m:r>
              <m:rPr>
                <m:sty m:val="i"/>
              </m:rPr>
              <m:t>X</m:t>
            </m:r>
          </m:e>
          <m:sub>
            <m:r>
              <m:rPr>
                <m:sty m:val="p"/>
              </m:rPr>
              <m:t>1</m:t>
            </m:r>
          </m:sub>
        </m:sSub>
      </m:oMath>
      <w:r>
        <w:rPr/>
        <w:t xml:space="preserve"> et </w:t>
      </w:r>
      <m:oMath>
        <m:r>
          <m:rPr>
            <m:sty m:val="i"/>
          </m:rPr>
          <m:t>e</m:t>
        </m:r>
      </m:oMath>
      <w:r>
        <w:rPr/>
        <w:t xml:space="preserve">.</w:t>
      </w:r>
      <w:r>
        <w:rPr/>
        <w:br w:type="textWrapping"/>
      </w:r>
      <w:r>
        <w:rPr/>
        <w:t xml:space="preserve">Q 43. On note </w:t>
      </w:r>
      <m:oMath>
        <m:r>
          <m:rPr>
            <m:sty m:val="i"/>
          </m:rPr>
          <m:t>u</m:t>
        </m:r>
        <m:r>
          <m:rPr>
            <m:sty m:val="p"/>
          </m:rPr>
          <m:t>(</m:t>
        </m:r>
        <m:r>
          <m:rPr>
            <m:sty m:val="i"/>
          </m:rPr>
          <m:t>t</m:t>
        </m:r>
        <m:r>
          <m:rPr>
            <m:sty m:val="p"/>
          </m:rPr>
          <m:t>)</m:t>
        </m:r>
      </m:oMath>
      <w:r>
        <w:rPr>
          <w:rFonts w:eastAsia="Georgia" w:cs="Georgia" w:ascii="Georgia" w:hAnsi="Georgia"/>
        </w:rPr>
        <w:t xml:space="preserve"> la tension aux bornes de la résistance </w:t>
      </w:r>
      <m:oMath>
        <m:r>
          <m:rPr>
            <m:sty m:val="i"/>
          </m:rPr>
          <m:t>R</m:t>
        </m:r>
      </m:oMath>
      <w:r>
        <w:rPr/>
        <w:t xml:space="preserve"> et </w:t>
      </w:r>
      <m:oMath>
        <m:sSub>
          <m:sSubPr/>
          <m:e>
            <m:r>
              <m:rPr>
                <m:sty m:val="i"/>
              </m:rPr>
              <m:t>U</m:t>
            </m:r>
          </m:e>
          <m:sub>
            <m:r>
              <m:rPr>
                <m:sty m:val="p"/>
              </m:rPr>
              <m:t>0</m:t>
            </m:r>
          </m:sub>
        </m:sSub>
      </m:oMath>
      <w:r>
        <w:rPr>
          <w:rFonts w:eastAsia="Georgia" w:cs="Georgia" w:ascii="Georgia" w:hAnsi="Georgia"/>
        </w:rPr>
        <w:t xml:space="preserve"> la tension de polarisation du condensateur. Établir la relation liant </w:t>
      </w:r>
      <m:oMath>
        <m:r>
          <m:rPr>
            <m:sty m:val="i"/>
          </m:rPr>
          <m:t>u</m:t>
        </m:r>
        <m:r>
          <m:rPr>
            <m:sty m:val="p"/>
          </m:rPr>
          <m:t>(</m:t>
        </m:r>
        <m:r>
          <m:rPr>
            <m:sty m:val="i"/>
          </m:rPr>
          <m:t>t</m:t>
        </m:r>
        <m:r>
          <m:rPr>
            <m:sty m:val="p"/>
          </m:rPr>
          <m:t>)</m:t>
        </m:r>
        <m:r>
          <m:rPr>
            <m:sty m:val="p"/>
          </m:rPr>
          <m:t>,</m:t>
        </m:r>
        <m:sSub>
          <m:sSubPr/>
          <m:e>
            <m:r>
              <m:rPr>
                <m:sty m:val="i"/>
              </m:rPr>
              <m:t>U</m:t>
            </m:r>
          </m:e>
          <m:sub>
            <m:r>
              <m:rPr>
                <m:sty m:val="p"/>
              </m:rPr>
              <m:t>0</m:t>
            </m:r>
          </m:sub>
        </m:sSub>
        <m:r>
          <m:rPr>
            <m:sty m:val="p"/>
          </m:rPr>
          <m:t>,</m:t>
        </m:r>
        <m:r>
          <m:rPr>
            <m:sty m:val="i"/>
          </m:rPr>
          <m:t>R</m:t>
        </m:r>
      </m:oMath>
      <w:r>
        <w:rPr/>
        <w:t xml:space="preserve"> et </w:t>
      </w:r>
      <m:oMath>
        <m:r>
          <m:rPr>
            <m:sty m:val="i"/>
          </m:rPr>
          <m:t>C</m:t>
        </m:r>
        <m:r>
          <m:rPr>
            <m:sty m:val="p"/>
          </m:rPr>
          <m:t>(</m:t>
        </m:r>
        <m:r>
          <m:rPr>
            <m:sty m:val="i"/>
          </m:rPr>
          <m:t>t</m:t>
        </m:r>
        <m:r>
          <m:rPr>
            <m:sty m:val="p"/>
          </m:rPr>
          <m:t>)</m:t>
        </m:r>
      </m:oMath>
      <w:r>
        <w:rPr/>
        <w:t xml:space="preserve">.</w:t>
      </w:r>
      <w:r>
        <w:rPr/>
        <w:br w:type="textWrapping"/>
      </w:r>
      <w:r>
        <w:rPr>
          <w:rFonts w:eastAsia="Georgia" w:cs="Georgia" w:ascii="Georgia" w:hAnsi="Georgia"/>
        </w:rPr>
        <w:t xml:space="preserve">Q 44. En déduire, en précisant les approximations faites, l'équation différentielle traduisant l'évolution temporelle de la tension </w:t>
      </w:r>
      <m:oMath>
        <m:r>
          <m:rPr>
            <m:sty m:val="i"/>
          </m:rPr>
          <m:t>u</m:t>
        </m:r>
        <m:r>
          <m:rPr>
            <m:sty m:val="p"/>
          </m:rPr>
          <m:t>(</m:t>
        </m:r>
        <m:r>
          <m:rPr>
            <m:sty m:val="i"/>
          </m:rPr>
          <m:t>t</m:t>
        </m:r>
        <m:r>
          <m:rPr>
            <m:sty m:val="p"/>
          </m:rPr>
          <m:t>)</m:t>
        </m:r>
      </m:oMath>
      <w:r>
        <w:rPr/>
        <w:t xml:space="preserve"> sous la forme </w:t>
      </w:r>
      <m:oMath>
        <m:f>
          <m:fPr>
            <m:ctrlPr>
              <w:rPr>
                <w:rFonts w:ascii="Cambria Math" w:hAnsi="Cambria Math"/>
              </w:rPr>
            </m:ctrlPr>
          </m:fPr>
          <m:num>
            <m:r>
              <m:rPr>
                <m:sty m:val="p"/>
              </m:rPr>
              <m:t>d</m:t>
            </m:r>
            <m:r>
              <m:rPr>
                <m:sty m:val="i"/>
              </m:rPr>
              <m:t>u</m:t>
            </m:r>
          </m:num>
          <m:den>
            <m:r>
              <m:rPr>
                <m:nor/>
              </m:rPr>
              <m:t xml:space="preserve"> </m:t>
            </m:r>
            <m:r>
              <m:rPr>
                <m:sty m:val="p"/>
              </m:rPr>
              <m:t>d</m:t>
            </m:r>
            <m:r>
              <m:rPr>
                <m:sty m:val="i"/>
              </m:rPr>
              <m:t>t</m:t>
            </m:r>
          </m:den>
        </m:f>
        <m:r>
          <m:rPr>
            <m:sty m:val="p"/>
          </m:rPr>
          <m:t>(</m:t>
        </m:r>
        <m:r>
          <m:rPr>
            <m:sty m:val="i"/>
          </m:rPr>
          <m:t>t</m:t>
        </m:r>
        <m:r>
          <m:rPr>
            <m:sty m:val="p"/>
          </m:rPr>
          <m:t>)</m:t>
        </m:r>
        <m:r>
          <m:rPr>
            <m:sty m:val="p"/>
          </m:rPr>
          <m:t>+</m:t>
        </m:r>
        <m:sSub>
          <m:sSubPr/>
          <m:e>
            <m:r>
              <m:rPr>
                <m:sty m:val="i"/>
              </m:rPr>
              <m:t>ω</m:t>
            </m:r>
          </m:e>
          <m:sub>
            <m:r>
              <m:rPr>
                <m:sty m:val="p"/>
              </m:rPr>
              <m:t>0</m:t>
            </m:r>
          </m:sub>
        </m:sSub>
        <m:r>
          <m:rPr>
            <m:sty m:val="i"/>
          </m:rPr>
          <m:t>u</m:t>
        </m:r>
        <m:r>
          <m:rPr>
            <m:sty m:val="p"/>
          </m:rPr>
          <m:t>(</m:t>
        </m:r>
        <m:r>
          <m:rPr>
            <m:sty m:val="i"/>
          </m:rPr>
          <m:t>t</m:t>
        </m:r>
        <m:r>
          <m:rPr>
            <m:sty m:val="p"/>
          </m:rPr>
          <m:t>)</m:t>
        </m:r>
        <m:r>
          <m:rPr>
            <m:sty m:val="p"/>
          </m:rPr>
          <m:t>=</m:t>
        </m:r>
        <m:r>
          <m:rPr>
            <m:sty m:val="i"/>
          </m:rPr>
          <m:t>ω</m:t>
        </m:r>
        <m:r>
          <m:rPr>
            <m:sty m:val="i"/>
          </m:rPr>
          <m:t>A</m:t>
        </m:r>
        <m:r>
          <m:rPr>
            <m:sty m:val="p"/>
          </m:rPr>
          <m:t>cos</m:t>
        </m:r>
        <m:r>
          <m:rPr>
            <m:sty m:val="p"/>
          </m:rPr>
          <m:t>⁡</m:t>
        </m:r>
        <m:d>
          <m:dPr>
            <m:begChr m:val="("/>
            <m:endChr m:val=")"/>
            <m:ctrlPr>
              <w:rPr>
                <w:rFonts w:ascii="Cambria Math" w:hAnsi="Cambria Math"/>
              </w:rPr>
            </m:ctrlPr>
          </m:dPr>
          <m:e>
            <m:r>
              <m:rPr>
                <m:sty m:val="i"/>
              </m:rPr>
              <m:t>ω</m:t>
            </m:r>
            <m:r>
              <m:rPr>
                <m:sty m:val="i"/>
              </m:rPr>
              <m:t>t</m:t>
            </m:r>
            <m:r>
              <m:rPr>
                <m:sty m:val="p"/>
              </m:rPr>
              <m:t>+</m:t>
            </m:r>
            <m:f>
              <m:fPr>
                <m:ctrlPr>
                  <w:rPr>
                    <w:rFonts w:ascii="Cambria Math" w:hAnsi="Cambria Math"/>
                  </w:rPr>
                </m:ctrlPr>
              </m:fPr>
              <m:num>
                <m:r>
                  <m:rPr>
                    <m:sty m:val="i"/>
                  </m:rPr>
                  <m:t>π</m:t>
                </m:r>
              </m:num>
              <m:den>
                <m:r>
                  <m:rPr>
                    <m:sty m:val="p"/>
                  </m:rPr>
                  <m:t>2</m:t>
                </m:r>
              </m:den>
            </m:f>
          </m:e>
        </m:d>
      </m:oMath>
      <w:r>
        <w:rPr/>
        <w:t xml:space="preserve">, avec </w:t>
      </w:r>
      <m:oMath>
        <m:r>
          <m:rPr>
            <m:sty m:val="i"/>
          </m:rPr>
          <m:t>A</m:t>
        </m:r>
        <m:r>
          <m:rPr>
            <m:sty m:val="p"/>
          </m:rPr>
          <m:t>=</m:t>
        </m:r>
        <m:f>
          <m:fPr>
            <m:ctrlPr>
              <w:rPr>
                <w:rFonts w:ascii="Cambria Math" w:hAnsi="Cambria Math"/>
              </w:rPr>
            </m:ctrlPr>
          </m:fPr>
          <m:num>
            <m:sSub>
              <m:sSubPr/>
              <m:e>
                <m:r>
                  <m:rPr>
                    <m:sty m:val="i"/>
                  </m:rPr>
                  <m:t>U</m:t>
                </m:r>
              </m:e>
              <m:sub>
                <m:r>
                  <m:rPr>
                    <m:sty m:val="p"/>
                  </m:rPr>
                  <m:t>0</m:t>
                </m:r>
              </m:sub>
            </m:sSub>
            <m:sSub>
              <m:sSubPr/>
              <m:e>
                <m:r>
                  <m:rPr>
                    <m:sty m:val="i"/>
                  </m:rPr>
                  <m:t>X</m:t>
                </m:r>
              </m:e>
              <m:sub>
                <m:r>
                  <m:rPr>
                    <m:sty m:val="p"/>
                  </m:rPr>
                  <m:t>1</m:t>
                </m:r>
              </m:sub>
            </m:sSub>
          </m:num>
          <m:den>
            <m:r>
              <m:rPr>
                <m:sty m:val="i"/>
              </m:rPr>
              <m:t>e</m:t>
            </m:r>
          </m:den>
        </m:f>
      </m:oMath>
      <w:r>
        <w:rPr/>
        <w:t xml:space="preserve"> et </w:t>
      </w:r>
      <m:oMath>
        <m:sSub>
          <m:sSubPr/>
          <m:e>
            <m:r>
              <m:rPr>
                <m:sty m:val="i"/>
              </m:rPr>
              <m:t>ω</m:t>
            </m:r>
          </m:e>
          <m:sub>
            <m:r>
              <m:rPr>
                <m:sty m:val="p"/>
              </m:rPr>
              <m:t>0</m:t>
            </m:r>
          </m:sub>
        </m:sSub>
        <m:r>
          <m:rPr>
            <m:sty m:val="p"/>
          </m:rPr>
          <m:t>=</m:t>
        </m:r>
        <m:f>
          <m:fPr>
            <m:ctrlPr>
              <w:rPr>
                <w:rFonts w:ascii="Cambria Math" w:hAnsi="Cambria Math"/>
              </w:rPr>
            </m:ctrlPr>
          </m:fPr>
          <m:num>
            <m:r>
              <m:rPr>
                <m:sty m:val="p"/>
              </m:rPr>
              <m:t>1</m:t>
            </m:r>
          </m:num>
          <m:den>
            <m:r>
              <m:rPr>
                <m:sty m:val="i"/>
              </m:rPr>
              <m:t>R</m:t>
            </m:r>
            <m:sSub>
              <m:sSubPr/>
              <m:e>
                <m:r>
                  <m:rPr>
                    <m:sty m:val="i"/>
                  </m:rPr>
                  <m:t>C</m:t>
                </m:r>
              </m:e>
              <m:sub>
                <m:r>
                  <m:rPr>
                    <m:sty m:val="p"/>
                  </m:rPr>
                  <m:t>0</m:t>
                </m:r>
              </m:sub>
            </m:sSub>
          </m:den>
        </m:f>
      </m:oMath>
      <w:r>
        <w:rPr/>
        <w:t xml:space="preserve">.</w:t>
      </w:r>
      <w:r>
        <w:rPr/>
        <w:br w:type="textWrapping"/>
      </w:r>
      <w:r>
        <w:rPr>
          <w:rFonts w:eastAsia="Georgia" w:cs="Georgia" w:ascii="Georgia" w:hAnsi="Georgia"/>
        </w:rPr>
        <w:t xml:space="preserve">En régime sinusoïdal forcé, la solution est de la forme </w:t>
      </w:r>
      <m:oMath>
        <m:r>
          <m:rPr>
            <m:sty m:val="i"/>
          </m:rPr>
          <m:t>u</m:t>
        </m:r>
        <m:r>
          <m:rPr>
            <m:sty m:val="p"/>
          </m:rPr>
          <m:t>(</m:t>
        </m:r>
        <m:r>
          <m:rPr>
            <m:sty m:val="i"/>
          </m:rPr>
          <m:t>t</m:t>
        </m:r>
        <m:r>
          <m:rPr>
            <m:sty m:val="p"/>
          </m:rPr>
          <m:t>)</m:t>
        </m:r>
        <m:r>
          <m:rPr>
            <m:sty m:val="p"/>
          </m:rPr>
          <m:t>=</m:t>
        </m:r>
        <m:r>
          <m:rPr>
            <m:sty m:val="i"/>
          </m:rPr>
          <m:t>U</m:t>
        </m:r>
        <m:r>
          <m:rPr>
            <m:sty m:val="p"/>
          </m:rPr>
          <m:t>cos</m:t>
        </m:r>
        <m:r>
          <m:rPr>
            <m:sty m:val="p"/>
          </m:rPr>
          <m:t>⁡</m:t>
        </m:r>
        <m:d>
          <m:dPr>
            <m:begChr m:val="("/>
            <m:endChr m:val=")"/>
            <m:ctrlPr>
              <w:rPr>
                <w:rFonts w:ascii="Cambria Math" w:hAnsi="Cambria Math"/>
              </w:rPr>
            </m:ctrlPr>
          </m:dPr>
          <m:e>
            <m:r>
              <m:rPr>
                <m:sty m:val="i"/>
              </m:rPr>
              <m:t>ω</m:t>
            </m:r>
            <m:r>
              <m:rPr>
                <m:sty m:val="i"/>
              </m:rPr>
              <m:t>t</m:t>
            </m:r>
            <m:r>
              <m:rPr>
                <m:sty m:val="p"/>
              </m:rPr>
              <m:t>+</m:t>
            </m:r>
            <m:sSub>
              <m:sSubPr/>
              <m:e>
                <m:r>
                  <m:rPr>
                    <m:sty m:val="i"/>
                  </m:rPr>
                  <m:t>φ</m:t>
                </m:r>
              </m:e>
              <m:sub>
                <m:r>
                  <m:rPr>
                    <m:sty m:val="i"/>
                  </m:rPr>
                  <m:t>u</m:t>
                </m:r>
              </m:sub>
            </m:sSub>
          </m:e>
        </m:d>
      </m:oMath>
      <w:r>
        <w:rPr/>
        <w:t xml:space="preserve">.</w:t>
      </w:r>
      <w:r>
        <w:rPr/>
        <w:br w:type="textWrapping"/>
      </w:r>
      <w:r>
        <w:rPr/>
        <w:t xml:space="preserve">Q 45. Exprimer l'amplitude </w:t>
      </w:r>
      <m:oMath>
        <m:r>
          <m:rPr>
            <m:sty m:val="i"/>
          </m:rPr>
          <m:t>U</m:t>
        </m:r>
      </m:oMath>
      <w:r>
        <w:rPr/>
        <w:t xml:space="preserve"> en fonction de </w:t>
      </w:r>
      <m:oMath>
        <m:r>
          <m:rPr>
            <m:sty m:val="i"/>
          </m:rPr>
          <m:t>ω</m:t>
        </m:r>
        <m:r>
          <m:rPr>
            <m:sty m:val="p"/>
          </m:rPr>
          <m:t>,</m:t>
        </m:r>
        <m:sSub>
          <m:sSubPr/>
          <m:e>
            <m:r>
              <m:rPr>
                <m:sty m:val="i"/>
              </m:rPr>
              <m:t>ω</m:t>
            </m:r>
          </m:e>
          <m:sub>
            <m:r>
              <m:rPr>
                <m:sty m:val="p"/>
              </m:rPr>
              <m:t>0</m:t>
            </m:r>
          </m:sub>
        </m:sSub>
        <m:r>
          <m:rPr>
            <m:sty m:val="p"/>
          </m:rPr>
          <m:t>,</m:t>
        </m:r>
        <m:sSub>
          <m:sSubPr/>
          <m:e>
            <m:r>
              <m:rPr>
                <m:sty m:val="i"/>
              </m:rPr>
              <m:t>X</m:t>
            </m:r>
          </m:e>
          <m:sub>
            <m:r>
              <m:rPr>
                <m:sty m:val="p"/>
              </m:rPr>
              <m:t>1</m:t>
            </m:r>
          </m:sub>
        </m:sSub>
        <m:r>
          <m:rPr>
            <m:sty m:val="p"/>
          </m:rPr>
          <m:t>,</m:t>
        </m:r>
        <m:r>
          <m:rPr>
            <m:sty m:val="i"/>
          </m:rPr>
          <m:t>e</m:t>
        </m:r>
      </m:oMath>
      <w:r>
        <w:rPr/>
        <w:t xml:space="preserve"> et </w:t>
      </w:r>
      <m:oMath>
        <m:sSub>
          <m:sSubPr/>
          <m:e>
            <m:r>
              <m:rPr>
                <m:sty m:val="i"/>
              </m:rPr>
              <m:t>U</m:t>
            </m:r>
          </m:e>
          <m:sub>
            <m:r>
              <m:rPr>
                <m:sty m:val="p"/>
              </m:rPr>
              <m:t>0</m:t>
            </m:r>
          </m:sub>
        </m:sSub>
      </m:oMath>
      <w:r>
        <w:rPr/>
        <w:t xml:space="preserve">.</w:t>
      </w:r>
      <w:r>
        <w:rPr/>
        <w:br w:type="textWrapping"/>
      </w:r>
      <w:r>
        <w:rPr/>
        <w:t xml:space="preserve">Q 46. Montrer, qu'en dessous de 10 kHz , le graphe </w:t>
      </w:r>
      <m:oMath>
        <m:r>
          <m:rPr>
            <m:sty m:val="p"/>
          </m:rPr>
          <m:t>20</m:t>
        </m:r>
        <m:r>
          <m:rPr>
            <m:sty m:val="p"/>
          </m:rPr>
          <m:t>log</m:t>
        </m:r>
        <m:r>
          <m:rPr>
            <m:sty m:val="p"/>
          </m:rPr>
          <m:t>⁡</m:t>
        </m:r>
        <m:r>
          <m:rPr>
            <m:sty m:val="i"/>
          </m:rPr>
          <m:t>U</m:t>
        </m:r>
      </m:oMath>
      <w:r>
        <w:rPr/>
        <w:t xml:space="preserve"> en fonction de </w:t>
      </w:r>
      <m:oMath>
        <m:r>
          <m:rPr>
            <m:sty m:val="i"/>
          </m:rPr>
          <m:t>ω</m:t>
        </m:r>
      </m:oMath>
      <w:r>
        <w:rPr>
          <w:rFonts w:eastAsia="Georgia" w:cs="Georgia" w:ascii="Georgia" w:hAnsi="Georgia"/>
        </w:rPr>
        <w:t xml:space="preserve"> est compatible avec la réponse relative du microphone en fonction de la fréquence donnée figure 2.</w:t>
      </w:r>
      <w:r>
        <w:rPr/>
        <w:br w:type="textWrapping"/>
      </w:r>
      <w:r>
        <w:rPr/>
        <w:t xml:space="preserve">Q 47. Estimer alors l'ordre de grandeur de </w:t>
      </w:r>
      <m:oMath>
        <m:sSub>
          <m:sSubPr/>
          <m:e>
            <m:r>
              <m:rPr>
                <m:sty m:val="i"/>
              </m:rPr>
              <m:t>C</m:t>
            </m:r>
          </m:e>
          <m:sub>
            <m:r>
              <m:rPr>
                <m:sty m:val="p"/>
              </m:rPr>
              <m:t>0</m:t>
            </m:r>
          </m:sub>
        </m:sSub>
      </m:oMath>
      <w:r>
        <w:rPr/>
        <w:t xml:space="preserve">.</w:t>
      </w:r>
      <w:r>
        <w:rPr/>
        <w:br w:type="textWrapping"/>
      </w:r>
      <w:r>
        <w:rPr>
          <w:rFonts w:eastAsia="Georgia" w:cs="Georgia" w:ascii="Georgia" w:hAnsi="Georgia"/>
        </w:rPr>
        <w:t xml:space="preserve">Le modèle étudié précédemment ne prend pas en considération le couplage électromécanique du système dans les hautes fréquences. Celui-ci, devient prépondérant au-delà de 10 kHz , la réponse du microphone présente alors une résonance causée par les oscillations de la membrane au voisinage de sa position d'équilibre.</w:t>
      </w:r>
      <w:r>
        <w:rPr/>
        <w:br w:type="textWrapping"/>
      </w:r>
      <w:r>
        <w:rPr/>
        <w:t xml:space="preserve">Q 48. Donner un ordre de grandeur de </w:t>
      </w:r>
      <m:oMath>
        <m:rad>
          <m:radPr>
            <m:degHide m:val="1"/>
            <m:ctrlPr>
              <w:rPr>
                <w:rFonts w:ascii="Cambria Math" w:hAnsi="Cambria Math"/>
              </w:rPr>
            </m:ctrlPr>
          </m:radPr>
          <m:deg/>
          <m:e>
            <m:sSub>
              <m:sSubPr/>
              <m:e>
                <m:r>
                  <m:rPr>
                    <m:sty m:val="i"/>
                  </m:rPr>
                  <m:t>k</m:t>
                </m:r>
              </m:e>
              <m:sub>
                <m:r>
                  <m:rPr>
                    <m:sty m:val="i"/>
                  </m:rPr>
                  <m:t>e</m:t>
                </m:r>
              </m:sub>
            </m:sSub>
            <m:r>
              <m:rPr>
                <m:sty m:val="p"/>
              </m:rPr>
              <m:t>/</m:t>
            </m:r>
            <m:sSub>
              <m:sSubPr/>
              <m:e>
                <m:r>
                  <m:rPr>
                    <m:sty m:val="i"/>
                  </m:rPr>
                  <m:t>m</m:t>
                </m:r>
              </m:e>
              <m:sub>
                <m:r>
                  <m:rPr>
                    <m:sty m:val="i"/>
                  </m:rPr>
                  <m:t>e</m:t>
                </m:r>
              </m:sub>
            </m:sSub>
          </m:e>
        </m:rad>
      </m:oMath>
      <w:r>
        <w:rPr/>
        <w:t xml:space="preserve">.</w:t>
      </w:r>
      <w:r>
        <w:rPr/>
        <w:br w:type="textWrapping"/>
      </w:r>
      <w:r>
        <w:rPr>
          <w:rFonts w:eastAsia="Georgia" w:cs="Georgia" w:ascii="Georgia" w:hAnsi="Georgia"/>
        </w:rPr>
        <w:t xml:space="preserve">Q 49. Expliquer pourquoi le microphone utilisé ne peut pas être à l'origine de la sélection des fréquences de l'effet Larsen étudié.</w:t>
      </w:r>
    </w:p>
    <w:p>
      <w:pPr>
        <w:spacing w:line="271" w:before="330" w:lineRule="auto"/>
      </w:pPr>
      <w:r>
        <w:rPr>
          <w:rFonts w:eastAsia="Georgia" w:cs="Georgia" w:ascii="Georgia" w:hAnsi="Georgia"/>
          <w:b/>
          <w:sz w:val="42"/>
        </w:rPr>
        <w:t xml:space="preserve">III.C - Rôle du hautparleur dans la cavité acoustique</w:t>
      </w:r>
    </w:p>
    <w:p>
      <w:pPr>
        <w:spacing w:after="220" w:lineRule="auto"/>
      </w:pPr>
      <w:r>
        <w:rPr>
          <w:rFonts w:eastAsia="Georgia" w:cs="Georgia" w:ascii="Georgia" w:hAnsi="Georgia"/>
        </w:rPr>
        <w:t xml:space="preserve">Le hautparleur représente l'autre élément important de la cavité. Afin d'analyser son influence, un générateur basse fréquence l'alimente avec une tension </w:t>
      </w:r>
      <m:oMath>
        <m:sSub>
          <m:sSubPr/>
          <m:e>
            <m:r>
              <m:rPr>
                <m:sty m:val="i"/>
              </m:rPr>
              <m:t>u</m:t>
            </m:r>
          </m:e>
          <m:sub>
            <m:r>
              <m:rPr>
                <m:sty m:val="i"/>
              </m:rPr>
              <m:t>g</m:t>
            </m:r>
          </m:sub>
        </m:sSub>
        <m:r>
          <m:rPr>
            <m:sty m:val="p"/>
          </m:rPr>
          <m:t>(</m:t>
        </m:r>
        <m:r>
          <m:rPr>
            <m:sty m:val="i"/>
          </m:rPr>
          <m:t>t</m:t>
        </m:r>
        <m:r>
          <m:rPr>
            <m:sty m:val="p"/>
          </m:rPr>
          <m:t>)</m:t>
        </m:r>
        <m:r>
          <m:rPr>
            <m:sty m:val="p"/>
          </m:rPr>
          <m:t>=</m:t>
        </m:r>
        <m:sSub>
          <m:sSubPr/>
          <m:e>
            <m:r>
              <m:rPr>
                <m:sty m:val="i"/>
              </m:rPr>
              <m:t>U</m:t>
            </m:r>
          </m:e>
          <m:sub>
            <m:r>
              <m:rPr>
                <m:sty m:val="i"/>
              </m:rPr>
              <m:t>g</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Le microphone précédemment étudié est utilisé comme capteur, un voltmètre mesure directement la tension efficace aux bornes de celui-ci (figure 16). Le relevé des mesures est représenté sur la figure 17 .</w:t>
      </w:r>
    </w:p>
    <w:p>
      <w:pPr>
        <w:spacing w:lineRule="auto"/>
        <w:jc w:val="center"/>
      </w:pPr>
      <w:r>
        <w:rPr/>
        <w:drawing>
          <wp:inline distB="0" distL="0" distR="0" distT="0">
            <wp:extent cx="5486400" cy="842010"/>
            <wp:effectExtent b="0" l="0" r="0" t="0"/>
            <wp:docPr id="17" name="image-f081b233959ce039d245eb219c477e19de836cec.jpg"/>
            <a:graphic>
              <a:graphicData uri="http://schemas.openxmlformats.org/drawingml/2006/picture">
                <pic:pic>
                  <pic:nvPicPr>
                    <pic:cNvPr id="17" name="image-f081b233959ce039d245eb219c477e19de836cec.jpg" descr=""/>
                    <pic:cNvPicPr/>
                  </pic:nvPicPr>
                  <pic:blipFill>
                    <a:blip r:embed="rId21" cstate="print"/>
                    <a:srcRect b="0" l="0" r="0" t="0"/>
                    <a:stretch>
                      <a:fillRect/>
                    </a:stretch>
                  </pic:blipFill>
                  <pic:spPr>
                    <a:xfrm>
                      <a:off x="0" y="0"/>
                      <a:ext cx="5486400" cy="842010"/>
                    </a:xfrm>
                    <a:prstGeom prst="rect"/>
                  </pic:spPr>
                </pic:pic>
              </a:graphicData>
            </a:graphic>
          </wp:inline>
        </w:drawing>
      </w:r>
    </w:p>
    <w:p>
      <w:pPr>
        <w:spacing w:lineRule="auto"/>
      </w:pPr>
      <w:r>
        <w:rPr/>
        <w:t xml:space="preserve">Figure 16</w:t>
      </w:r>
    </w:p>
    <w:p>
      <w:pPr>
        <w:spacing w:after="220" w:lineRule="auto"/>
      </w:pPr>
      <w:r>
        <w:rPr>
          <w:rFonts w:eastAsia="Georgia" w:cs="Georgia" w:ascii="Georgia" w:hAnsi="Georgia"/>
        </w:rPr>
        <w:t xml:space="preserve">Q 50. À quel type de filtre peut-on assimiler le hautparleur ? Évaluer, à partir de la figure 17, les fréquences de coupure du filtre notées </w:t>
      </w:r>
      <m:oMath>
        <m:sSub>
          <m:sSubPr/>
          <m:e>
            <m:r>
              <m:rPr>
                <m:sty m:val="i"/>
              </m:rPr>
              <m:t>f</m:t>
            </m:r>
          </m:e>
          <m:sub>
            <m:r>
              <m:rPr>
                <m:sty m:val="i"/>
              </m:rPr>
              <m:t>c</m:t>
            </m:r>
            <m:r>
              <m:rPr>
                <m:sty m:val="p"/>
              </m:rPr>
              <m:t>1</m:t>
            </m:r>
          </m:sub>
        </m:sSub>
      </m:oMath>
      <w:r>
        <w:rPr/>
        <w:t xml:space="preserve"> et </w:t>
      </w:r>
      <m:oMath>
        <m:sSub>
          <m:sSubPr/>
          <m:e>
            <m:r>
              <m:rPr>
                <m:sty m:val="i"/>
              </m:rPr>
              <m:t>f</m:t>
            </m:r>
          </m:e>
          <m:sub>
            <m:r>
              <m:rPr>
                <m:sty m:val="i"/>
              </m:rPr>
              <m:t>c</m:t>
            </m:r>
            <m:r>
              <m:rPr>
                <m:sty m:val="p"/>
              </m:rPr>
              <m:t>2</m:t>
            </m:r>
          </m:sub>
        </m:sSub>
      </m:oMath>
      <w:r>
        <w:rPr/>
        <w:t xml:space="preserve">.</w:t>
      </w:r>
      <w:r>
        <w:rPr/>
        <w:br w:type="textWrapping"/>
      </w:r>
      <w:r>
        <w:rPr>
          <w:rFonts w:eastAsia="Georgia" w:cs="Georgia" w:ascii="Georgia" w:hAnsi="Georgia"/>
        </w:rPr>
        <w:t xml:space="preserve">Q 51. En quoi les caractéristiques du hautparleur sont elles compatibles avec les mesures des fréquences du sifflement en fonction de la distance représentées sur la figure 14 ? Conclure.</w:t>
      </w:r>
      <w:r>
        <w:rPr/>
        <w:br w:type="textWrapping"/>
      </w:r>
      <w:r>
        <w:rPr>
          <w:rFonts w:eastAsia="Georgia" w:cs="Georgia" w:ascii="Georgia" w:hAnsi="Georgia"/>
        </w:rPr>
        <w:t xml:space="preserve">La cavité acoustique présente de grandes similitudes avec le fonctionnement du laser dont une documentation est fournie dans le document réponse. Dans la cavité acoustique de longueur </w:t>
      </w:r>
      <m:oMath>
        <m:r>
          <m:rPr>
            <m:sty m:val="i"/>
          </m:rPr>
          <m:t>d</m:t>
        </m:r>
      </m:oMath>
      <w:r>
        <w:rPr/>
        <w:t xml:space="preserve">, les longueurs d'onde </w:t>
      </w:r>
      <m:oMath>
        <m:r>
          <m:rPr>
            <m:sty m:val="i"/>
          </m:rPr>
          <m:t>λ</m:t>
        </m:r>
      </m:oMath>
      <w:r>
        <w:rPr>
          <w:rFonts w:eastAsia="Georgia" w:cs="Georgia" w:ascii="Georgia" w:hAnsi="Georgia"/>
        </w:rPr>
        <w:t xml:space="preserve"> du sifflement sont quantifiées de manière à respecter </w:t>
      </w:r>
      <m:oMath>
        <m:r>
          <m:rPr>
            <m:sty m:val="i"/>
          </m:rPr>
          <m:t>d</m:t>
        </m:r>
        <m:r>
          <m:rPr>
            <m:sty m:val="p"/>
          </m:rPr>
          <m:t>=</m:t>
        </m:r>
        <m:r>
          <m:rPr>
            <m:sty m:val="i"/>
          </m:rPr>
          <m:t>n</m:t>
        </m:r>
        <m:sSub>
          <m:sSubPr/>
          <m:e>
            <m:r>
              <m:rPr>
                <m:sty m:val="i"/>
              </m:rPr>
              <m:t>λ</m:t>
            </m:r>
          </m:e>
          <m:sub>
            <m:r>
              <m:rPr>
                <m:sty m:val="i"/>
              </m:rPr>
              <m:t>n</m:t>
            </m:r>
          </m:sub>
        </m:sSub>
      </m:oMath>
      <w:r>
        <w:rPr>
          <w:rFonts w:eastAsia="Georgia" w:cs="Georgia" w:ascii="Georgia" w:hAnsi="Georgia"/>
        </w:rPr>
        <w:t xml:space="preserve">. Dans la cavité laser de longueur </w:t>
      </w:r>
      <m:oMath>
        <m:r>
          <m:rPr>
            <m:sty m:val="i"/>
          </m:rPr>
          <m:t>L</m:t>
        </m:r>
      </m:oMath>
      <w:r>
        <w:rPr>
          <w:rFonts w:eastAsia="Georgia" w:cs="Georgia" w:ascii="Georgia" w:hAnsi="Georgia"/>
        </w:rPr>
        <w:t xml:space="preserve">, cette quantification se traduit par une relation très semblable mis à part un facteur </w:t>
      </w:r>
      <m:oMath>
        <m:r>
          <m:rPr>
            <m:sty m:val="p"/>
          </m:rPr>
          <m:t>1</m:t>
        </m:r>
        <m:r>
          <m:rPr>
            <m:sty m:val="p"/>
          </m:rPr>
          <m:t>/</m:t>
        </m:r>
        <m:r>
          <m:rPr>
            <m:sty m:val="p"/>
          </m:rPr>
          <m:t>2</m:t>
        </m:r>
      </m:oMath>
      <w:r>
        <w:rPr/>
        <w:t xml:space="preserve">.</w:t>
      </w:r>
      <w:r>
        <w:rPr/>
        <w:br w:type="textWrapping"/>
      </w:r>
      <w:r>
        <w:rPr>
          <w:rFonts w:eastAsia="Georgia" w:cs="Georgia" w:ascii="Georgia" w:hAnsi="Georgia"/>
        </w:rPr>
        <w:t xml:space="preserve">Q 52. Quelle propriété de l'onde lumineuse dans la cavité laser justifie cette différence ?</w:t>
      </w:r>
      <w:r>
        <w:rPr/>
        <w:br w:type="textWrapping"/>
      </w:r>
      <w:r>
        <w:rPr>
          <w:rFonts w:eastAsia="Georgia" w:cs="Georgia" w:ascii="Georgia" w:hAnsi="Georgia"/>
        </w:rPr>
        <w:t xml:space="preserve">Q 53. Représenter sur la figure </w:t>
      </w:r>
      <m:oMath>
        <m:r>
          <m:rPr>
            <m:sty m:val="i"/>
          </m:rPr>
          <m:t>B</m:t>
        </m:r>
      </m:oMath>
      <w:r>
        <w:rPr>
          <w:rFonts w:eastAsia="Georgia" w:cs="Georgia" w:ascii="Georgia" w:hAnsi="Georgia"/>
        </w:rPr>
        <w:t xml:space="preserve"> du document réponse présentant le profil de réponse du hautparleur, le spectre des fréquences possibles pour une longueur de cavité acoustique </w:t>
      </w:r>
      <m:oMath>
        <m:r>
          <m:rPr>
            <m:sty m:val="i"/>
          </m:rPr>
          <m:t>d</m:t>
        </m:r>
        <m:r>
          <m:rPr>
            <m:sty m:val="p"/>
          </m:rPr>
          <m:t>=</m:t>
        </m:r>
        <m:r>
          <m:rPr>
            <m:sty m:val="p"/>
          </m:rPr>
          <m:t>1</m:t>
        </m:r>
        <m:r>
          <m:rPr>
            <m:sty m:val="p"/>
          </m:rPr>
          <m:t>,</m:t>
        </m:r>
        <m:r>
          <m:rPr>
            <m:sty m:val="p"/>
          </m:rPr>
          <m:t>22</m:t>
        </m:r>
        <m:r>
          <m:rPr>
            <m:nor/>
          </m:rPr>
          <m:t xml:space="preserve"> </m:t>
        </m:r>
        <m:r>
          <m:rPr>
            <m:sty m:val="p"/>
          </m:rPr>
          <m:t>m</m:t>
        </m:r>
      </m:oMath>
      <w:r>
        <w:rPr>
          <w:rFonts w:eastAsia="Georgia" w:cs="Georgia" w:ascii="Georgia" w:hAnsi="Georgia"/>
        </w:rPr>
        <w:t xml:space="preserve">. La vitesse du son dans l'air sera prise égale à </w:t>
      </w:r>
      <m:oMath>
        <m:r>
          <m:rPr>
            <m:sty m:val="p"/>
          </m:rPr>
          <m:t>340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p>
    <w:p>
      <w:pPr>
        <w:spacing w:lineRule="auto"/>
        <w:jc w:val="center"/>
      </w:pPr>
      <w:r>
        <w:rPr/>
        <w:drawing>
          <wp:inline distB="0" distL="0" distR="0" distT="0">
            <wp:extent cx="5486400" cy="3852691"/>
            <wp:effectExtent b="0" l="0" r="0" t="0"/>
            <wp:docPr id="18" name="image-e9bc3f7a1af6e171b0247bd285a8b7a4fd4f0de0.jpg"/>
            <a:graphic>
              <a:graphicData uri="http://schemas.openxmlformats.org/drawingml/2006/picture">
                <pic:pic>
                  <pic:nvPicPr>
                    <pic:cNvPr id="18" name="image-e9bc3f7a1af6e171b0247bd285a8b7a4fd4f0de0.jpg" descr=""/>
                    <pic:cNvPicPr/>
                  </pic:nvPicPr>
                  <pic:blipFill>
                    <a:blip r:embed="rId22" cstate="print"/>
                    <a:srcRect b="0" l="0" r="0" t="0"/>
                    <a:stretch>
                      <a:fillRect/>
                    </a:stretch>
                  </pic:blipFill>
                  <pic:spPr>
                    <a:xfrm>
                      <a:off x="0" y="0"/>
                      <a:ext cx="5486400" cy="3852691"/>
                    </a:xfrm>
                    <a:prstGeom prst="rect"/>
                  </pic:spPr>
                </pic:pic>
              </a:graphicData>
            </a:graphic>
          </wp:inline>
        </w:drawing>
      </w:r>
    </w:p>
    <w:p>
      <w:pPr>
        <w:spacing w:lineRule="auto"/>
      </w:pPr>
      <w:r>
        <w:rPr/>
        <w:t xml:space="preserve">Figure 17 Tension aux bornes du microphone </w:t>
      </w:r>
      <m:oMath>
        <m:sSub>
          <m:sSubPr/>
          <m:e>
            <m:r>
              <m:rPr>
                <m:sty m:val="i"/>
              </m:rPr>
              <m:t>U</m:t>
            </m:r>
          </m:e>
          <m:sub>
            <m:r>
              <m:rPr>
                <m:sty m:val="i"/>
              </m:rPr>
              <m:t>m</m:t>
            </m:r>
          </m:sub>
        </m:sSub>
        <m:r>
          <m:rPr>
            <m:sty m:val="p"/>
          </m:rPr>
          <m:t>(</m:t>
        </m:r>
        <m:r>
          <m:rPr>
            <m:nor/>
          </m:rPr>
          <m:t xml:space="preserve"> </m:t>
        </m:r>
        <m:r>
          <m:rPr>
            <m:sty m:val="p"/>
          </m:rPr>
          <m:t>V</m:t>
        </m:r>
        <m:r>
          <m:rPr>
            <m:sty m:val="p"/>
          </m:rPr>
          <m:t>)</m:t>
        </m:r>
      </m:oMath>
      <w:r>
        <w:rPr>
          <w:rFonts w:eastAsia="Georgia" w:cs="Georgia" w:ascii="Georgia" w:hAnsi="Georgia"/>
        </w:rPr>
        <w:t xml:space="preserve"> en fonction de la fréquence ( kHz )</w:t>
      </w:r>
    </w:p>
    <w:p>
      <w:pPr>
        <w:spacing w:after="220" w:lineRule="auto"/>
      </w:pPr>
      <w:r>
        <w:rPr>
          <w:rFonts w:eastAsia="Georgia" w:cs="Georgia" w:ascii="Georgia" w:hAnsi="Georgia"/>
        </w:rPr>
        <w:t xml:space="preserve">Q 54. Comment justifier la présence des deux points expérimentaux, correspondant à cette distance, signalés par une ligne en pointillés sur la figure 14.</w:t>
      </w:r>
      <w:r>
        <w:rPr/>
        <w:br w:type="textWrapping"/>
      </w:r>
      <w:r>
        <w:rPr>
          <w:rFonts w:eastAsia="Georgia" w:cs="Georgia" w:ascii="Georgia" w:hAnsi="Georgia"/>
        </w:rPr>
        <w:t xml:space="preserve">Q 55. Expliquer, de manière concise, comment les fréquences de l'effet Larsen passent d'une hyperbole à l'autre quand la distance </w:t>
      </w:r>
      <m:oMath>
        <m:r>
          <m:rPr>
            <m:sty m:val="i"/>
          </m:rPr>
          <m:t>d</m:t>
        </m:r>
      </m:oMath>
      <w:r>
        <w:rPr>
          <w:rFonts w:eastAsia="Georgia" w:cs="Georgia" w:ascii="Georgia" w:hAnsi="Georgia"/>
        </w:rPr>
        <w:t xml:space="preserve"> de la cavité acoustique augmente.</w:t>
      </w:r>
    </w:p>
    <w:p>
      <w:pPr>
        <w:spacing w:lineRule="auto"/>
        <w:jc w:val="center"/>
      </w:pPr>
      <w:r>
        <w:rPr/>
        <w:drawing>
          <wp:inline distB="0" distL="0" distR="0" distT="0">
            <wp:extent cx="5486400" cy="1752755"/>
            <wp:effectExtent b="0" l="0" r="0" t="0"/>
            <wp:docPr id="19" name="image-46337c341f9291dfeff25a9decc8aa9bb55557b2.jpg"/>
            <a:graphic>
              <a:graphicData uri="http://schemas.openxmlformats.org/drawingml/2006/picture">
                <pic:pic>
                  <pic:nvPicPr>
                    <pic:cNvPr id="19" name="image-46337c341f9291dfeff25a9decc8aa9bb55557b2.jpg" descr=""/>
                    <pic:cNvPicPr/>
                  </pic:nvPicPr>
                  <pic:blipFill>
                    <a:blip r:embed="rId23" cstate="print"/>
                    <a:srcRect b="0" l="0" r="0" t="0"/>
                    <a:stretch>
                      <a:fillRect/>
                    </a:stretch>
                  </pic:blipFill>
                  <pic:spPr>
                    <a:xfrm>
                      <a:off x="0" y="0"/>
                      <a:ext cx="5486400" cy="1752755"/>
                    </a:xfrm>
                    <a:prstGeom prst="rect"/>
                  </pic:spPr>
                </pic:pic>
              </a:graphicData>
            </a:graphic>
          </wp:inline>
        </w:drawing>
      </w:r>
    </w:p>
    <w:p>
      <w:pPr>
        <w:spacing w:lineRule="auto"/>
      </w:pPr>
      <w:r>
        <w:rPr/>
        <w:t xml:space="preserve">Question 21</w:t>
      </w:r>
    </w:p>
    <w:p>
      <w:pPr>
        <w:spacing w:line="271" w:before="330" w:lineRule="auto"/>
      </w:pPr>
      <w:r>
        <w:rPr>
          <w:b/>
          <w:sz w:val="42"/>
        </w:rPr>
        <w:t xml:space="preserve">Question 53</w:t>
      </w:r>
    </w:p>
    <w:p>
      <w:pPr>
        <w:spacing w:lineRule="auto"/>
        <w:jc w:val="center"/>
      </w:pPr>
      <w:r>
        <w:rPr/>
        <w:drawing>
          <wp:inline distB="0" distL="0" distR="0" distT="0">
            <wp:extent cx="5486400" cy="4103527"/>
            <wp:effectExtent b="0" l="0" r="0" t="0"/>
            <wp:docPr id="20" name="image-ef0fd25e0a002dcc82900de84cd7127cce7d97cd.jpg"/>
            <a:graphic>
              <a:graphicData uri="http://schemas.openxmlformats.org/drawingml/2006/picture">
                <pic:pic>
                  <pic:nvPicPr>
                    <pic:cNvPr id="20" name="image-ef0fd25e0a002dcc82900de84cd7127cce7d97cd.jpg" descr=""/>
                    <pic:cNvPicPr/>
                  </pic:nvPicPr>
                  <pic:blipFill>
                    <a:blip r:embed="rId24" cstate="print"/>
                    <a:srcRect b="0" l="0" r="0" t="0"/>
                    <a:stretch>
                      <a:fillRect/>
                    </a:stretch>
                  </pic:blipFill>
                  <pic:spPr>
                    <a:xfrm>
                      <a:off x="0" y="0"/>
                      <a:ext cx="5486400" cy="4103527"/>
                    </a:xfrm>
                    <a:prstGeom prst="rect"/>
                  </pic:spPr>
                </pic:pic>
              </a:graphicData>
            </a:graphic>
          </wp:inline>
        </w:drawing>
      </w:r>
    </w:p>
    <w:p>
      <w:pPr>
        <w:spacing w:lineRule="auto"/>
      </w:pPr>
      <w:r>
        <w:rPr/>
        <w:t xml:space="preserve">Figure B</w:t>
      </w:r>
    </w:p>
    <w:p>
      <w:pPr>
        <w:spacing w:line="271" w:before="330" w:lineRule="auto"/>
      </w:pPr>
      <w:r>
        <w:rPr>
          <w:rFonts w:eastAsia="Georgia" w:cs="Georgia" w:ascii="Georgia" w:hAnsi="Georgia"/>
          <w:b/>
          <w:sz w:val="42"/>
        </w:rPr>
        <w:t xml:space="preserve">Complément d'information concernant le laser</w:t>
      </w:r>
    </w:p>
    <w:p>
      <w:pPr>
        <w:spacing w:after="220" w:lineRule="auto"/>
      </w:pPr>
      <w:r>
        <w:rPr>
          <w:rFonts w:eastAsia="Georgia" w:cs="Georgia" w:ascii="Georgia" w:hAnsi="Georgia"/>
        </w:rPr>
        <w:t xml:space="preserve">Rappelons, pour prendre un exemple courant dans les salles de travaux pratiques, que le laser hélium-néon (He-Ne) est réalisé à partir d'une cavité optique contenant un mélange gazeux essentiellement constitué de néon ( </w:t>
      </w:r>
      <m:oMath>
        <m:r>
          <m:rPr>
            <m:sty m:val="p"/>
          </m:rPr>
          <m:t>15</m:t>
        </m:r>
        <m:r>
          <m:rPr>
            <m:sty m:val="p"/>
          </m:rPr>
          <m:t>%</m:t>
        </m:r>
      </m:oMath>
      <w:r>
        <w:rPr>
          <w:rFonts w:eastAsia="Georgia" w:cs="Georgia" w:ascii="Georgia" w:hAnsi="Georgia"/>
        </w:rPr>
        <w:t xml:space="preserve"> ) et d'hélium ( </w:t>
      </w:r>
      <m:oMath>
        <m:r>
          <m:rPr>
            <m:sty m:val="p"/>
          </m:rPr>
          <m:t>85</m:t>
        </m:r>
        <m:r>
          <m:rPr>
            <m:sty m:val="p"/>
          </m:rPr>
          <m:t>%</m:t>
        </m:r>
      </m:oMath>
      <w:r>
        <w:rPr/>
        <w:t xml:space="preserve"> ).</w:t>
      </w:r>
      <w:r>
        <w:rPr/>
        <w:br w:type="textWrapping"/>
      </w:r>
    </w:p>
    <w:p>
      <w:pPr>
        <w:spacing w:lineRule="auto"/>
        <w:jc w:val="center"/>
      </w:pPr>
      <w:r>
        <w:rPr/>
        <w:drawing>
          <wp:inline distB="0" distL="0" distR="0" distT="0">
            <wp:extent cx="5486400" cy="1502500"/>
            <wp:effectExtent b="0" l="0" r="0" t="0"/>
            <wp:docPr id="21" name="image-9ec98f0d3085696c3647d7effa4e7046bc97bf23.jpg"/>
            <a:graphic>
              <a:graphicData uri="http://schemas.openxmlformats.org/drawingml/2006/picture">
                <pic:pic>
                  <pic:nvPicPr>
                    <pic:cNvPr id="21" name="image-9ec98f0d3085696c3647d7effa4e7046bc97bf23.jpg" descr=""/>
                    <pic:cNvPicPr/>
                  </pic:nvPicPr>
                  <pic:blipFill>
                    <a:blip r:embed="rId25" cstate="print"/>
                    <a:srcRect b="0" l="0" r="0" t="0"/>
                    <a:stretch>
                      <a:fillRect/>
                    </a:stretch>
                  </pic:blipFill>
                  <pic:spPr>
                    <a:xfrm>
                      <a:off x="0" y="0"/>
                      <a:ext cx="5486400" cy="1502500"/>
                    </a:xfrm>
                    <a:prstGeom prst="rect"/>
                  </pic:spPr>
                </pic:pic>
              </a:graphicData>
            </a:graphic>
          </wp:inline>
        </w:drawing>
      </w:r>
    </w:p>
    <w:p>
      <w:pPr>
        <w:spacing w:after="220" w:lineRule="auto"/>
      </w:pPr>
      <w:r>
        <w:rPr>
          <w:rFonts w:eastAsia="Georgia" w:cs="Georgia" w:ascii="Georgia" w:hAnsi="Georgia"/>
        </w:rPr>
        <w:t xml:space="preserve">L'émission laser de longueur d'onde dans le vide </w:t>
      </w:r>
      <m:oMath>
        <m:r>
          <m:rPr>
            <m:sty m:val="i"/>
          </m:rPr>
          <m:t>λ</m:t>
        </m:r>
        <m:r>
          <m:rPr>
            <m:sty m:val="p"/>
          </m:rPr>
          <m:t>=</m:t>
        </m:r>
        <m:r>
          <m:rPr>
            <m:sty m:val="p"/>
          </m:rPr>
          <m:t>632</m:t>
        </m:r>
        <m:r>
          <m:rPr>
            <m:sty m:val="p"/>
          </m:rPr>
          <m:t>,</m:t>
        </m:r>
        <m:r>
          <m:rPr>
            <m:sty m:val="p"/>
          </m:rPr>
          <m:t>8</m:t>
        </m:r>
        <m:r>
          <m:rPr>
            <m:nor/>
          </m:rPr>
          <m:t xml:space="preserve"> </m:t>
        </m:r>
        <m:r>
          <m:rPr>
            <m:sty m:val="p"/>
          </m:rPr>
          <m:t>nm</m:t>
        </m:r>
      </m:oMath>
      <w:r>
        <w:rPr>
          <w:rFonts w:eastAsia="Georgia" w:cs="Georgia" w:ascii="Georgia" w:hAnsi="Georgia"/>
        </w:rPr>
        <w:t xml:space="preserve"> résulte de la transition entre deux niveaux d'énergie du néon </w:t>
      </w:r>
      <m:oMath>
        <m:sSub>
          <m:sSubPr/>
          <m:e>
            <m:r>
              <m:rPr>
                <m:sty m:val="i"/>
              </m:rPr>
              <m:t>E</m:t>
            </m:r>
          </m:e>
          <m:sub>
            <m:r>
              <m:rPr>
                <m:sty m:val="p"/>
              </m:rPr>
              <m:t>2</m:t>
            </m:r>
          </m:sub>
        </m:sSub>
      </m:oMath>
      <w:r>
        <w:rPr/>
        <w:t xml:space="preserve"> et </w:t>
      </w:r>
      <m:oMath>
        <m:sSub>
          <m:sSubPr/>
          <m:e>
            <m:r>
              <m:rPr>
                <m:sty m:val="i"/>
              </m:rPr>
              <m:t>E</m:t>
            </m:r>
          </m:e>
          <m:sub>
            <m:r>
              <m:rPr>
                <m:sty m:val="p"/>
              </m:rPr>
              <m:t>1</m:t>
            </m:r>
          </m:sub>
        </m:sSub>
      </m:oMath>
      <w:r>
        <w:rPr>
          <w:rFonts w:eastAsia="Georgia" w:cs="Georgia" w:ascii="Georgia" w:hAnsi="Georgia"/>
        </w:rPr>
        <w:t xml:space="preserve">. Par des décharges électriques, on excite les atomes d'hélium dans un niveau d'énergie </w:t>
      </w:r>
      <m:oMath>
        <m:sSub>
          <m:sSubPr/>
          <m:e>
            <m:r>
              <m:rPr>
                <m:sty m:val="i"/>
              </m:rPr>
              <m:t>E</m:t>
            </m:r>
          </m:e>
          <m:sub>
            <m:r>
              <m:rPr>
                <m:sty m:val="p"/>
              </m:rPr>
              <m:t>3</m:t>
            </m:r>
          </m:sub>
        </m:sSub>
      </m:oMath>
      <w:r>
        <w:rPr>
          <w:rFonts w:eastAsia="Georgia" w:cs="Georgia" w:ascii="Georgia" w:hAnsi="Georgia"/>
        </w:rPr>
        <w:t xml:space="preserve"> très proche de l'état </w:t>
      </w:r>
      <m:oMath>
        <m:sSub>
          <m:sSubPr/>
          <m:e>
            <m:r>
              <m:rPr>
                <m:sty m:val="i"/>
              </m:rPr>
              <m:t>E</m:t>
            </m:r>
          </m:e>
          <m:sub>
            <m:r>
              <m:rPr>
                <m:sty m:val="p"/>
              </m:rPr>
              <m:t>2</m:t>
            </m:r>
          </m:sub>
        </m:sSub>
      </m:oMath>
      <w:r>
        <w:rPr>
          <w:rFonts w:eastAsia="Georgia" w:cs="Georgia" w:ascii="Georgia" w:hAnsi="Georgia"/>
        </w:rPr>
        <w:t xml:space="preserve"> du néon. Les collisions entre atomes de néon et d'hélium permettent un transfert d'énergie entre ces atomes, ce qui permet de maintenir une population constante d'atomes de néon dans l'état </w:t>
      </w:r>
      <m:oMath>
        <m:sSub>
          <m:sSubPr/>
          <m:e>
            <m:r>
              <m:rPr>
                <m:sty m:val="i"/>
              </m:rPr>
              <m:t>E</m:t>
            </m:r>
          </m:e>
          <m:sub>
            <m:r>
              <m:rPr>
                <m:sty m:val="p"/>
              </m:rPr>
              <m:t>2</m:t>
            </m:r>
          </m:sub>
        </m:sSub>
      </m:oMath>
      <w:r>
        <w:rPr/>
        <w:t xml:space="preserve">.</w:t>
      </w:r>
      <w:r>
        <w:rPr/>
        <w:br w:type="textWrapping"/>
      </w:r>
    </w:p>
    <w:p>
      <w:pPr>
        <w:spacing w:lineRule="auto"/>
        <w:jc w:val="center"/>
      </w:pPr>
      <w:r>
        <w:rPr/>
        <w:drawing>
          <wp:inline distB="0" distL="0" distR="0" distT="0">
            <wp:extent cx="5486400" cy="2756950"/>
            <wp:effectExtent b="0" l="0" r="0" t="0"/>
            <wp:docPr id="22" name="image-4df5b8966df872403f584e32c0a4cf7749357d78.jpg"/>
            <a:graphic>
              <a:graphicData uri="http://schemas.openxmlformats.org/drawingml/2006/picture">
                <pic:pic>
                  <pic:nvPicPr>
                    <pic:cNvPr id="22" name="image-4df5b8966df872403f584e32c0a4cf7749357d78.jpg" descr=""/>
                    <pic:cNvPicPr/>
                  </pic:nvPicPr>
                  <pic:blipFill>
                    <a:blip r:embed="rId26" cstate="print"/>
                    <a:srcRect b="0" l="0" r="0" t="0"/>
                    <a:stretch>
                      <a:fillRect/>
                    </a:stretch>
                  </pic:blipFill>
                  <pic:spPr>
                    <a:xfrm>
                      <a:off x="0" y="0"/>
                      <a:ext cx="5486400" cy="2756950"/>
                    </a:xfrm>
                    <a:prstGeom prst="rect"/>
                  </pic:spPr>
                </pic:pic>
              </a:graphicData>
            </a:graphic>
          </wp:inline>
        </w:drawing>
      </w:r>
    </w:p>
    <w:p>
      <w:pPr>
        <w:spacing w:after="220" w:lineRule="auto"/>
      </w:pPr>
      <w:r>
        <w:rPr>
          <w:rFonts w:eastAsia="Georgia" w:cs="Georgia" w:ascii="Georgia" w:hAnsi="Georgia"/>
        </w:rPr>
        <w:t xml:space="preserve">La cavité optique réalisée par deux miroirs parallèles séparés par une distance </w:t>
      </w:r>
      <m:oMath>
        <m:r>
          <m:rPr>
            <m:sty m:val="i"/>
          </m:rPr>
          <m:t>L</m:t>
        </m:r>
      </m:oMath>
      <w:r>
        <w:rPr>
          <w:rFonts w:eastAsia="Georgia" w:cs="Georgia" w:ascii="Georgia" w:hAnsi="Georgia"/>
        </w:rPr>
        <w:t xml:space="preserve"> est un résonateur à fréquences multiples pour les ondes lumineuses associées aux photons.</w:t>
      </w:r>
      <w:r>
        <w:rPr/>
        <w:br w:type="textWrapping"/>
      </w:r>
    </w:p>
    <w:p>
      <w:pPr>
        <w:spacing w:lineRule="auto"/>
        <w:jc w:val="center"/>
      </w:pPr>
      <w:r>
        <w:rPr/>
        <w:drawing>
          <wp:inline distB="0" distL="0" distR="0" distT="0">
            <wp:extent cx="5486400" cy="1415480"/>
            <wp:effectExtent b="0" l="0" r="0" t="0"/>
            <wp:docPr id="23" name="image-6b1821b4a50e853af6b681dc047700eaed065f00.jpg"/>
            <a:graphic>
              <a:graphicData uri="http://schemas.openxmlformats.org/drawingml/2006/picture">
                <pic:pic>
                  <pic:nvPicPr>
                    <pic:cNvPr id="23" name="image-6b1821b4a50e853af6b681dc047700eaed065f00.jpg" descr=""/>
                    <pic:cNvPicPr/>
                  </pic:nvPicPr>
                  <pic:blipFill>
                    <a:blip r:embed="rId27" cstate="print"/>
                    <a:srcRect b="0" l="0" r="0" t="0"/>
                    <a:stretch>
                      <a:fillRect/>
                    </a:stretch>
                  </pic:blipFill>
                  <pic:spPr>
                    <a:xfrm>
                      <a:off x="0" y="0"/>
                      <a:ext cx="5486400" cy="1415480"/>
                    </a:xfrm>
                    <a:prstGeom prst="rect"/>
                  </pic:spPr>
                </pic:pic>
              </a:graphicData>
            </a:graphic>
          </wp:inline>
        </w:drawing>
      </w:r>
    </w:p>
    <w:p>
      <w:pPr>
        <w:spacing w:after="220" w:lineRule="auto"/>
      </w:pPr>
      <w:r>
        <w:rPr>
          <w:rFonts w:eastAsia="Georgia" w:cs="Georgia" w:ascii="Georgia" w:hAnsi="Georgia"/>
        </w:rPr>
        <w:t xml:space="preserve">La cavité sélectionne les fréquences possibles </w:t>
      </w:r>
      <m:oMath>
        <m:sSub>
          <m:sSubPr/>
          <m:e>
            <m:r>
              <m:rPr>
                <m:sty m:val="i"/>
              </m:rPr>
              <m:t>ν</m:t>
            </m:r>
          </m:e>
          <m:sub>
            <m:r>
              <m:rPr>
                <m:sty m:val="i"/>
              </m:rPr>
              <m:t>p</m:t>
            </m:r>
          </m:sub>
        </m:sSub>
      </m:oMath>
      <w:r>
        <w:rPr/>
        <w:t xml:space="preserve"> telles que : </w:t>
      </w:r>
      <m:oMath>
        <m:r>
          <m:rPr>
            <m:sty m:val="i"/>
          </m:rPr>
          <m:t>L</m:t>
        </m:r>
        <m:r>
          <m:rPr>
            <m:sty m:val="p"/>
          </m:rPr>
          <m:t>=</m:t>
        </m:r>
        <m:r>
          <m:rPr>
            <m:sty m:val="i"/>
          </m:rPr>
          <m:t>p</m:t>
        </m:r>
        <m:r>
          <m:rPr>
            <m:sty m:val="i"/>
          </m:rPr>
          <m:t>λ</m:t>
        </m:r>
        <m:r>
          <m:rPr>
            <m:sty m:val="p"/>
          </m:rPr>
          <m:t>/</m:t>
        </m:r>
        <m:r>
          <m:rPr>
            <m:sty m:val="p"/>
          </m:rPr>
          <m:t>2</m:t>
        </m:r>
      </m:oMath>
      <w:r>
        <w:rPr/>
        <w:t xml:space="preserve">, soit </w:t>
      </w:r>
      <m:oMath>
        <m:sSub>
          <m:sSubPr/>
          <m:e>
            <m:r>
              <m:rPr>
                <m:sty m:val="i"/>
              </m:rPr>
              <m:t>ν</m:t>
            </m:r>
          </m:e>
          <m:sub>
            <m:r>
              <m:rPr>
                <m:sty m:val="i"/>
              </m:rPr>
              <m:t>p</m:t>
            </m:r>
          </m:sub>
        </m:sSub>
        <m:r>
          <m:rPr>
            <m:sty m:val="p"/>
          </m:rPr>
          <m:t>=</m:t>
        </m:r>
        <m:r>
          <m:rPr>
            <m:sty m:val="i"/>
          </m:rPr>
          <m:t>p</m:t>
        </m:r>
        <m:f>
          <m:fPr>
            <m:ctrlPr>
              <w:rPr>
                <w:rFonts w:ascii="Cambria Math" w:hAnsi="Cambria Math"/>
              </w:rPr>
            </m:ctrlPr>
          </m:fPr>
          <m:num>
            <m:r>
              <m:rPr>
                <m:sty m:val="i"/>
              </m:rPr>
              <m:t>c</m:t>
            </m:r>
          </m:num>
          <m:den>
            <m:r>
              <m:rPr>
                <m:sty m:val="p"/>
              </m:rPr>
              <m:t>2</m:t>
            </m:r>
            <m:r>
              <m:rPr>
                <m:sty m:val="i"/>
              </m:rPr>
              <m:t>L</m:t>
            </m:r>
          </m:den>
        </m:f>
      </m:oMath>
      <w:r>
        <w:rPr/>
        <w:t xml:space="preserve"> avec </w:t>
      </w:r>
      <m:oMath>
        <m:r>
          <m:rPr>
            <m:sty m:val="i"/>
          </m:rPr>
          <m:t>c</m:t>
        </m:r>
        <m:r>
          <m:rPr>
            <m:sty m:val="p"/>
          </m:rPr>
          <m:t>=</m:t>
        </m:r>
        <m:r>
          <m:rPr>
            <m:sty m:val="p"/>
          </m:rPr>
          <m:t>2</m:t>
        </m:r>
        <m:r>
          <m:rPr>
            <m:sty m:val="p"/>
          </m:rPr>
          <m:t>,</m:t>
        </m:r>
        <m:r>
          <m:rPr>
            <m:sty m:val="p"/>
          </m:rPr>
          <m:t>998</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vitesse de la lumière.</w:t>
      </w:r>
      <w:r>
        <w:rPr/>
        <w:br w:type="textWrapping"/>
      </w:r>
    </w:p>
    <w:p>
      <w:pPr>
        <w:spacing w:lineRule="auto"/>
        <w:jc w:val="center"/>
      </w:pPr>
      <w:r>
        <w:rPr/>
        <w:drawing>
          <wp:inline distB="0" distL="0" distR="0" distT="0">
            <wp:extent cx="5486400" cy="2569205"/>
            <wp:effectExtent b="0" l="0" r="0" t="0"/>
            <wp:docPr id="24" name="image-a850988c81ef9f749faa6315faee6022bf16da54.jpg"/>
            <a:graphic>
              <a:graphicData uri="http://schemas.openxmlformats.org/drawingml/2006/picture">
                <pic:pic>
                  <pic:nvPicPr>
                    <pic:cNvPr id="24" name="image-a850988c81ef9f749faa6315faee6022bf16da54.jpg" descr=""/>
                    <pic:cNvPicPr/>
                  </pic:nvPicPr>
                  <pic:blipFill>
                    <a:blip r:embed="rId28" cstate="print"/>
                    <a:srcRect b="0" l="0" r="0" t="0"/>
                    <a:stretch>
                      <a:fillRect/>
                    </a:stretch>
                  </pic:blipFill>
                  <pic:spPr>
                    <a:xfrm>
                      <a:off x="0" y="0"/>
                      <a:ext cx="5486400" cy="256920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896949"/>
            <wp:effectExtent b="0" l="0" r="0" t="0"/>
            <wp:docPr id="25" name="image-244685233c76722405cae30c898c4c43f8679cfb.jpg"/>
            <a:graphic>
              <a:graphicData uri="http://schemas.openxmlformats.org/drawingml/2006/picture">
                <pic:pic>
                  <pic:nvPicPr>
                    <pic:cNvPr id="25" name="image-244685233c76722405cae30c898c4c43f8679cfb.jpg" descr=""/>
                    <pic:cNvPicPr/>
                  </pic:nvPicPr>
                  <pic:blipFill>
                    <a:blip r:embed="rId29" cstate="print"/>
                    <a:srcRect b="0" l="0" r="0" t="0"/>
                    <a:stretch>
                      <a:fillRect/>
                    </a:stretch>
                  </pic:blipFill>
                  <pic:spPr>
                    <a:xfrm>
                      <a:off x="0" y="0"/>
                      <a:ext cx="5486400" cy="2896949"/>
                    </a:xfrm>
                    <a:prstGeom prst="rect"/>
                  </pic:spPr>
                </pic:pic>
              </a:graphicData>
            </a:graphic>
          </wp:inline>
        </w:drawing>
      </w:r>
    </w:p>
    <w:p>
      <w:pPr>
        <w:spacing w:after="220" w:lineRule="auto"/>
      </w:pPr>
      <w:r>
        <w:rPr>
          <w:rFonts w:eastAsia="Georgia" w:cs="Georgia" w:ascii="Georgia" w:hAnsi="Georgia"/>
        </w:rPr>
        <w:t xml:space="preserve">La sélection des fréquences se fait par le profil de raie d'émission des atomes. On obtient ainsi une source quasi monochromatique de lumière (plusieurs radiations de fréquences voisines peuvent coexister dans le faisceau).</w:t>
      </w:r>
      <w:r>
        <w:rPr/>
        <w:br w:type="textWrapping"/>
      </w:r>
    </w:p>
    <w:p>
      <w:pPr>
        <w:spacing w:lineRule="auto"/>
        <w:jc w:val="center"/>
      </w:pPr>
      <w:r>
        <w:rPr/>
        <w:drawing>
          <wp:inline distB="0" distL="0" distR="0" distT="0">
            <wp:extent cx="5486400" cy="2843905"/>
            <wp:effectExtent b="0" l="0" r="0" t="0"/>
            <wp:docPr id="26" name="image-48324f63f3e45fbafee3dfa1f1df872b7f6e5028.jpg"/>
            <a:graphic>
              <a:graphicData uri="http://schemas.openxmlformats.org/drawingml/2006/picture">
                <pic:pic>
                  <pic:nvPicPr>
                    <pic:cNvPr id="26" name="image-48324f63f3e45fbafee3dfa1f1df872b7f6e5028.jpg" descr=""/>
                    <pic:cNvPicPr/>
                  </pic:nvPicPr>
                  <pic:blipFill>
                    <a:blip r:embed="rId30" cstate="print"/>
                    <a:srcRect b="0" l="0" r="0" t="0"/>
                    <a:stretch>
                      <a:fillRect/>
                    </a:stretch>
                  </pic:blipFill>
                  <pic:spPr>
                    <a:xfrm>
                      <a:off x="0" y="0"/>
                      <a:ext cx="5486400" cy="284390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d7677cf683cf679826657f854f8e0d53e584471.jpg" TargetMode="Internal"/><Relationship Id="rId6" Type="http://schemas.openxmlformats.org/officeDocument/2006/relationships/image" Target="media/image-6461546d7d994d03e0e004be893e173ec34153e0.jpg" TargetMode="Internal"/><Relationship Id="rId7" Type="http://schemas.openxmlformats.org/officeDocument/2006/relationships/image" Target="media/image-97c90ca2d38735bf908623d4a5f3c29db64fc2cf.jpg" TargetMode="Internal"/><Relationship Id="rId8" Type="http://schemas.openxmlformats.org/officeDocument/2006/relationships/image" Target="media/image-8e0a8bcc27b950b305f813d22c545cd8f1a92882.jpg" TargetMode="Internal"/><Relationship Id="rId9" Type="http://schemas.openxmlformats.org/officeDocument/2006/relationships/image" Target="media/image-bbd8c7ac40ce527a64623aad5e32feecd8dc87ba.jpg" TargetMode="Internal"/><Relationship Id="rId10" Type="http://schemas.openxmlformats.org/officeDocument/2006/relationships/image" Target="media/image-dec13cbef131f724d3671f0745eacbf5e8a9a687.jpg" TargetMode="Internal"/><Relationship Id="rId11" Type="http://schemas.openxmlformats.org/officeDocument/2006/relationships/image" Target="media/image-70ce1f70fc19846bcf94aa0487bcd884b02cb091.jpg" TargetMode="Internal"/><Relationship Id="rId12" Type="http://schemas.openxmlformats.org/officeDocument/2006/relationships/image" Target="media/image-5af7902e898a0bd2c2a8f11b7ce97247b20c4ce0.jpg" TargetMode="Internal"/><Relationship Id="rId13" Type="http://schemas.openxmlformats.org/officeDocument/2006/relationships/image" Target="media/image-e392bc94af235724881e2fdd4b3e062c758e2e24.jpg" TargetMode="Internal"/><Relationship Id="rId14" Type="http://schemas.openxmlformats.org/officeDocument/2006/relationships/image" Target="media/image-d51e0e0639ab8e1e57fcae16a4595f601db45142.jpg" TargetMode="Internal"/><Relationship Id="rId15" Type="http://schemas.openxmlformats.org/officeDocument/2006/relationships/image" Target="media/image-27eb200e45f3879e8c9254abaf966e3d6e31d07f.jpg" TargetMode="Internal"/><Relationship Id="rId16" Type="http://schemas.openxmlformats.org/officeDocument/2006/relationships/image" Target="media/image-15d320c935b59e9819e5a462f31fd9b71ecc0f1f.jpg" TargetMode="Internal"/><Relationship Id="rId17" Type="http://schemas.openxmlformats.org/officeDocument/2006/relationships/image" Target="media/image-8814cd8f55df6cc58f4f30697bc14648a3ab3633.jpg" TargetMode="Internal"/><Relationship Id="rId18" Type="http://schemas.openxmlformats.org/officeDocument/2006/relationships/image" Target="media/image-81a43bf6039994d23e649edc810b47971a99a3cd.jpg" TargetMode="Internal"/><Relationship Id="rId19" Type="http://schemas.openxmlformats.org/officeDocument/2006/relationships/image" Target="media/image-d12eb9c939a6710c641f55269ade529ad9eb2c6d.jpg" TargetMode="Internal"/><Relationship Id="rId20" Type="http://schemas.openxmlformats.org/officeDocument/2006/relationships/image" Target="media/image-916a5361e6e03d68268eac5d4fb53426c169090b.jpg" TargetMode="Internal"/><Relationship Id="rId21" Type="http://schemas.openxmlformats.org/officeDocument/2006/relationships/image" Target="media/image-f081b233959ce039d245eb219c477e19de836cec.jpg" TargetMode="Internal"/><Relationship Id="rId22" Type="http://schemas.openxmlformats.org/officeDocument/2006/relationships/image" Target="media/image-e9bc3f7a1af6e171b0247bd285a8b7a4fd4f0de0.jpg" TargetMode="Internal"/><Relationship Id="rId23" Type="http://schemas.openxmlformats.org/officeDocument/2006/relationships/image" Target="media/image-46337c341f9291dfeff25a9decc8aa9bb55557b2.jpg" TargetMode="Internal"/><Relationship Id="rId24" Type="http://schemas.openxmlformats.org/officeDocument/2006/relationships/image" Target="media/image-ef0fd25e0a002dcc82900de84cd7127cce7d97cd.jpg" TargetMode="Internal"/><Relationship Id="rId25" Type="http://schemas.openxmlformats.org/officeDocument/2006/relationships/image" Target="media/image-9ec98f0d3085696c3647d7effa4e7046bc97bf23.jpg" TargetMode="Internal"/><Relationship Id="rId26" Type="http://schemas.openxmlformats.org/officeDocument/2006/relationships/image" Target="media/image-4df5b8966df872403f584e32c0a4cf7749357d78.jpg" TargetMode="Internal"/><Relationship Id="rId27" Type="http://schemas.openxmlformats.org/officeDocument/2006/relationships/image" Target="media/image-6b1821b4a50e853af6b681dc047700eaed065f00.jpg" TargetMode="Internal"/><Relationship Id="rId28" Type="http://schemas.openxmlformats.org/officeDocument/2006/relationships/image" Target="media/image-a850988c81ef9f749faa6315faee6022bf16da54.jpg" TargetMode="Internal"/><Relationship Id="rId29" Type="http://schemas.openxmlformats.org/officeDocument/2006/relationships/image" Target="media/image-244685233c76722405cae30c898c4c43f8679cfb.jpg" TargetMode="Internal"/><Relationship Id="rId30" Type="http://schemas.openxmlformats.org/officeDocument/2006/relationships/image" Target="media/image-48324f63f3e45fbafee3dfa1f1df872b7f6e5028.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2025-09-04T21:40:58.342Z</dcterms:created>
  <dcterms:modified xsi:type="dcterms:W3CDTF">2025-09-04T21:40:58.342Z</dcterms:modified>
</cp:coreProperties>
</file>