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Un robot clarinettiste</w:t>
      </w:r>
    </w:p>
    <w:p>
      <w:pPr>
        <w:spacing w:after="220" w:lineRule="auto"/>
      </w:pPr>
      <w:r>
        <w:rPr>
          <w:rFonts w:eastAsia="Georgia" w:cs="Georgia" w:ascii="Georgia" w:hAnsi="Georgia"/>
        </w:rPr>
        <w:t xml:space="preserve">Toutes les réponses doivent être dûment justifiées. Les résultats doivent être encadrés. La qualité de la rédaction, la précision des raisonnements et le soin apporté à la copie sont des éléments d'évaluation de la composition du candidat.</w:t>
      </w:r>
    </w:p>
    <w:p>
      <w:pPr>
        <w:spacing w:after="220" w:lineRule="auto"/>
      </w:pPr>
      <w:r>
        <w:rPr>
          <w:rFonts w:eastAsia="Georgia" w:cs="Georgia" w:ascii="Georgia" w:hAnsi="Georgia"/>
        </w:rPr>
        <w:t xml:space="preserve">La résolution d'une question repérée par une barre dans la marge de gauche, demande une prise d'initiative du candidat. La démarche de résolution proposée importe autant que la conclusion. Toute piste de résolution pertinente, même si elle n'aboutit pas, est valorisée dans la notation.</w:t>
      </w:r>
    </w:p>
    <w:p>
      <w:pPr>
        <w:spacing w:after="220" w:lineRule="auto"/>
      </w:pPr>
      <w:r>
        <w:rPr>
          <w:rFonts w:eastAsia="Georgia" w:cs="Georgia" w:ascii="Georgia" w:hAnsi="Georgia"/>
        </w:rPr>
        <w:t xml:space="preserve">Un ensemble de données et un formulaire utiles à la résolution du problème figurent en fin d'énoncé.</w:t>
      </w:r>
      <w:r>
        <w:rPr/>
        <w:br w:type="textWrapping"/>
      </w:r>
      <w:r>
        <w:rPr>
          <w:rFonts w:eastAsia="Georgia" w:cs="Georgia" w:ascii="Georgia" w:hAnsi="Georgia"/>
        </w:rPr>
        <w:t xml:space="preserve">En novembre 2007, le laboratoire d'acoustique musicale de l'Université de Nouvelle-Galles du Sud (University of New South Wales, UNSW) situé à Sydney, s'est associé avec NICTA, un institut de recherche en télécommunication, pour construire un robot clarinettiste.</w:t>
      </w:r>
    </w:p>
    <w:p>
      <w:pPr>
        <w:spacing w:after="220" w:lineRule="auto"/>
      </w:pPr>
      <w:r>
        <w:rPr>
          <w:rFonts w:eastAsia="Georgia" w:cs="Georgia" w:ascii="Georgia" w:hAnsi="Georgia"/>
        </w:rPr>
        <w:t xml:space="preserve">La fabrication d'un robot jouant d'un instrument de musique est un véritable défi lorsque l'on sait qu'un musicien met plusieurs années à maîtriser parfaitement son instrument.</w:t>
      </w:r>
    </w:p>
    <w:p>
      <w:pPr>
        <w:spacing w:after="220" w:lineRule="auto"/>
      </w:pPr>
      <w:r>
        <w:rPr>
          <w:rFonts w:eastAsia="Georgia" w:cs="Georgia" w:ascii="Georgia" w:hAnsi="Georgia"/>
        </w:rPr>
        <w:t xml:space="preserve">Ce projet a été entrepris avec plusieurs objectifs :</w:t>
      </w:r>
    </w:p>
    <w:p>
      <w:pPr>
        <w:numPr>
          <w:ilvl w:val="0"/>
          <w:numId w:val="1"/>
        </w:numPr>
        <w:spacing w:lineRule="auto"/>
      </w:pPr>
      <w:r>
        <w:rPr>
          <w:rFonts w:eastAsia="Georgia" w:cs="Georgia" w:ascii="Georgia" w:hAnsi="Georgia"/>
        </w:rPr>
        <w:t xml:space="preserve">Participer à un concours international de robots jouant d'un instrument non modifié : l'« Artemis Orchestra Competition ». Cette participation s'est conclue par la victoire du robot clarinettiste en juin 2008. Il était en concurrence avec un robot guitariste et un robot violoniste.</w:t>
      </w:r>
    </w:p>
    <w:p>
      <w:pPr>
        <w:numPr>
          <w:ilvl w:val="0"/>
          <w:numId w:val="1"/>
        </w:numPr>
        <w:spacing w:lineRule="auto"/>
      </w:pPr>
      <w:r>
        <w:rPr>
          <w:rFonts w:eastAsia="Georgia" w:cs="Georgia" w:ascii="Georgia" w:hAnsi="Georgia"/>
        </w:rPr>
        <w:t xml:space="preserve">Intéresser de jeunes étudiants aux télécommunications par des présentations du robot dans les écoles.</w:t>
      </w:r>
    </w:p>
    <w:p>
      <w:pPr>
        <w:numPr>
          <w:ilvl w:val="0"/>
          <w:numId w:val="1"/>
        </w:numPr>
        <w:spacing w:lineRule="auto"/>
      </w:pPr>
      <w:r>
        <w:rPr>
          <w:rFonts w:eastAsia="Georgia" w:cs="Georgia" w:ascii="Georgia" w:hAnsi="Georgia"/>
        </w:rPr>
        <w:t xml:space="preserve">Pour le laboratoire d'acoustique musicale, ce robot représente un outil expérimental pour étudier la clarinette, le clarinettiste ainsi que leurs interactions mutuelles. Ce type d'étude permet l'élaboration de conseils techniques pour l'enseignement de la clarinette.</w:t>
      </w:r>
    </w:p>
    <w:p>
      <w:pPr>
        <w:spacing w:after="220" w:lineRule="auto"/>
      </w:pPr>
      <w:r>
        <w:rPr>
          <w:rFonts w:eastAsia="Georgia" w:cs="Georgia" w:ascii="Georgia" w:hAnsi="Georgia"/>
        </w:rPr>
        <w:t xml:space="preserve">Ce robot, tout comme un vrai musicien, possède une «bouche» avec une pompe pour poumons ainsi qu'une lèvre et une langue mécaniques. Ses «doigts » sont des pistons et son «cerveau » est sous forme d'électronique embarquée.</w:t>
      </w:r>
    </w:p>
    <w:p>
      <w:pPr>
        <w:spacing w:lineRule="auto"/>
        <w:jc w:val="center"/>
      </w:pPr>
      <w:r>
        <w:rPr/>
        <w:drawing>
          <wp:inline distB="0" distL="0" distR="0" distT="0">
            <wp:extent cx="5486400" cy="3645408"/>
            <wp:effectExtent b="0" l="0" r="0" t="0"/>
            <wp:docPr id="1" name="image-f2a7574d4b2539e9faca21d8dadc68669c3c4003.jpg"/>
            <a:graphic>
              <a:graphicData uri="http://schemas.openxmlformats.org/drawingml/2006/picture">
                <pic:pic>
                  <pic:nvPicPr>
                    <pic:cNvPr id="1" name="image-f2a7574d4b2539e9faca21d8dadc68669c3c4003.jpg" descr=""/>
                    <pic:cNvPicPr/>
                  </pic:nvPicPr>
                  <pic:blipFill>
                    <a:blip r:embed="rId5" cstate="print"/>
                    <a:srcRect b="0" l="0" r="0" t="0"/>
                    <a:stretch>
                      <a:fillRect/>
                    </a:stretch>
                  </pic:blipFill>
                  <pic:spPr>
                    <a:xfrm>
                      <a:off x="0" y="0"/>
                      <a:ext cx="5486400" cy="3645408"/>
                    </a:xfrm>
                    <a:prstGeom prst="rect"/>
                  </pic:spPr>
                </pic:pic>
              </a:graphicData>
            </a:graphic>
          </wp:inline>
        </w:drawing>
      </w:r>
    </w:p>
    <w:p>
      <w:pPr>
        <w:spacing w:lineRule="auto"/>
      </w:pPr>
      <w:r>
        <w:rPr>
          <w:rFonts w:eastAsia="Georgia" w:cs="Georgia" w:ascii="Georgia" w:hAnsi="Georgia"/>
        </w:rPr>
        <w:t xml:space="preserve">Figure 1 Robot clarinettiste construit par le laboratoire d'acoustique musicale de l'UNSW et par l'institut de recherche en télécommunication NICTA.</w:t>
      </w:r>
    </w:p>
    <w:p>
      <w:pPr>
        <w:spacing w:after="220" w:lineRule="auto"/>
      </w:pPr>
      <w:r>
        <w:rPr>
          <w:rFonts w:eastAsia="Georgia" w:cs="Georgia" w:ascii="Georgia" w:hAnsi="Georgia"/>
        </w:rPr>
        <w:t xml:space="preserve">Ce sujet propose l'étude de différents éléments constitutifs du robot, puis, dans un second temps, l'acquisition et l'analyse du son produit par la clarinette.</w:t>
      </w:r>
    </w:p>
    <w:p>
      <w:pPr>
        <w:spacing w:line="271" w:before="330" w:lineRule="auto"/>
      </w:pPr>
      <w:r>
        <w:rPr>
          <w:b/>
          <w:sz w:val="42"/>
        </w:rPr>
        <w:t xml:space="preserve">I Le robot</w:t>
      </w:r>
    </w:p>
    <w:p>
      <w:pPr>
        <w:spacing w:lineRule="auto"/>
        <w:jc w:val="center"/>
      </w:pPr>
      <w:r>
        <w:rPr/>
        <w:drawing>
          <wp:inline distB="0" distL="0" distR="0" distT="0">
            <wp:extent cx="5486400" cy="2216922"/>
            <wp:effectExtent b="0" l="0" r="0" t="0"/>
            <wp:docPr id="2" name="image-4fcc8772fc139c5ed84a818f1f7c4af92d2d0e6c.jpg"/>
            <a:graphic>
              <a:graphicData uri="http://schemas.openxmlformats.org/drawingml/2006/picture">
                <pic:pic>
                  <pic:nvPicPr>
                    <pic:cNvPr id="2" name="image-4fcc8772fc139c5ed84a818f1f7c4af92d2d0e6c.jpg" descr=""/>
                    <pic:cNvPicPr/>
                  </pic:nvPicPr>
                  <pic:blipFill>
                    <a:blip r:embed="rId6" cstate="print"/>
                    <a:srcRect b="0" l="0" r="0" t="0"/>
                    <a:stretch>
                      <a:fillRect/>
                    </a:stretch>
                  </pic:blipFill>
                  <pic:spPr>
                    <a:xfrm>
                      <a:off x="0" y="0"/>
                      <a:ext cx="5486400" cy="2216922"/>
                    </a:xfrm>
                    <a:prstGeom prst="rect"/>
                  </pic:spPr>
                </pic:pic>
              </a:graphicData>
            </a:graphic>
          </wp:inline>
        </w:drawing>
      </w:r>
    </w:p>
    <w:p>
      <w:pPr>
        <w:spacing w:lineRule="auto"/>
      </w:pPr>
      <w:r>
        <w:rPr>
          <w:rFonts w:eastAsia="Georgia" w:cs="Georgia" w:ascii="Georgia" w:hAnsi="Georgia"/>
        </w:rPr>
        <w:t xml:space="preserve">Figure 2 Schéma de principe du robot clarinettiste, extrait de l'article d'André Almeida, «Clarinet parameter cartography : automatic mapping of the sound produced as a function of blowing pressure and reed force », Proceedings of the International Symposium on Music Acoustics, août 2010.</w:t>
      </w:r>
    </w:p>
    <w:p>
      <w:pPr>
        <w:spacing w:line="271" w:before="330" w:lineRule="auto"/>
      </w:pPr>
      <w:r>
        <w:rPr>
          <w:b/>
          <w:sz w:val="42"/>
        </w:rPr>
        <w:t xml:space="preserve">I.A - Les doigts</w:t>
      </w:r>
    </w:p>
    <w:p>
      <w:pPr>
        <w:spacing w:after="220" w:lineRule="auto"/>
      </w:pPr>
      <w:r>
        <w:rPr>
          <w:rFonts w:eastAsia="Georgia" w:cs="Georgia" w:ascii="Georgia" w:hAnsi="Georgia"/>
        </w:rPr>
        <w:t xml:space="preserve">Les doigts (désignés par «Brass fingers» sur la figure 2) ont la forme de pistons. Chaque piston est poussé par un ressort ou tiré par un câble relié à un cylindre en acier, qui subit l'effet d'un aimant permanent et d'un solénoïde. Selon le sens du courant traversant le solénoïde, celui-ci peut soit repousser, soit attirer le cylindre en acier (figure 3).</w:t>
      </w:r>
    </w:p>
    <w:p>
      <w:pPr>
        <w:spacing w:after="220" w:lineRule="auto"/>
      </w:pPr>
      <w:r>
        <w:rPr>
          <w:rFonts w:eastAsia="Georgia" w:cs="Georgia" w:ascii="Georgia" w:hAnsi="Georgia"/>
        </w:rPr>
        <w:t xml:space="preserve">Le système {cylindre en acier - ressort - câble - piston} (Figure 3) est bloqué soit par la clarinette, soit par l'aimant. Il en résulte l'existence de deux positions stables activées par le solénoïde, permettant ainsi d'ouvrir ou de fermer les trous de la clarinette.</w:t>
      </w:r>
    </w:p>
    <w:p>
      <w:pPr>
        <w:spacing w:lineRule="auto"/>
        <w:jc w:val="center"/>
      </w:pPr>
      <w:r>
        <w:rPr/>
        <w:drawing>
          <wp:inline distB="0" distL="0" distR="0" distT="0">
            <wp:extent cx="5486400" cy="3211468"/>
            <wp:effectExtent b="0" l="0" r="0" t="0"/>
            <wp:docPr id="3" name="image-3b16bbfaabd312ea73f55630f673af3d62f6ee28.jpg"/>
            <a:graphic>
              <a:graphicData uri="http://schemas.openxmlformats.org/drawingml/2006/picture">
                <pic:pic>
                  <pic:nvPicPr>
                    <pic:cNvPr id="3" name="image-3b16bbfaabd312ea73f55630f673af3d62f6ee28.jpg" descr=""/>
                    <pic:cNvPicPr/>
                  </pic:nvPicPr>
                  <pic:blipFill>
                    <a:blip r:embed="rId7" cstate="print"/>
                    <a:srcRect b="0" l="0" r="0" t="0"/>
                    <a:stretch>
                      <a:fillRect/>
                    </a:stretch>
                  </pic:blipFill>
                  <pic:spPr>
                    <a:xfrm>
                      <a:off x="0" y="0"/>
                      <a:ext cx="5486400" cy="3211468"/>
                    </a:xfrm>
                    <a:prstGeom prst="rect"/>
                  </pic:spPr>
                </pic:pic>
              </a:graphicData>
            </a:graphic>
          </wp:inline>
        </w:drawing>
      </w:r>
    </w:p>
    <w:p>
      <w:pPr>
        <w:spacing w:lineRule="auto"/>
      </w:pPr>
      <w:r>
        <w:rPr>
          <w:rFonts w:eastAsia="Georgia" w:cs="Georgia" w:ascii="Georgia" w:hAnsi="Georgia"/>
        </w:rPr>
        <w:t xml:space="preserve">Figure 3 Système {cylindre en acier - ressort - câble - piston} utilisé pour les doigts du robot clarinettiste.</w:t>
      </w:r>
    </w:p>
    <w:p>
      <w:pPr>
        <w:spacing w:line="271" w:before="330" w:lineRule="auto"/>
      </w:pPr>
      <w:r>
        <w:rPr>
          <w:b/>
          <w:sz w:val="42"/>
        </w:rPr>
        <w:t xml:space="preserve">I.A.1) Choix des ressorts</w:t>
      </w:r>
    </w:p>
    <w:p>
      <w:pPr>
        <w:spacing w:after="220" w:lineRule="auto"/>
      </w:pPr>
      <w:r>
        <w:rPr/>
        <w:t xml:space="preserve">Pour la fabrication du robot, on utilise trois types de ressorts, tous de longueur initiale de 38 mm : les ressorts C 634 de raideur </w:t>
      </w:r>
      <m:oMath>
        <m:r>
          <m:rPr>
            <m:sty m:val="p"/>
          </m:rPr>
          <m:t>0</m:t>
        </m:r>
        <m:r>
          <m:rPr>
            <m:sty m:val="p"/>
          </m:rPr>
          <m:t>,</m:t>
        </m:r>
        <m:r>
          <m:rPr>
            <m:sty m:val="p"/>
          </m:rPr>
          <m:t>4</m:t>
        </m:r>
        <m:r>
          <m:rPr>
            <m:nor/>
          </m:rPr>
          <m:t xml:space="preserve"> </m:t>
        </m:r>
        <m:r>
          <m:rPr>
            <m:sty m:val="p"/>
          </m:rPr>
          <m:t>N</m:t>
        </m:r>
        <m:r>
          <m:rPr>
            <m:sty m:val="p"/>
          </m:rPr>
          <m:t>⋅</m:t>
        </m:r>
        <m:sSup>
          <m:sSupPr/>
          <m:e>
            <m:r>
              <m:rPr>
                <m:nor/>
              </m:rPr>
              <m:t xml:space="preserve"> </m:t>
            </m:r>
            <m:r>
              <m:rPr>
                <m:sty m:val="p"/>
              </m:rPr>
              <m:t>mm</m:t>
            </m:r>
          </m:e>
          <m:sup>
            <m:r>
              <m:rPr>
                <m:sty m:val="p"/>
              </m:rPr>
              <m:t>−</m:t>
            </m:r>
            <m:r>
              <m:rPr>
                <m:sty m:val="p"/>
              </m:rPr>
              <m:t>1</m:t>
            </m:r>
          </m:sup>
        </m:sSup>
      </m:oMath>
      <w:r>
        <w:rPr/>
        <w:t xml:space="preserve">; C 632 de raideur </w:t>
      </w:r>
      <m:oMath>
        <m:r>
          <m:rPr>
            <m:sty m:val="p"/>
          </m:rPr>
          <m:t>0.3</m:t>
        </m:r>
        <m:r>
          <m:rPr>
            <m:nor/>
          </m:rPr>
          <m:t xml:space="preserve"> </m:t>
        </m:r>
        <m:r>
          <m:rPr>
            <m:sty m:val="p"/>
          </m:rPr>
          <m:t>N</m:t>
        </m:r>
        <m:r>
          <m:rPr>
            <m:sty m:val="p"/>
          </m:rPr>
          <m:t>⋅</m:t>
        </m:r>
        <m:sSup>
          <m:sSupPr/>
          <m:e>
            <m:r>
              <m:rPr>
                <m:nor/>
              </m:rPr>
              <m:t xml:space="preserve"> </m:t>
            </m:r>
            <m:r>
              <m:rPr>
                <m:sty m:val="p"/>
              </m:rPr>
              <m:t>mm</m:t>
            </m:r>
          </m:e>
          <m:sup>
            <m:r>
              <m:rPr>
                <m:sty m:val="p"/>
              </m:rPr>
              <m:t>−</m:t>
            </m:r>
            <m:r>
              <m:rPr>
                <m:sty m:val="p"/>
              </m:rPr>
              <m:t>1</m:t>
            </m:r>
          </m:sup>
        </m:sSup>
      </m:oMath>
      <w:r>
        <w:rPr/>
        <w:t xml:space="preserve"> et C 911 de raideur </w:t>
      </w:r>
      <m:oMath>
        <m:r>
          <m:rPr>
            <m:sty m:val="p"/>
          </m:rPr>
          <m:t>0.5</m:t>
        </m:r>
        <m:r>
          <m:rPr>
            <m:nor/>
          </m:rPr>
          <m:t xml:space="preserve"> </m:t>
        </m:r>
        <m:r>
          <m:rPr>
            <m:sty m:val="p"/>
          </m:rPr>
          <m:t>N</m:t>
        </m:r>
        <m:r>
          <m:rPr>
            <m:sty m:val="p"/>
          </m:rPr>
          <m:t>⋅</m:t>
        </m:r>
        <m:sSup>
          <m:sSupPr/>
          <m:e>
            <m:r>
              <m:rPr>
                <m:nor/>
              </m:rPr>
              <m:t xml:space="preserve"> </m:t>
            </m:r>
            <m:r>
              <m:rPr>
                <m:sty m:val="p"/>
              </m:rPr>
              <m:t>mm</m:t>
            </m:r>
          </m:e>
          <m:sup>
            <m:r>
              <m:rPr>
                <m:sty m:val="p"/>
              </m:rPr>
              <m:t>−</m:t>
            </m:r>
            <m:r>
              <m:rPr>
                <m:sty m:val="p"/>
              </m:rPr>
              <m:t>1</m:t>
            </m:r>
          </m:sup>
        </m:sSup>
      </m:oMath>
      <w:r>
        <w:rPr>
          <w:rFonts w:eastAsia="Georgia" w:cs="Georgia" w:ascii="Georgia" w:hAnsi="Georgia"/>
        </w:rPr>
        <w:t xml:space="preserve">. Afin de boucher correctement chaque trou, la longueur du ressort doit être ajustée : le ressort doit donc être coupé à la longueur souhaitée.</w:t>
      </w:r>
    </w:p>
    <w:p>
      <w:pPr>
        <w:spacing w:after="220" w:lineRule="auto"/>
      </w:pPr>
      <w:r>
        <w:rPr>
          <w:rFonts w:eastAsia="Georgia" w:cs="Georgia" w:ascii="Georgia" w:hAnsi="Georgia"/>
        </w:rPr>
        <w:t xml:space="preserve">Pour être efficaces, les doigts doivent exercer une force de 5 N sur la clarinette. Lorsque qu'un doigt est activé pour boucher le trou, le cylindre en acier subit une action résiduelle de l'aimant permanent. La force correspondante a une valeur égale à </w:t>
      </w:r>
      <m:oMath>
        <m:r>
          <m:rPr>
            <m:sty m:val="p"/>
          </m:rPr>
          <m:t>1</m:t>
        </m:r>
        <m:r>
          <m:rPr>
            <m:sty m:val="p"/>
          </m:rPr>
          <m:t>,</m:t>
        </m:r>
        <m:r>
          <m:rPr>
            <m:sty m:val="p"/>
          </m:rPr>
          <m:t>4</m:t>
        </m:r>
        <m:r>
          <m:rPr>
            <m:nor/>
          </m:rPr>
          <m:t xml:space="preserve"> </m:t>
        </m:r>
        <m:r>
          <m:rPr>
            <m:sty m:val="p"/>
          </m:rPr>
          <m:t>N</m:t>
        </m:r>
      </m:oMath>
      <w:r>
        <w:rPr/>
        <w:t xml:space="preserve"> (voir figure 3 ).</w:t>
      </w:r>
    </w:p>
    <w:p>
      <w:pPr>
        <w:spacing w:after="220" w:lineRule="auto"/>
      </w:pPr>
      <w:r>
        <w:rPr>
          <w:rFonts w:eastAsia="Georgia" w:cs="Georgia" w:ascii="Georgia" w:hAnsi="Georgia"/>
        </w:rPr>
        <w:t xml:space="preserve">Q 1. Calculer la valeur de la force que le ressort doit exercer sur le piston dans la configuration «trou bouché </w:t>
      </w:r>
      <m:oMath>
        <m:r>
          <m:rPr>
            <m:sty m:val="p"/>
          </m:rPr>
          <m:t>»</m:t>
        </m:r>
      </m:oMath>
      <w:r>
        <w:rPr>
          <w:rFonts w:eastAsia="Georgia" w:cs="Georgia" w:ascii="Georgia" w:hAnsi="Georgia"/>
        </w:rPr>
        <w:t xml:space="preserve">. Justifier la réponse par un raisonnement portant sur un système mécanique bien identifié.</w:t>
      </w:r>
    </w:p>
    <w:p>
      <w:pPr>
        <w:spacing w:after="220" w:lineRule="auto"/>
      </w:pPr>
      <w:r>
        <w:rPr>
          <w:rFonts w:eastAsia="Georgia" w:cs="Georgia" w:ascii="Georgia" w:hAnsi="Georgia"/>
        </w:rPr>
        <w:t xml:space="preserve">Q 2. Rappeler l'expression de la force exercée par un ressort sur un système attaché à son extrémité en prenant soin de définir toutes les grandeurs utiles et en utilisant un vecteur unitaire adapté. Compléter la réponse par un schéma explicatif correctement légendé.</w:t>
      </w:r>
    </w:p>
    <w:p>
      <w:pPr>
        <w:spacing w:after="220" w:lineRule="auto"/>
      </w:pPr>
      <w:r>
        <w:rPr>
          <w:rFonts w:eastAsia="Georgia" w:cs="Georgia" w:ascii="Georgia" w:hAnsi="Georgia"/>
        </w:rPr>
        <w:t xml:space="preserve">Q 3. On considère l'association de deux ressorts mis bout à bout (voir figure 4). On note </w:t>
      </w:r>
      <m:oMath>
        <m:sSub>
          <m:sSubPr/>
          <m:e>
            <m:r>
              <m:rPr>
                <m:sty m:val="i"/>
              </m:rPr>
              <m:t>l</m:t>
            </m:r>
          </m:e>
          <m:sub>
            <m:r>
              <m:rPr>
                <m:sty m:val="p"/>
              </m:rPr>
              <m:t>01</m:t>
            </m:r>
          </m:sub>
        </m:sSub>
      </m:oMath>
      <w:r>
        <w:rPr/>
        <w:t xml:space="preserve"> et </w:t>
      </w:r>
      <m:oMath>
        <m:sSub>
          <m:sSubPr/>
          <m:e>
            <m:r>
              <m:rPr>
                <m:sty m:val="i"/>
              </m:rPr>
              <m:t>l</m:t>
            </m:r>
          </m:e>
          <m:sub>
            <m:r>
              <m:rPr>
                <m:sty m:val="p"/>
              </m:rPr>
              <m:t>02</m:t>
            </m:r>
          </m:sub>
        </m:sSub>
      </m:oMath>
      <w:r>
        <w:rPr>
          <w:rFonts w:eastAsia="Georgia" w:cs="Georgia" w:ascii="Georgia" w:hAnsi="Georgia"/>
        </w:rPr>
        <w:t xml:space="preserve"> les longueurs à vide respectives des deux ressorts, </w:t>
      </w:r>
      <m:oMath>
        <m:sSub>
          <m:sSubPr/>
          <m:e>
            <m:r>
              <m:rPr>
                <m:sty m:val="i"/>
              </m:rPr>
              <m:t>k</m:t>
            </m:r>
          </m:e>
          <m:sub>
            <m:r>
              <m:rPr>
                <m:sty m:val="p"/>
              </m:rPr>
              <m:t>1</m:t>
            </m:r>
          </m:sub>
        </m:sSub>
      </m:oMath>
      <w:r>
        <w:rPr/>
        <w:t xml:space="preserve"> et </w:t>
      </w:r>
      <m:oMath>
        <m:sSub>
          <m:sSubPr/>
          <m:e>
            <m:r>
              <m:rPr>
                <m:sty m:val="i"/>
              </m:rPr>
              <m:t>k</m:t>
            </m:r>
          </m:e>
          <m:sub>
            <m:r>
              <m:rPr>
                <m:sty m:val="p"/>
              </m:rPr>
              <m:t>2</m:t>
            </m:r>
          </m:sub>
        </m:sSub>
      </m:oMath>
      <w:r>
        <w:rPr>
          <w:rFonts w:eastAsia="Georgia" w:cs="Georgia" w:ascii="Georgia" w:hAnsi="Georgia"/>
        </w:rPr>
        <w:t xml:space="preserve"> leurs constantes de raideur respectives. Établir les expressions suivantes de la longueur à vide </w:t>
      </w:r>
      <m:oMath>
        <m:sSub>
          <m:sSubPr/>
          <m:e>
            <m:r>
              <m:rPr>
                <m:sty m:val="i"/>
              </m:rPr>
              <m:t>l</m:t>
            </m:r>
          </m:e>
          <m:sub>
            <m:r>
              <m:rPr>
                <m:sty m:val="p"/>
              </m:rPr>
              <m:t>0</m:t>
            </m:r>
          </m:sub>
        </m:sSub>
      </m:oMath>
      <w:r>
        <w:rPr/>
        <w:t xml:space="preserve"> et la constante de raideur </w:t>
      </w:r>
      <m:oMath>
        <m:r>
          <m:rPr>
            <m:sty m:val="i"/>
          </m:rPr>
          <m:t>k</m:t>
        </m:r>
      </m:oMath>
      <w:r>
        <w:rPr>
          <w:rFonts w:eastAsia="Georgia" w:cs="Georgia" w:ascii="Georgia" w:hAnsi="Georgia"/>
        </w:rPr>
        <w:t xml:space="preserve"> du ressort équivalent à cette association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sSub>
                  <m:sSubPr/>
                  <m:e>
                    <m:r>
                      <m:rPr>
                        <m:sty m:val="i"/>
                      </m:rPr>
                      <m:t>l</m:t>
                    </m:r>
                  </m:e>
                  <m:sub>
                    <m:r>
                      <m:rPr>
                        <m:sty m:val="p"/>
                      </m:rPr>
                      <m:t>0</m:t>
                    </m:r>
                  </m:sub>
                </m:sSub>
              </m:e>
              <m:e>
                <m:r>
                  <m:rPr>
                    <m:sty m:val="i"/>
                  </m:rPr>
                  <m:t xml:space="preserve"> </m:t>
                </m:r>
                <m:r>
                  <m:rPr>
                    <m:sty m:val="p"/>
                  </m:rPr>
                  <m:t>=</m:t>
                </m:r>
                <m:sSub>
                  <m:sSubPr/>
                  <m:e>
                    <m:r>
                      <m:rPr>
                        <m:sty m:val="i"/>
                      </m:rPr>
                      <m:t>l</m:t>
                    </m:r>
                  </m:e>
                  <m:sub>
                    <m:r>
                      <m:rPr>
                        <m:sty m:val="p"/>
                      </m:rPr>
                      <m:t>01</m:t>
                    </m:r>
                  </m:sub>
                </m:sSub>
                <m:r>
                  <m:rPr>
                    <m:sty m:val="p"/>
                  </m:rPr>
                  <m:t>+</m:t>
                </m:r>
                <m:sSub>
                  <m:sSubPr/>
                  <m:e>
                    <m:r>
                      <m:rPr>
                        <m:sty m:val="i"/>
                      </m:rPr>
                      <m:t>l</m:t>
                    </m:r>
                  </m:e>
                  <m:sub>
                    <m:r>
                      <m:rPr>
                        <m:sty m:val="p"/>
                      </m:rPr>
                      <m:t>02</m:t>
                    </m:r>
                  </m:sub>
                </m:sSub>
              </m:e>
            </m:mr>
            <m:mr>
              <m:e>
                <m:r>
                  <m:rPr>
                    <m:sty m:val="i"/>
                  </m:rPr>
                  <m:t>k</m:t>
                </m:r>
              </m:e>
              <m:e>
                <m:r>
                  <m:rPr>
                    <m:sty m:val="i"/>
                  </m:rPr>
                  <m:t xml:space="preserve"> </m:t>
                </m:r>
                <m:r>
                  <m:rPr>
                    <m:sty m:val="p"/>
                  </m:rPr>
                  <m:t>=</m:t>
                </m:r>
                <m:f>
                  <m:fPr>
                    <m:ctrlPr>
                      <w:rPr>
                        <w:rFonts w:ascii="Cambria Math" w:hAnsi="Cambria Math"/>
                      </w:rPr>
                    </m:ctrlPr>
                  </m:fPr>
                  <m:num>
                    <m:sSub>
                      <m:sSubPr/>
                      <m:e>
                        <m:r>
                          <m:rPr>
                            <m:sty m:val="i"/>
                          </m:rPr>
                          <m:t>k</m:t>
                        </m:r>
                      </m:e>
                      <m:sub>
                        <m:r>
                          <m:rPr>
                            <m:sty m:val="p"/>
                          </m:rPr>
                          <m:t>1</m:t>
                        </m:r>
                      </m:sub>
                    </m:sSub>
                    <m:sSub>
                      <m:sSubPr/>
                      <m:e>
                        <m:r>
                          <m:rPr>
                            <m:sty m:val="i"/>
                          </m:rPr>
                          <m:t>k</m:t>
                        </m:r>
                      </m:e>
                      <m:sub>
                        <m:r>
                          <m:rPr>
                            <m:sty m:val="p"/>
                          </m:rPr>
                          <m:t>2</m:t>
                        </m:r>
                      </m:sub>
                    </m:sSub>
                  </m:num>
                  <m:den>
                    <m:sSub>
                      <m:sSubPr/>
                      <m:e>
                        <m:r>
                          <m:rPr>
                            <m:sty m:val="i"/>
                          </m:rPr>
                          <m:t>k</m:t>
                        </m:r>
                      </m:e>
                      <m:sub>
                        <m:r>
                          <m:rPr>
                            <m:sty m:val="p"/>
                          </m:rPr>
                          <m:t>1</m:t>
                        </m:r>
                      </m:sub>
                    </m:sSub>
                    <m:r>
                      <m:rPr>
                        <m:sty m:val="p"/>
                      </m:rPr>
                      <m:t>+</m:t>
                    </m:r>
                    <m:sSub>
                      <m:sSubPr/>
                      <m:e>
                        <m:r>
                          <m:rPr>
                            <m:sty m:val="i"/>
                          </m:rPr>
                          <m:t>k</m:t>
                        </m:r>
                      </m:e>
                      <m:sub>
                        <m:r>
                          <m:rPr>
                            <m:sty m:val="p"/>
                          </m:rPr>
                          <m:t>2</m:t>
                        </m:r>
                      </m:sub>
                    </m:sSub>
                  </m:den>
                </m:f>
              </m:e>
            </m:mr>
          </m:m>
        </m:oMath>
      </m:oMathPara>
    </w:p>
    <w:p>
      <w:pPr>
        <w:spacing w:lineRule="auto"/>
        <w:jc w:val="center"/>
      </w:pPr>
      <w:r>
        <w:rPr/>
        <w:drawing>
          <wp:inline distB="0" distL="0" distR="0" distT="0">
            <wp:extent cx="5486400" cy="637517"/>
            <wp:effectExtent b="0" l="0" r="0" t="0"/>
            <wp:docPr id="4" name="image-a13fc78f5082385aa18bfe258ab292399688df2a.jpg"/>
            <a:graphic>
              <a:graphicData uri="http://schemas.openxmlformats.org/drawingml/2006/picture">
                <pic:pic>
                  <pic:nvPicPr>
                    <pic:cNvPr id="4" name="image-a13fc78f5082385aa18bfe258ab292399688df2a.jpg" descr=""/>
                    <pic:cNvPicPr/>
                  </pic:nvPicPr>
                  <pic:blipFill>
                    <a:blip r:embed="rId8" cstate="print"/>
                    <a:srcRect b="0" l="0" r="0" t="0"/>
                    <a:stretch>
                      <a:fillRect/>
                    </a:stretch>
                  </pic:blipFill>
                  <pic:spPr>
                    <a:xfrm>
                      <a:off x="0" y="0"/>
                      <a:ext cx="5486400" cy="637517"/>
                    </a:xfrm>
                    <a:prstGeom prst="rect"/>
                  </pic:spPr>
                </pic:pic>
              </a:graphicData>
            </a:graphic>
          </wp:inline>
        </w:drawing>
      </w:r>
    </w:p>
    <w:p>
      <w:pPr>
        <w:spacing w:lineRule="auto"/>
      </w:pPr>
      <w:r>
        <w:rPr>
          <w:rFonts w:eastAsia="Georgia" w:cs="Georgia" w:ascii="Georgia" w:hAnsi="Georgia"/>
        </w:rPr>
        <w:t xml:space="preserve">Figure 4 Système de deux ressorts associés bout à bout (à gauche) et ressort équivalent (à droite).</w:t>
      </w:r>
    </w:p>
    <w:p>
      <w:pPr>
        <w:spacing w:after="220" w:lineRule="auto"/>
      </w:pPr>
      <w:r>
        <w:rPr/>
        <w:t xml:space="preserve">Q 4. Lorsqu'on coupe un ressort de constante de raideur </w:t>
      </w:r>
      <m:oMath>
        <m:r>
          <m:rPr>
            <m:sty m:val="i"/>
          </m:rPr>
          <m:t>k</m:t>
        </m:r>
      </m:oMath>
      <w:r>
        <w:rPr>
          <w:rFonts w:eastAsia="Georgia" w:cs="Georgia" w:ascii="Georgia" w:hAnsi="Georgia"/>
        </w:rPr>
        <w:t xml:space="preserve"> et de longueur à vide </w:t>
      </w:r>
      <m:oMath>
        <m:sSub>
          <m:sSubPr/>
          <m:e>
            <m:r>
              <m:rPr>
                <m:sty m:val="i"/>
              </m:rPr>
              <m:t>l</m:t>
            </m:r>
          </m:e>
          <m:sub>
            <m:r>
              <m:rPr>
                <m:sty m:val="p"/>
              </m:rPr>
              <m:t>0</m:t>
            </m:r>
          </m:sub>
        </m:sSub>
      </m:oMath>
      <w:r>
        <w:rPr/>
        <w:t xml:space="preserve"> en deux parties, on obtient deux ressorts de constantes de raideur </w:t>
      </w:r>
      <m:oMath>
        <m:sSup>
          <m:sSupPr/>
          <m:e>
            <m:r>
              <m:rPr>
                <m:sty m:val="i"/>
              </m:rPr>
              <m:t>k</m:t>
            </m:r>
          </m:e>
          <m:sup>
            <m:r>
              <m:rPr>
                <m:sty m:val="i"/>
              </m:rPr>
              <m:t>′</m:t>
            </m:r>
          </m:sup>
        </m:sSup>
      </m:oMath>
      <w:r>
        <w:rPr/>
        <w:t xml:space="preserve"> et </w:t>
      </w:r>
      <m:oMath>
        <m:sSup>
          <m:sSupPr/>
          <m:e>
            <m:r>
              <m:rPr>
                <m:sty m:val="i"/>
              </m:rPr>
              <m:t>k</m:t>
            </m:r>
          </m:e>
          <m:sup>
            <m:r>
              <m:rPr>
                <m:sty m:val="i"/>
              </m:rPr>
              <m:t>′</m:t>
            </m:r>
            <m:r>
              <m:rPr>
                <m:sty m:val="i"/>
              </m:rPr>
              <m:t>′</m:t>
            </m:r>
          </m:sup>
        </m:sSup>
      </m:oMath>
      <w:r>
        <w:rPr>
          <w:rFonts w:eastAsia="Georgia" w:cs="Georgia" w:ascii="Georgia" w:hAnsi="Georgia"/>
        </w:rPr>
        <w:t xml:space="preserve"> et de longueurs à vide </w:t>
      </w:r>
      <m:oMath>
        <m:sSubSup>
          <m:sSubSupPr/>
          <m:e>
            <m:r>
              <m:rPr>
                <m:sty m:val="i"/>
              </m:rPr>
              <m:t>l</m:t>
            </m:r>
          </m:e>
          <m:sub>
            <m:r>
              <m:rPr>
                <m:sty m:val="p"/>
              </m:rPr>
              <m:t>0</m:t>
            </m:r>
          </m:sub>
          <m:sup>
            <m:r>
              <m:rPr>
                <m:sty m:val="i"/>
              </m:rPr>
              <m:t>′</m:t>
            </m:r>
          </m:sup>
        </m:sSubSup>
      </m:oMath>
      <w:r>
        <w:rPr/>
        <w:t xml:space="preserve"> et </w:t>
      </w:r>
      <m:oMath>
        <m:sSubSup>
          <m:sSubSupPr/>
          <m:e>
            <m:r>
              <m:rPr>
                <m:sty m:val="i"/>
              </m:rPr>
              <m:t>l</m:t>
            </m:r>
          </m:e>
          <m:sub>
            <m:r>
              <m:rPr>
                <m:sty m:val="p"/>
              </m:rPr>
              <m:t>0</m:t>
            </m:r>
          </m:sub>
          <m:sup>
            <m:r>
              <m:rPr>
                <m:sty m:val="i"/>
              </m:rPr>
              <m:t>′</m:t>
            </m:r>
            <m:r>
              <m:rPr>
                <m:sty m:val="i"/>
              </m:rPr>
              <m:t>′</m:t>
            </m:r>
          </m:sup>
        </m:sSubSup>
        <m:r>
          <m:rPr>
            <m:sty m:val="p"/>
          </m:rPr>
          <m:t>=</m:t>
        </m:r>
        <m:sSub>
          <m:sSubPr/>
          <m:e>
            <m:r>
              <m:rPr>
                <m:sty m:val="i"/>
              </m:rPr>
              <m:t>l</m:t>
            </m:r>
          </m:e>
          <m:sub>
            <m:r>
              <m:rPr>
                <m:sty m:val="p"/>
              </m:rPr>
              <m:t>0</m:t>
            </m:r>
          </m:sub>
        </m:sSub>
        <m:r>
          <m:rPr>
            <m:sty m:val="p"/>
          </m:rPr>
          <m:t>−</m:t>
        </m:r>
        <m:sSubSup>
          <m:sSubSupPr/>
          <m:e>
            <m:r>
              <m:rPr>
                <m:sty m:val="i"/>
              </m:rPr>
              <m:t>l</m:t>
            </m:r>
          </m:e>
          <m:sub>
            <m:r>
              <m:rPr>
                <m:sty m:val="p"/>
              </m:rPr>
              <m:t>0</m:t>
            </m:r>
          </m:sub>
          <m:sup>
            <m:r>
              <m:rPr>
                <m:sty m:val="i"/>
              </m:rPr>
              <m:t>′</m:t>
            </m:r>
          </m:sup>
        </m:sSubSup>
      </m:oMath>
      <w:r>
        <w:rPr/>
        <w:t xml:space="preserve">. On peut montrer alors que </w:t>
      </w:r>
      <m:oMath>
        <m:sSup>
          <m:sSupPr/>
          <m:e>
            <m:r>
              <m:rPr>
                <m:sty m:val="i"/>
              </m:rPr>
              <m:t>k</m:t>
            </m:r>
          </m:e>
          <m:sup>
            <m:r>
              <m:rPr>
                <m:sty m:val="i"/>
              </m:rPr>
              <m:t>′</m:t>
            </m:r>
          </m:sup>
        </m:sSup>
        <m:sSubSup>
          <m:sSubSupPr/>
          <m:e>
            <m:r>
              <m:rPr>
                <m:sty m:val="i"/>
              </m:rPr>
              <m:t>l</m:t>
            </m:r>
          </m:e>
          <m:sub>
            <m:r>
              <m:rPr>
                <m:sty m:val="p"/>
              </m:rPr>
              <m:t>0</m:t>
            </m:r>
          </m:sub>
          <m:sup>
            <m:r>
              <m:rPr>
                <m:sty m:val="i"/>
              </m:rPr>
              <m:t>′</m:t>
            </m:r>
          </m:sup>
        </m:sSubSup>
        <m:r>
          <m:rPr>
            <m:sty m:val="p"/>
          </m:rPr>
          <m:t>=</m:t>
        </m:r>
        <m:sSup>
          <m:sSupPr/>
          <m:e>
            <m:r>
              <m:rPr>
                <m:sty m:val="i"/>
              </m:rPr>
              <m:t>k</m:t>
            </m:r>
          </m:e>
          <m:sup>
            <m:r>
              <m:rPr>
                <m:sty m:val="i"/>
              </m:rPr>
              <m:t>′</m:t>
            </m:r>
            <m:r>
              <m:rPr>
                <m:sty m:val="i"/>
              </m:rPr>
              <m:t>′</m:t>
            </m:r>
          </m:sup>
        </m:sSup>
        <m:sSubSup>
          <m:sSubSupPr/>
          <m:e>
            <m:r>
              <m:rPr>
                <m:sty m:val="i"/>
              </m:rPr>
              <m:t>l</m:t>
            </m:r>
          </m:e>
          <m:sub>
            <m:r>
              <m:rPr>
                <m:sty m:val="p"/>
              </m:rPr>
              <m:t>0</m:t>
            </m:r>
          </m:sub>
          <m:sup>
            <m:r>
              <m:rPr>
                <m:sty m:val="i"/>
              </m:rPr>
              <m:t>′</m:t>
            </m:r>
            <m:r>
              <m:rPr>
                <m:sty m:val="i"/>
              </m:rPr>
              <m:t>′</m:t>
            </m:r>
          </m:sup>
        </m:sSubSup>
        <m:r>
          <m:rPr>
            <m:sty m:val="p"/>
          </m:rPr>
          <m:t>=</m:t>
        </m:r>
        <m:r>
          <m:rPr>
            <m:sty m:val="i"/>
          </m:rPr>
          <m:t>k</m:t>
        </m:r>
        <m:sSub>
          <m:sSubPr/>
          <m:e>
            <m:r>
              <m:rPr>
                <m:sty m:val="i"/>
              </m:rPr>
              <m:t>l</m:t>
            </m:r>
          </m:e>
          <m:sub>
            <m:r>
              <m:rPr>
                <m:sty m:val="p"/>
              </m:rPr>
              <m:t>0</m:t>
            </m:r>
          </m:sub>
        </m:sSub>
      </m:oMath>
      <w:r>
        <w:rPr/>
        <w:t xml:space="preserve">.</w:t>
      </w:r>
    </w:p>
    <w:p>
      <w:pPr>
        <w:spacing w:after="220" w:lineRule="auto"/>
      </w:pPr>
      <w:r>
        <w:rPr>
          <w:rFonts w:eastAsia="Georgia" w:cs="Georgia" w:ascii="Georgia" w:hAnsi="Georgia"/>
        </w:rPr>
        <w:t xml:space="preserve">On souhaite couper à la longueur </w:t>
      </w:r>
      <m:oMath>
        <m:sSub>
          <m:sSubPr/>
          <m:e>
            <m:r>
              <m:rPr>
                <m:sty m:val="i"/>
              </m:rPr>
              <m:t>l</m:t>
            </m:r>
          </m:e>
          <m:sub>
            <m:r>
              <m:rPr>
                <m:sty m:val="i"/>
              </m:rPr>
              <m:t>c</m:t>
            </m:r>
          </m:sub>
        </m:sSub>
      </m:oMath>
      <w:r>
        <w:rPr>
          <w:rFonts w:eastAsia="Georgia" w:cs="Georgia" w:ascii="Georgia" w:hAnsi="Georgia"/>
        </w:rPr>
        <w:t xml:space="preserve"> un ressort dont la constante de raideur et la longueur à vide avant coupure sont respectivement notées </w:t>
      </w:r>
      <m:oMath>
        <m:r>
          <m:rPr>
            <m:sty m:val="i"/>
          </m:rPr>
          <m:t>k</m:t>
        </m:r>
      </m:oMath>
      <w:r>
        <w:rPr/>
        <w:t xml:space="preserve"> et </w:t>
      </w:r>
      <m:oMath>
        <m:sSub>
          <m:sSubPr/>
          <m:e>
            <m:r>
              <m:rPr>
                <m:sty m:val="i"/>
              </m:rPr>
              <m:t>l</m:t>
            </m:r>
          </m:e>
          <m:sub>
            <m:r>
              <m:rPr>
                <m:sty m:val="p"/>
              </m:rPr>
              <m:t>0</m:t>
            </m:r>
          </m:sub>
        </m:sSub>
      </m:oMath>
      <w:r>
        <w:rPr/>
        <w:t xml:space="preserve">. On note </w:t>
      </w:r>
      <m:oMath>
        <m:r>
          <m:rPr>
            <m:sty m:val="i"/>
          </m:rPr>
          <m:t>F</m:t>
        </m:r>
      </m:oMath>
      <w:r>
        <w:rPr>
          <w:rFonts w:eastAsia="Georgia" w:cs="Georgia" w:ascii="Georgia" w:hAnsi="Georgia"/>
        </w:rPr>
        <w:t xml:space="preserve"> la valeur algébrique de la force exercée par ce ressort sur un piston lorsque la longueur du ressort est </w:t>
      </w:r>
      <m:oMath>
        <m:r>
          <m:rPr>
            <m:sty m:val="i"/>
          </m:rPr>
          <m:t>x</m:t>
        </m:r>
      </m:oMath>
      <w:r>
        <w:rPr>
          <w:rFonts w:eastAsia="Georgia" w:cs="Georgia" w:ascii="Georgia" w:hAnsi="Georgia"/>
        </w:rPr>
        <w:t xml:space="preserve">. Établir que </w:t>
      </w:r>
      <m:oMath>
        <m:sSub>
          <m:sSubPr/>
          <m:e>
            <m:r>
              <m:rPr>
                <m:sty m:val="i"/>
              </m:rPr>
              <m:t>l</m:t>
            </m:r>
          </m:e>
          <m:sub>
            <m:r>
              <m:rPr>
                <m:sty m:val="i"/>
              </m:rPr>
              <m:t>c</m:t>
            </m:r>
          </m:sub>
        </m:sSub>
        <m:r>
          <m:rPr>
            <m:sty m:val="p"/>
          </m:rPr>
          <m:t>=</m:t>
        </m:r>
        <m:f>
          <m:fPr>
            <m:ctrlPr>
              <w:rPr>
                <w:rFonts w:ascii="Cambria Math" w:hAnsi="Cambria Math"/>
              </w:rPr>
            </m:ctrlPr>
          </m:fPr>
          <m:num>
            <m:r>
              <m:rPr>
                <m:sty m:val="i"/>
              </m:rPr>
              <m:t>k</m:t>
            </m:r>
            <m:sSub>
              <m:sSubPr/>
              <m:e>
                <m:r>
                  <m:rPr>
                    <m:sty m:val="i"/>
                  </m:rPr>
                  <m:t>l</m:t>
                </m:r>
              </m:e>
              <m:sub>
                <m:r>
                  <m:rPr>
                    <m:sty m:val="p"/>
                  </m:rPr>
                  <m:t>0</m:t>
                </m:r>
              </m:sub>
            </m:sSub>
            <m:r>
              <m:rPr>
                <m:sty m:val="i"/>
              </m:rPr>
              <m:t>x</m:t>
            </m:r>
          </m:num>
          <m:den>
            <m:r>
              <m:rPr>
                <m:sty m:val="i"/>
              </m:rPr>
              <m:t>k</m:t>
            </m:r>
            <m:sSub>
              <m:sSubPr/>
              <m:e>
                <m:r>
                  <m:rPr>
                    <m:sty m:val="i"/>
                  </m:rPr>
                  <m:t>l</m:t>
                </m:r>
              </m:e>
              <m:sub>
                <m:r>
                  <m:rPr>
                    <m:sty m:val="p"/>
                  </m:rPr>
                  <m:t>0</m:t>
                </m:r>
              </m:sub>
            </m:sSub>
            <m:r>
              <m:rPr>
                <m:sty m:val="p"/>
              </m:rPr>
              <m:t>−</m:t>
            </m:r>
            <m:r>
              <m:rPr>
                <m:sty m:val="i"/>
              </m:rPr>
              <m:t>F</m:t>
            </m:r>
          </m:den>
        </m:f>
      </m:oMath>
      <w:r>
        <w:rPr/>
        <w:t xml:space="preserve">.</w:t>
      </w:r>
    </w:p>
    <w:p>
      <w:pPr>
        <w:spacing w:after="220" w:lineRule="auto"/>
      </w:pPr>
      <w:r>
        <w:rPr/>
        <w:t xml:space="preserve">Q 5. Calculer la longueur </w:t>
      </w:r>
      <m:oMath>
        <m:sSub>
          <m:sSubPr/>
          <m:e>
            <m:r>
              <m:rPr>
                <m:sty m:val="i"/>
              </m:rPr>
              <m:t>l</m:t>
            </m:r>
          </m:e>
          <m:sub>
            <m:r>
              <m:rPr>
                <m:sty m:val="i"/>
              </m:rPr>
              <m:t>c</m:t>
            </m:r>
          </m:sub>
        </m:sSub>
      </m:oMath>
      <w:r>
        <w:rPr>
          <w:rFonts w:eastAsia="Georgia" w:cs="Georgia" w:ascii="Georgia" w:hAnsi="Georgia"/>
        </w:rPr>
        <w:t xml:space="preserve"> à laquelle il faut couper un ressort du type C634 pour qu'il exerce une force de </w:t>
      </w:r>
      <m:oMath>
        <m:r>
          <m:rPr>
            <m:sty m:val="p"/>
          </m:rPr>
          <m:t>6</m:t>
        </m:r>
        <m:r>
          <m:rPr>
            <m:sty m:val="p"/>
          </m:rPr>
          <m:t>,</m:t>
        </m:r>
        <m:r>
          <m:rPr>
            <m:sty m:val="p"/>
          </m:rPr>
          <m:t>4</m:t>
        </m:r>
        <m:r>
          <m:rPr>
            <m:nor/>
          </m:rPr>
          <m:t xml:space="preserve"> </m:t>
        </m:r>
        <m:r>
          <m:rPr>
            <m:sty m:val="p"/>
          </m:rPr>
          <m:t>N</m:t>
        </m:r>
      </m:oMath>
      <w:r>
        <w:rPr>
          <w:rFonts w:eastAsia="Georgia" w:cs="Georgia" w:ascii="Georgia" w:hAnsi="Georgia"/>
        </w:rPr>
        <w:t xml:space="preserve"> sur un piston lorsqu'il est placé dans une cavité de longueur égale à </w:t>
      </w:r>
      <m:oMath>
        <m:r>
          <m:rPr>
            <m:sty m:val="p"/>
          </m:rPr>
          <m:t>18</m:t>
        </m:r>
        <m:r>
          <m:rPr>
            <m:sty m:val="p"/>
          </m:rPr>
          <m:t>,</m:t>
        </m:r>
        <m:r>
          <m:rPr>
            <m:sty m:val="p"/>
          </m:rPr>
          <m:t>5</m:t>
        </m:r>
        <m:r>
          <m:rPr>
            <m:nor/>
          </m:rPr>
          <m:t xml:space="preserve"> </m:t>
        </m:r>
        <m:r>
          <m:rPr>
            <m:sty m:val="p"/>
          </m:rPr>
          <m:t>mm</m:t>
        </m:r>
      </m:oMath>
      <w:r>
        <w:rPr/>
        <w:t xml:space="preserve">.</w:t>
      </w:r>
    </w:p>
    <w:p>
      <w:pPr>
        <w:spacing w:line="271" w:before="330" w:lineRule="auto"/>
      </w:pPr>
      <w:r>
        <w:rPr>
          <w:rFonts w:eastAsia="Georgia" w:cs="Georgia" w:ascii="Georgia" w:hAnsi="Georgia"/>
          <w:b/>
          <w:sz w:val="42"/>
        </w:rPr>
        <w:t xml:space="preserve">I.A.2) Les solénoïdes</w:t>
      </w:r>
    </w:p>
    <w:p>
      <w:pPr>
        <w:spacing w:after="220" w:lineRule="auto"/>
      </w:pPr>
      <w:r>
        <w:rPr>
          <w:rFonts w:eastAsia="Georgia" w:cs="Georgia" w:ascii="Georgia" w:hAnsi="Georgia"/>
        </w:rPr>
        <w:t xml:space="preserve">Le cylindre en acier relié au câble subit l'action d'un aimant permanent mais aussi celle d'un solénoïde. On considère un solénoїde, d'axe de symétrie de révolution </w:t>
      </w:r>
      <m:oMath>
        <m:r>
          <m:rPr>
            <m:sty m:val="i"/>
          </m:rPr>
          <m:t>O</m:t>
        </m:r>
        <m:r>
          <m:rPr>
            <m:sty m:val="i"/>
          </m:rPr>
          <m:t>z</m:t>
        </m:r>
      </m:oMath>
      <w:r>
        <w:rPr/>
        <w:t xml:space="preserve">, de longueur </w:t>
      </w:r>
      <m:oMath>
        <m:r>
          <m:rPr>
            <m:sty m:val="i"/>
          </m:rPr>
          <m:t>l</m:t>
        </m:r>
      </m:oMath>
      <w:r>
        <w:rPr/>
        <w:t xml:space="preserve"> et contenant </w:t>
      </w:r>
      <m:oMath>
        <m:r>
          <m:rPr>
            <m:sty m:val="i"/>
          </m:rPr>
          <m:t>N</m:t>
        </m:r>
      </m:oMath>
      <w:r>
        <w:rPr>
          <w:rFonts w:eastAsia="Georgia" w:cs="Georgia" w:ascii="Georgia" w:hAnsi="Georgia"/>
        </w:rPr>
        <w:t xml:space="preserve"> spires parcourues par un courant électrique d'intensité </w:t>
      </w:r>
      <m:oMath>
        <m:r>
          <m:rPr>
            <m:sty m:val="i"/>
          </m:rPr>
          <m:t>I</m:t>
        </m:r>
      </m:oMath>
      <w:r>
        <w:rPr>
          <w:rFonts w:eastAsia="Georgia" w:cs="Georgia" w:ascii="Georgia" w:hAnsi="Georgia"/>
        </w:rPr>
        <w:t xml:space="preserve"> (voir figure 5). On assimile ce solénoïde à une solénoïde de longueur infinie. On admet que le champ magnétique est nul à l'extérieur du solénoïde.</w:t>
      </w:r>
    </w:p>
    <w:p>
      <w:pPr>
        <w:spacing w:lineRule="auto"/>
        <w:jc w:val="center"/>
      </w:pPr>
      <w:r>
        <w:rPr/>
        <w:drawing>
          <wp:inline distB="0" distL="0" distR="0" distT="0">
            <wp:extent cx="5486400" cy="2772152"/>
            <wp:effectExtent b="0" l="0" r="0" t="0"/>
            <wp:docPr id="5" name="image-71e11ce0d22843d749d1a814d35bf2b4581efcd7.jpg"/>
            <a:graphic>
              <a:graphicData uri="http://schemas.openxmlformats.org/drawingml/2006/picture">
                <pic:pic>
                  <pic:nvPicPr>
                    <pic:cNvPr id="5" name="image-71e11ce0d22843d749d1a814d35bf2b4581efcd7.jpg" descr=""/>
                    <pic:cNvPicPr/>
                  </pic:nvPicPr>
                  <pic:blipFill>
                    <a:blip r:embed="rId9" cstate="print"/>
                    <a:srcRect b="0" l="0" r="0" t="0"/>
                    <a:stretch>
                      <a:fillRect/>
                    </a:stretch>
                  </pic:blipFill>
                  <pic:spPr>
                    <a:xfrm>
                      <a:off x="0" y="0"/>
                      <a:ext cx="5486400" cy="2772152"/>
                    </a:xfrm>
                    <a:prstGeom prst="rect"/>
                  </pic:spPr>
                </pic:pic>
              </a:graphicData>
            </a:graphic>
          </wp:inline>
        </w:drawing>
      </w:r>
    </w:p>
    <w:p>
      <w:pPr>
        <w:spacing w:lineRule="auto"/>
      </w:pPr>
      <w:r>
        <w:rPr>
          <w:rFonts w:eastAsia="Georgia" w:cs="Georgia" w:ascii="Georgia" w:hAnsi="Georgia"/>
        </w:rPr>
        <w:t xml:space="preserve">Figure 5 Représentation schématique d'un solénoïde.</w:t>
      </w:r>
    </w:p>
    <w:p>
      <w:pPr>
        <w:spacing w:after="220" w:lineRule="auto"/>
      </w:pPr>
      <w:r>
        <w:rPr>
          <w:rFonts w:eastAsia="Georgia" w:cs="Georgia" w:ascii="Georgia" w:hAnsi="Georgia"/>
        </w:rPr>
        <w:t xml:space="preserve">Q 6. Pour repérer un point </w:t>
      </w:r>
      <m:oMath>
        <m:r>
          <m:rPr>
            <m:sty m:val="i"/>
          </m:rPr>
          <m:t>M</m:t>
        </m:r>
      </m:oMath>
      <w:r>
        <w:rPr>
          <w:rFonts w:eastAsia="Georgia" w:cs="Georgia" w:ascii="Georgia" w:hAnsi="Georgia"/>
        </w:rPr>
        <w:t xml:space="preserve"> à l'intérieur du solénoïde, on utilise la base des coordonnées cylindriques d'axe </w:t>
      </w:r>
      <m:oMath>
        <m:r>
          <m:rPr>
            <m:sty m:val="p"/>
          </m:rPr>
          <m:t>(</m:t>
        </m:r>
        <m:r>
          <m:rPr>
            <m:sty m:val="i"/>
          </m:rPr>
          <m:t>O</m:t>
        </m:r>
        <m:r>
          <m:rPr>
            <m:sty m:val="i"/>
          </m:rPr>
          <m:t>z</m:t>
        </m:r>
        <m:r>
          <m:rPr>
            <m:sty m:val="p"/>
          </m:rPr>
          <m:t>)</m:t>
        </m:r>
      </m:oMath>
      <w:r>
        <w:rPr>
          <w:rFonts w:eastAsia="Georgia" w:cs="Georgia" w:ascii="Georgia" w:hAnsi="Georgia"/>
        </w:rPr>
        <w:t xml:space="preserve">. À partir de considérations de symétrie de la distribution de courants étudiée, préciser quelle est l'orientation, au point </w:t>
      </w:r>
      <m:oMath>
        <m:r>
          <m:rPr>
            <m:sty m:val="i"/>
          </m:rPr>
          <m:t>M</m:t>
        </m:r>
      </m:oMath>
      <w:r>
        <w:rPr>
          <w:rFonts w:eastAsia="Georgia" w:cs="Georgia" w:ascii="Georgia" w:hAnsi="Georgia"/>
        </w:rPr>
        <w:t xml:space="preserve">, du champ magnétique </w:t>
      </w:r>
      <m:oMath>
        <m:acc>
          <m:accPr>
            <m:chr m:val="⃗"/>
          </m:accPr>
          <m:e>
            <m:r>
              <m:rPr>
                <m:sty m:val="i"/>
              </m:rPr>
              <m:t>B</m:t>
            </m:r>
          </m:e>
        </m:acc>
        <m:r>
          <m:rPr>
            <m:sty m:val="p"/>
          </m:rPr>
          <m:t>(</m:t>
        </m:r>
        <m:r>
          <m:rPr>
            <m:sty m:val="i"/>
          </m:rPr>
          <m:t>M</m:t>
        </m:r>
        <m:r>
          <m:rPr>
            <m:sty m:val="p"/>
          </m:rPr>
          <m:t>)</m:t>
        </m:r>
      </m:oMath>
      <w:r>
        <w:rPr>
          <w:rFonts w:eastAsia="Georgia" w:cs="Georgia" w:ascii="Georgia" w:hAnsi="Georgia"/>
        </w:rPr>
        <w:t xml:space="preserve"> créé par le courant qui parcourt le solénoïde.</w:t>
      </w:r>
    </w:p>
    <w:p>
      <w:pPr>
        <w:spacing w:after="220" w:lineRule="auto"/>
      </w:pPr>
      <w:r>
        <w:rPr>
          <w:rFonts w:eastAsia="Georgia" w:cs="Georgia" w:ascii="Georgia" w:hAnsi="Georgia"/>
        </w:rPr>
        <w:t xml:space="preserve">Q 7. Établir l'expression du champ magnétique </w:t>
      </w:r>
      <m:oMath>
        <m:acc>
          <m:accPr>
            <m:chr m:val="⃗"/>
          </m:accPr>
          <m:e>
            <m:r>
              <m:rPr>
                <m:sty m:val="i"/>
              </m:rPr>
              <m:t>B</m:t>
            </m:r>
          </m:e>
        </m:acc>
        <m:r>
          <m:rPr>
            <m:sty m:val="p"/>
          </m:rPr>
          <m:t>(</m:t>
        </m:r>
        <m:r>
          <m:rPr>
            <m:sty m:val="i"/>
          </m:rPr>
          <m:t>M</m:t>
        </m:r>
        <m:r>
          <m:rPr>
            <m:sty m:val="p"/>
          </m:rPr>
          <m:t>)</m:t>
        </m:r>
      </m:oMath>
      <w:r>
        <w:rPr/>
        <w:t xml:space="preserve"> en un point </w:t>
      </w:r>
      <m:oMath>
        <m:r>
          <m:rPr>
            <m:sty m:val="i"/>
          </m:rPr>
          <m:t>M</m:t>
        </m:r>
      </m:oMath>
      <w:r>
        <w:rPr>
          <w:rFonts w:eastAsia="Georgia" w:cs="Georgia" w:ascii="Georgia" w:hAnsi="Georgia"/>
        </w:rPr>
        <w:t xml:space="preserve"> à l'intérieur du solénoïde en fonction de la perméabilité magnétique du vide </w:t>
      </w:r>
      <m:oMath>
        <m:sSub>
          <m:sSubPr/>
          <m:e>
            <m:r>
              <m:rPr>
                <m:sty m:val="i"/>
              </m:rPr>
              <m:t>μ</m:t>
            </m:r>
          </m:e>
          <m:sub>
            <m:r>
              <m:rPr>
                <m:sty m:val="p"/>
              </m:rPr>
              <m:t>0</m:t>
            </m:r>
          </m:sub>
        </m:sSub>
      </m:oMath>
      <w:r>
        <w:rPr/>
        <w:t xml:space="preserve">, du nombres de spires </w:t>
      </w:r>
      <m:oMath>
        <m:r>
          <m:rPr>
            <m:sty m:val="i"/>
          </m:rPr>
          <m:t>N</m:t>
        </m:r>
      </m:oMath>
      <w:r>
        <w:rPr/>
        <w:t xml:space="preserve">, de la longueur </w:t>
      </w:r>
      <m:oMath>
        <m:r>
          <m:rPr>
            <m:sty m:val="i"/>
          </m:rPr>
          <m:t>ℓ</m:t>
        </m:r>
      </m:oMath>
      <w:r>
        <w:rPr>
          <w:rFonts w:eastAsia="Georgia" w:cs="Georgia" w:ascii="Georgia" w:hAnsi="Georgia"/>
        </w:rPr>
        <w:t xml:space="preserve"> du solénoïde et de l'intensité </w:t>
      </w:r>
      <m:oMath>
        <m:r>
          <m:rPr>
            <m:sty m:val="i"/>
          </m:rPr>
          <m:t>I</m:t>
        </m:r>
      </m:oMath>
      <w:r>
        <w:rPr>
          <w:rFonts w:eastAsia="Georgia" w:cs="Georgia" w:ascii="Georgia" w:hAnsi="Georgia"/>
        </w:rPr>
        <w:t xml:space="preserve"> du courant électrique et d'un vecteur unitaire à préciser.</w:t>
      </w:r>
    </w:p>
    <w:p>
      <w:pPr>
        <w:spacing w:after="220" w:lineRule="auto"/>
      </w:pPr>
      <w:r>
        <w:rPr>
          <w:rFonts w:eastAsia="Georgia" w:cs="Georgia" w:ascii="Georgia" w:hAnsi="Georgia"/>
        </w:rPr>
        <w:t xml:space="preserve">Du point de vue électrocinétique, le solénoïde peut être modélisé par l'association en série d'une bobine parfaite d'inductance propre </w:t>
      </w:r>
      <m:oMath>
        <m:r>
          <m:rPr>
            <m:sty m:val="i"/>
          </m:rPr>
          <m:t>L</m:t>
        </m:r>
      </m:oMath>
      <w:r>
        <w:rPr>
          <w:rFonts w:eastAsia="Georgia" w:cs="Georgia" w:ascii="Georgia" w:hAnsi="Georgia"/>
        </w:rPr>
        <w:t xml:space="preserve"> et d'une résistance électrique </w:t>
      </w:r>
      <m:oMath>
        <m:r>
          <m:rPr>
            <m:sty m:val="i"/>
          </m:rPr>
          <m:t>r</m:t>
        </m:r>
      </m:oMath>
      <w:r>
        <w:rPr>
          <w:rFonts w:eastAsia="Georgia" w:cs="Georgia" w:ascii="Georgia" w:hAnsi="Georgia"/>
        </w:rPr>
        <w:t xml:space="preserve">. Le solénoïde est alimenté par une source idéale de tension qui délivre le signal </w:t>
      </w:r>
      <m:oMath>
        <m:r>
          <m:rPr>
            <m:sty m:val="i"/>
          </m:rPr>
          <m:t>u</m:t>
        </m:r>
        <m:r>
          <m:rPr>
            <m:sty m:val="p"/>
          </m:rPr>
          <m:t>(</m:t>
        </m:r>
        <m:r>
          <m:rPr>
            <m:sty m:val="i"/>
          </m:rPr>
          <m:t>t</m:t>
        </m:r>
        <m:r>
          <m:rPr>
            <m:sty m:val="p"/>
          </m:rPr>
          <m:t>)</m:t>
        </m:r>
      </m:oMath>
      <w:r>
        <w:rPr>
          <w:rFonts w:eastAsia="Georgia" w:cs="Georgia" w:ascii="Georgia" w:hAnsi="Georgia"/>
        </w:rPr>
        <w:t xml:space="preserve"> représenté sur la figure 6 . Ce signal est une impulsion d'amplitude </w:t>
      </w:r>
      <m:oMath>
        <m:r>
          <m:rPr>
            <m:sty m:val="i"/>
          </m:rPr>
          <m:t>E</m:t>
        </m:r>
        <m:r>
          <m:rPr>
            <m:sty m:val="p"/>
          </m:rPr>
          <m:t>=</m:t>
        </m:r>
        <m:r>
          <m:rPr>
            <m:sty m:val="p"/>
          </m:rPr>
          <m:t>20</m:t>
        </m:r>
        <m:r>
          <m:rPr>
            <m:nor/>
          </m:rPr>
          <m:t xml:space="preserve"> </m:t>
        </m:r>
        <m:r>
          <m:rPr>
            <m:sty m:val="p"/>
          </m:rPr>
          <m:t>V</m:t>
        </m:r>
      </m:oMath>
      <w:r>
        <w:rPr/>
        <w:t xml:space="preserve"> qui dure de </w:t>
      </w:r>
      <m:oMath>
        <m:r>
          <m:rPr>
            <m:sty m:val="i"/>
          </m:rPr>
          <m:t>t</m:t>
        </m:r>
        <m:r>
          <m:rPr>
            <m:sty m:val="p"/>
          </m:rPr>
          <m:t>=</m:t>
        </m:r>
        <m:r>
          <m:rPr>
            <m:sty m:val="p"/>
          </m:rPr>
          <m:t>0</m:t>
        </m:r>
      </m:oMath>
      <w:r>
        <w:rPr>
          <w:rFonts w:eastAsia="Georgia" w:cs="Georgia" w:ascii="Georgia" w:hAnsi="Georgia"/>
        </w:rPr>
        <w:t xml:space="preserve"> à </w:t>
      </w:r>
      <m:oMath>
        <m:r>
          <m:rPr>
            <m:sty m:val="i"/>
          </m:rPr>
          <m:t>t</m:t>
        </m:r>
        <m:r>
          <m:rPr>
            <m:sty m:val="p"/>
          </m:rPr>
          <m:t>=</m:t>
        </m:r>
        <m:sSub>
          <m:sSubPr/>
          <m:e>
            <m:r>
              <m:rPr>
                <m:sty m:val="i"/>
              </m:rPr>
              <m:t>t</m:t>
            </m:r>
          </m:e>
          <m:sub>
            <m:r>
              <m:rPr>
                <m:sty m:val="p"/>
              </m:rPr>
              <m:t>0</m:t>
            </m:r>
          </m:sub>
        </m:sSub>
        <m:r>
          <m:rPr>
            <m:sty m:val="p"/>
          </m:rPr>
          <m:t>=</m:t>
        </m:r>
        <m:r>
          <m:rPr>
            <m:sty m:val="p"/>
          </m:rPr>
          <m:t>20</m:t>
        </m:r>
        <m:r>
          <m:rPr>
            <m:nor/>
          </m:rPr>
          <m:t xml:space="preserve"> </m:t>
        </m:r>
        <m:r>
          <m:rPr>
            <m:sty m:val="p"/>
          </m:rPr>
          <m:t>ms</m:t>
        </m:r>
      </m:oMath>
      <w:r>
        <w:rPr/>
        <w:t xml:space="preserve">.</w:t>
      </w:r>
    </w:p>
    <w:p>
      <w:pPr>
        <w:spacing w:lineRule="auto"/>
        <w:jc w:val="center"/>
      </w:pPr>
      <w:r>
        <w:rPr/>
        <w:drawing>
          <wp:inline distB="0" distL="0" distR="0" distT="0">
            <wp:extent cx="5486400" cy="3375699"/>
            <wp:effectExtent b="0" l="0" r="0" t="0"/>
            <wp:docPr id="6" name="image-4e77981816a90d674e159dafa8be26531b525531.jpg"/>
            <a:graphic>
              <a:graphicData uri="http://schemas.openxmlformats.org/drawingml/2006/picture">
                <pic:pic>
                  <pic:nvPicPr>
                    <pic:cNvPr id="6" name="image-4e77981816a90d674e159dafa8be26531b525531.jpg" descr=""/>
                    <pic:cNvPicPr/>
                  </pic:nvPicPr>
                  <pic:blipFill>
                    <a:blip r:embed="rId10" cstate="print"/>
                    <a:srcRect b="0" l="0" r="0" t="0"/>
                    <a:stretch>
                      <a:fillRect/>
                    </a:stretch>
                  </pic:blipFill>
                  <pic:spPr>
                    <a:xfrm>
                      <a:off x="0" y="0"/>
                      <a:ext cx="5486400" cy="3375699"/>
                    </a:xfrm>
                    <a:prstGeom prst="rect"/>
                  </pic:spPr>
                </pic:pic>
              </a:graphicData>
            </a:graphic>
          </wp:inline>
        </w:drawing>
      </w:r>
    </w:p>
    <w:p>
      <w:pPr>
        <w:spacing w:lineRule="auto"/>
      </w:pPr>
      <w:r>
        <w:rPr/>
        <w:t xml:space="preserve">Figure 6 Signal </w:t>
      </w:r>
      <m:oMath>
        <m:r>
          <m:rPr>
            <m:sty m:val="i"/>
          </m:rPr>
          <m:t>u</m:t>
        </m:r>
        <m:r>
          <m:rPr>
            <m:sty m:val="p"/>
          </m:rPr>
          <m:t>(</m:t>
        </m:r>
        <m:r>
          <m:rPr>
            <m:sty m:val="i"/>
          </m:rPr>
          <m:t>t</m:t>
        </m:r>
        <m:r>
          <m:rPr>
            <m:sty m:val="p"/>
          </m:rPr>
          <m:t>)</m:t>
        </m:r>
      </m:oMath>
      <w:r>
        <w:rPr>
          <w:rFonts w:eastAsia="Georgia" w:cs="Georgia" w:ascii="Georgia" w:hAnsi="Georgia"/>
        </w:rPr>
        <w:t xml:space="preserve"> alimentant un solénoïde.</w:t>
      </w:r>
    </w:p>
    <w:p>
      <w:pPr>
        <w:spacing w:after="220" w:lineRule="auto"/>
      </w:pPr>
      <w:r>
        <w:rPr>
          <w:rFonts w:eastAsia="Georgia" w:cs="Georgia" w:ascii="Georgia" w:hAnsi="Georgia"/>
        </w:rPr>
        <w:t xml:space="preserve">Q 8. Établir l'équation différentielle vérifiée par l'intensité </w:t>
      </w:r>
      <m:oMath>
        <m:r>
          <m:rPr>
            <m:sty m:val="i"/>
          </m:rPr>
          <m:t>I</m:t>
        </m:r>
        <m:r>
          <m:rPr>
            <m:sty m:val="p"/>
          </m:rPr>
          <m:t>(</m:t>
        </m:r>
        <m:r>
          <m:rPr>
            <m:sty m:val="i"/>
          </m:rPr>
          <m:t>t</m:t>
        </m:r>
        <m:r>
          <m:rPr>
            <m:sty m:val="p"/>
          </m:rPr>
          <m:t>)</m:t>
        </m:r>
      </m:oMath>
      <w:r>
        <w:rPr>
          <w:rFonts w:eastAsia="Georgia" w:cs="Georgia" w:ascii="Georgia" w:hAnsi="Georgia"/>
        </w:rPr>
        <w:t xml:space="preserve"> du courant qui circule dans le solénoïde pendant l'intervalle de temps </w:t>
      </w:r>
      <m:oMath>
        <m:d>
          <m:dPr>
            <m:begChr m:val="["/>
            <m:endChr m:val="]"/>
            <m:ctrlPr>
              <w:rPr>
                <w:rFonts w:ascii="Cambria Math" w:hAnsi="Cambria Math"/>
              </w:rPr>
            </m:ctrlPr>
          </m:dPr>
          <m:e>
            <m:r>
              <m:rPr>
                <m:sty m:val="p"/>
              </m:rPr>
              <m:t>0</m:t>
            </m:r>
            <m:r>
              <m:rPr>
                <m:sty m:val="p"/>
              </m:rPr>
              <m:t>,</m:t>
            </m:r>
            <m:sSub>
              <m:sSubPr/>
              <m:e>
                <m:r>
                  <m:rPr>
                    <m:sty m:val="i"/>
                  </m:rPr>
                  <m:t>t</m:t>
                </m:r>
              </m:e>
              <m:sub>
                <m:r>
                  <m:rPr>
                    <m:sty m:val="p"/>
                  </m:rPr>
                  <m:t>0</m:t>
                </m:r>
              </m:sub>
            </m:sSub>
          </m:e>
        </m:d>
      </m:oMath>
      <w:r>
        <w:rPr/>
        <w:t xml:space="preserve">.</w:t>
      </w:r>
    </w:p>
    <w:p>
      <w:pPr>
        <w:spacing w:after="220" w:lineRule="auto"/>
      </w:pPr>
      <w:r>
        <w:rPr/>
        <w:t xml:space="preserve">Q 9. Sachant que </w:t>
      </w:r>
      <m:oMath>
        <m:r>
          <m:rPr>
            <m:sty m:val="i"/>
          </m:rPr>
          <m:t>I</m:t>
        </m:r>
        <m:d>
          <m:dPr>
            <m:begChr m:val="("/>
            <m:endChr m:val=")"/>
            <m:ctrlPr>
              <w:rPr>
                <w:rFonts w:ascii="Cambria Math" w:hAnsi="Cambria Math"/>
              </w:rPr>
            </m:ctrlPr>
          </m:dPr>
          <m:e>
            <m:r>
              <m:rPr>
                <m:sty m:val="i"/>
              </m:rPr>
              <m:t>t</m:t>
            </m:r>
            <m:r>
              <m:rPr>
                <m:sty m:val="p"/>
              </m:rPr>
              <m:t>=</m:t>
            </m:r>
            <m:sSup>
              <m:sSupPr/>
              <m:e>
                <m:r>
                  <m:rPr>
                    <m:sty m:val="p"/>
                  </m:rPr>
                  <m:t>0</m:t>
                </m:r>
              </m:e>
              <m:sup>
                <m:r>
                  <m:rPr>
                    <m:sty m:val="p"/>
                  </m:rPr>
                  <m:t>−</m:t>
                </m:r>
              </m:sup>
            </m:sSup>
          </m:e>
        </m:d>
        <m:r>
          <m:rPr>
            <m:sty m:val="p"/>
          </m:rPr>
          <m:t>=</m:t>
        </m:r>
        <m:r>
          <m:rPr>
            <m:sty m:val="p"/>
          </m:rPr>
          <m:t>0</m:t>
        </m:r>
      </m:oMath>
      <w:r>
        <w:rPr>
          <w:rFonts w:eastAsia="Georgia" w:cs="Georgia" w:ascii="Georgia" w:hAnsi="Georgia"/>
        </w:rPr>
        <w:t xml:space="preserve">, justifier à l'aide d'un argument énergétique la valeur de </w:t>
      </w:r>
      <m:oMath>
        <m:r>
          <m:rPr>
            <m:sty m:val="i"/>
          </m:rPr>
          <m:t>I</m:t>
        </m:r>
        <m:d>
          <m:dPr>
            <m:begChr m:val="("/>
            <m:endChr m:val=")"/>
            <m:ctrlPr>
              <w:rPr>
                <w:rFonts w:ascii="Cambria Math" w:hAnsi="Cambria Math"/>
              </w:rPr>
            </m:ctrlPr>
          </m:dPr>
          <m:e>
            <m:r>
              <m:rPr>
                <m:sty m:val="i"/>
              </m:rPr>
              <m:t>t</m:t>
            </m:r>
            <m:r>
              <m:rPr>
                <m:sty m:val="p"/>
              </m:rPr>
              <m:t>=</m:t>
            </m:r>
            <m:sSup>
              <m:sSupPr/>
              <m:e>
                <m:r>
                  <m:rPr>
                    <m:sty m:val="p"/>
                  </m:rPr>
                  <m:t>0</m:t>
                </m:r>
              </m:e>
              <m:sup>
                <m:r>
                  <m:rPr>
                    <m:sty m:val="p"/>
                  </m:rPr>
                  <m:t>+</m:t>
                </m:r>
              </m:sup>
            </m:sSup>
          </m:e>
        </m:d>
      </m:oMath>
      <w:r>
        <w:rPr/>
        <w:t xml:space="preserve">.</w:t>
      </w:r>
      <w:r>
        <w:rPr/>
        <w:br w:type="textWrapping"/>
      </w:r>
      <w:r>
        <w:rPr>
          <w:rFonts w:eastAsia="Georgia" w:cs="Georgia" w:ascii="Georgia" w:hAnsi="Georgia"/>
        </w:rPr>
        <w:t xml:space="preserve">Q 10. Établir l'expression de </w:t>
      </w:r>
      <m:oMath>
        <m:r>
          <m:rPr>
            <m:sty m:val="i"/>
          </m:rPr>
          <m:t>I</m:t>
        </m:r>
        <m:r>
          <m:rPr>
            <m:sty m:val="p"/>
          </m:rPr>
          <m:t>(</m:t>
        </m:r>
        <m:r>
          <m:rPr>
            <m:sty m:val="i"/>
          </m:rPr>
          <m:t>t</m:t>
        </m:r>
        <m:r>
          <m:rPr>
            <m:sty m:val="p"/>
          </m:rPr>
          <m:t>)</m:t>
        </m:r>
      </m:oMath>
      <w:r>
        <w:rPr/>
        <w:t xml:space="preserve"> pendant l'intervalle de temps </w:t>
      </w:r>
      <m:oMath>
        <m:d>
          <m:dPr>
            <m:begChr m:val="["/>
            <m:endChr m:val="]"/>
            <m:ctrlPr>
              <w:rPr>
                <w:rFonts w:ascii="Cambria Math" w:hAnsi="Cambria Math"/>
              </w:rPr>
            </m:ctrlPr>
          </m:dPr>
          <m:e>
            <m:r>
              <m:rPr>
                <m:sty m:val="p"/>
              </m:rPr>
              <m:t>0</m:t>
            </m:r>
            <m:r>
              <m:rPr>
                <m:sty m:val="p"/>
              </m:rPr>
              <m:t>,</m:t>
            </m:r>
            <m:sSub>
              <m:sSubPr/>
              <m:e>
                <m:r>
                  <m:rPr>
                    <m:sty m:val="i"/>
                  </m:rPr>
                  <m:t>t</m:t>
                </m:r>
              </m:e>
              <m:sub>
                <m:r>
                  <m:rPr>
                    <m:sty m:val="p"/>
                  </m:rPr>
                  <m:t>0</m:t>
                </m:r>
              </m:sub>
            </m:sSub>
          </m:e>
        </m:d>
      </m:oMath>
      <w:r>
        <w:rPr/>
        <w:t xml:space="preserve">.</w:t>
      </w:r>
      <w:r>
        <w:rPr/>
        <w:br w:type="textWrapping"/>
      </w:r>
      <w:r>
        <w:rPr/>
        <w:t xml:space="preserve">Q 11. On donne </w:t>
      </w:r>
      <m:oMath>
        <m:r>
          <m:rPr>
            <m:sty m:val="i"/>
          </m:rPr>
          <m:t>r</m:t>
        </m:r>
        <m:r>
          <m:rPr>
            <m:sty m:val="p"/>
          </m:rPr>
          <m:t>=</m:t>
        </m:r>
        <m:r>
          <m:rPr>
            <m:sty m:val="p"/>
          </m:rPr>
          <m:t>12</m:t>
        </m:r>
        <m:r>
          <m:rPr>
            <m:sty m:val="p"/>
          </m:rPr>
          <m:t>Ω</m:t>
        </m:r>
      </m:oMath>
      <w:r>
        <w:rPr>
          <w:rFonts w:eastAsia="Georgia" w:cs="Georgia" w:ascii="Georgia" w:hAnsi="Georgia"/>
        </w:rPr>
        <w:t xml:space="preserve">. Déterminer la condition que doit vérifier l'inductance propre </w:t>
      </w:r>
      <m:oMath>
        <m:r>
          <m:rPr>
            <m:sty m:val="i"/>
          </m:rPr>
          <m:t>L</m:t>
        </m:r>
      </m:oMath>
      <w:r>
        <w:rPr>
          <w:rFonts w:eastAsia="Georgia" w:cs="Georgia" w:ascii="Georgia" w:hAnsi="Georgia"/>
        </w:rPr>
        <w:t xml:space="preserve"> du solénoïde pour que le régime transitoire ne perturbe pas le fonctionnement du système.</w:t>
      </w:r>
    </w:p>
    <w:p>
      <w:pPr>
        <w:spacing w:after="220" w:lineRule="auto"/>
      </w:pPr>
      <w:r>
        <w:rPr>
          <w:rFonts w:eastAsia="Georgia" w:cs="Georgia" w:ascii="Georgia" w:hAnsi="Georgia"/>
        </w:rPr>
        <w:t xml:space="preserve">On suppose que cette condition est vérifiée dans la suite du problème.</w:t>
      </w:r>
      <w:r>
        <w:rPr/>
        <w:br w:type="textWrapping"/>
      </w:r>
      <w:r>
        <w:rPr>
          <w:rFonts w:eastAsia="Georgia" w:cs="Georgia" w:ascii="Georgia" w:hAnsi="Georgia"/>
        </w:rPr>
        <w:t xml:space="preserve">Q 12. Déterminer l'expression de </w:t>
      </w:r>
      <m:oMath>
        <m:r>
          <m:rPr>
            <m:sty m:val="i"/>
          </m:rPr>
          <m:t>I</m:t>
        </m:r>
        <m:r>
          <m:rPr>
            <m:sty m:val="p"/>
          </m:rPr>
          <m:t>(</m:t>
        </m:r>
        <m:r>
          <m:rPr>
            <m:sty m:val="i"/>
          </m:rPr>
          <m:t>t</m:t>
        </m:r>
        <m:r>
          <m:rPr>
            <m:sty m:val="p"/>
          </m:rPr>
          <m:t>)</m:t>
        </m:r>
      </m:oMath>
      <w:r>
        <w:rPr/>
        <w:t xml:space="preserve"> pour </w:t>
      </w:r>
      <m:oMath>
        <m:r>
          <m:rPr>
            <m:sty m:val="i"/>
          </m:rPr>
          <m:t>t</m:t>
        </m:r>
        <m:r>
          <m:rPr>
            <m:sty m:val="p"/>
          </m:rPr>
          <m:t>⩾</m:t>
        </m:r>
        <m:sSub>
          <m:sSubPr/>
          <m:e>
            <m:r>
              <m:rPr>
                <m:sty m:val="i"/>
              </m:rPr>
              <m:t>t</m:t>
            </m:r>
          </m:e>
          <m:sub>
            <m:r>
              <m:rPr>
                <m:sty m:val="p"/>
              </m:rPr>
              <m:t>0</m:t>
            </m:r>
          </m:sub>
        </m:sSub>
      </m:oMath>
      <w:r>
        <w:rPr/>
        <w:t xml:space="preserve">.</w:t>
      </w:r>
      <w:r>
        <w:rPr/>
        <w:br w:type="textWrapping"/>
      </w:r>
      <w:r>
        <w:rPr/>
        <w:t xml:space="preserve">Q 13. Tracer l'allure de </w:t>
      </w:r>
      <m:oMath>
        <m:r>
          <m:rPr>
            <m:sty m:val="i"/>
          </m:rPr>
          <m:t>I</m:t>
        </m:r>
        <m:r>
          <m:rPr>
            <m:sty m:val="p"/>
          </m:rPr>
          <m:t>(</m:t>
        </m:r>
        <m:r>
          <m:rPr>
            <m:sty m:val="i"/>
          </m:rPr>
          <m:t>t</m:t>
        </m:r>
        <m:r>
          <m:rPr>
            <m:sty m:val="p"/>
          </m:rPr>
          <m:t>)</m:t>
        </m:r>
      </m:oMath>
      <w:r>
        <w:rPr/>
        <w:t xml:space="preserve"> pendant l'intervalle de temps </w:t>
      </w:r>
      <m:oMath>
        <m:d>
          <m:dPr>
            <m:begChr m:val="["/>
            <m:endChr m:val="]"/>
            <m:ctrlPr>
              <w:rPr>
                <w:rFonts w:ascii="Cambria Math" w:hAnsi="Cambria Math"/>
              </w:rPr>
            </m:ctrlPr>
          </m:dPr>
          <m:e>
            <m:r>
              <m:rPr>
                <m:sty m:val="p"/>
              </m:rPr>
              <m:t>0</m:t>
            </m:r>
            <m:r>
              <m:rPr>
                <m:sty m:val="p"/>
              </m:rPr>
              <m:t>,</m:t>
            </m:r>
            <m:r>
              <m:rPr>
                <m:sty m:val="p"/>
              </m:rPr>
              <m:t>2</m:t>
            </m:r>
            <m:sSub>
              <m:sSubPr/>
              <m:e>
                <m:r>
                  <m:rPr>
                    <m:sty m:val="i"/>
                  </m:rPr>
                  <m:t>t</m:t>
                </m:r>
              </m:e>
              <m:sub>
                <m:r>
                  <m:rPr>
                    <m:sty m:val="p"/>
                  </m:rPr>
                  <m:t>0</m:t>
                </m:r>
              </m:sub>
            </m:sSub>
          </m:e>
        </m:d>
      </m:oMath>
      <w:r>
        <w:rPr>
          <w:rFonts w:eastAsia="Georgia" w:cs="Georgia" w:ascii="Georgia" w:hAnsi="Georgia"/>
        </w:rPr>
        <w:t xml:space="preserve">. Faire apparaître sur la figure le temps caractéristique du régime transitoire les des deux régimes transitoires.</w:t>
      </w:r>
    </w:p>
    <w:p>
      <w:pPr>
        <w:spacing w:after="220" w:lineRule="auto"/>
      </w:pPr>
      <w:r>
        <w:rPr>
          <w:rFonts w:eastAsia="Georgia" w:cs="Georgia" w:ascii="Georgia" w:hAnsi="Georgia"/>
        </w:rPr>
        <w:t xml:space="preserve">Q 14. Exprimer l'énergie </w:t>
      </w:r>
      <m:oMath>
        <m:sSub>
          <m:sSubPr/>
          <m:e>
            <m:r>
              <m:rPr>
                <m:sty m:val="i"/>
              </m:rPr>
              <m:t>W</m:t>
            </m:r>
          </m:e>
          <m:sub>
            <m:r>
              <m:rPr>
                <m:sty m:val="i"/>
              </m:rPr>
              <m:t>J</m:t>
            </m:r>
          </m:sub>
        </m:sSub>
      </m:oMath>
      <w:r>
        <w:rPr>
          <w:rFonts w:eastAsia="Georgia" w:cs="Georgia" w:ascii="Georgia" w:hAnsi="Georgia"/>
        </w:rPr>
        <w:t xml:space="preserve"> dissipée par effet Joule dans le solénoïde pour </w:t>
      </w:r>
      <m:oMath>
        <m:r>
          <m:rPr>
            <m:sty m:val="i"/>
          </m:rPr>
          <m:t>t</m:t>
        </m:r>
        <m:r>
          <m:rPr>
            <m:sty m:val="p"/>
          </m:rPr>
          <m:t>⩾</m:t>
        </m:r>
        <m:r>
          <m:rPr>
            <m:sty m:val="p"/>
          </m:rPr>
          <m:t>0</m:t>
        </m:r>
      </m:oMath>
      <w:r>
        <w:rPr/>
        <w:t xml:space="preserve"> en fonction de </w:t>
      </w:r>
      <m:oMath>
        <m:r>
          <m:rPr>
            <m:sty m:val="i"/>
          </m:rPr>
          <m:t>E</m:t>
        </m:r>
        <m:r>
          <m:rPr>
            <m:sty m:val="p"/>
          </m:rPr>
          <m:t>,</m:t>
        </m:r>
        <m:r>
          <m:rPr>
            <m:sty m:val="i"/>
          </m:rPr>
          <m:t>r</m:t>
        </m:r>
      </m:oMath>
      <w:r>
        <w:rPr/>
        <w:t xml:space="preserve"> et </w:t>
      </w:r>
      <m:oMath>
        <m:sSub>
          <m:sSubPr/>
          <m:e>
            <m:r>
              <m:rPr>
                <m:sty m:val="i"/>
              </m:rPr>
              <m:t>t</m:t>
            </m:r>
          </m:e>
          <m:sub>
            <m:r>
              <m:rPr>
                <m:sty m:val="p"/>
              </m:rPr>
              <m:t>0</m:t>
            </m:r>
          </m:sub>
        </m:sSub>
      </m:oMath>
      <w:r>
        <w:rPr>
          <w:rFonts w:eastAsia="Georgia" w:cs="Georgia" w:ascii="Georgia" w:hAnsi="Georgia"/>
        </w:rPr>
        <w:t xml:space="preserve"> en supposant négligeable la durée des régimes transitoires.</w:t>
      </w:r>
    </w:p>
    <w:p>
      <w:pPr>
        <w:spacing w:after="220" w:lineRule="auto"/>
      </w:pPr>
      <w:r>
        <w:rPr>
          <w:rFonts w:eastAsia="Georgia" w:cs="Georgia" w:ascii="Georgia" w:hAnsi="Georgia"/>
        </w:rPr>
        <w:t xml:space="preserve">On considère un solénoïde de diamètre moyen </w:t>
      </w:r>
      <m:oMath>
        <m:r>
          <m:rPr>
            <m:sty m:val="i"/>
          </m:rPr>
          <m:t>D</m:t>
        </m:r>
        <m:r>
          <m:rPr>
            <m:sty m:val="p"/>
          </m:rPr>
          <m:t>=</m:t>
        </m:r>
        <m:r>
          <m:rPr>
            <m:sty m:val="p"/>
          </m:rPr>
          <m:t>2</m:t>
        </m:r>
        <m:r>
          <m:rPr>
            <m:sty m:val="p"/>
          </m:rPr>
          <m:t>,</m:t>
        </m:r>
        <m:r>
          <m:rPr>
            <m:sty m:val="p"/>
          </m:rPr>
          <m:t>0</m:t>
        </m:r>
        <m:r>
          <m:rPr>
            <m:nor/>
          </m:rPr>
          <m:t xml:space="preserve"> </m:t>
        </m:r>
        <m:r>
          <m:rPr>
            <m:sty m:val="p"/>
          </m:rPr>
          <m:t>cm</m:t>
        </m:r>
      </m:oMath>
      <w:r>
        <w:rPr/>
        <w:t xml:space="preserve"> comportant </w:t>
      </w:r>
      <m:oMath>
        <m:r>
          <m:rPr>
            <m:sty m:val="i"/>
          </m:rPr>
          <m:t>N</m:t>
        </m:r>
        <m:r>
          <m:rPr>
            <m:sty m:val="p"/>
          </m:rPr>
          <m:t>=</m:t>
        </m:r>
        <m:r>
          <m:rPr>
            <m:sty m:val="p"/>
          </m:rPr>
          <m:t>500</m:t>
        </m:r>
      </m:oMath>
      <w:r>
        <w:rPr>
          <w:rFonts w:eastAsia="Georgia" w:cs="Georgia" w:ascii="Georgia" w:hAnsi="Georgia"/>
        </w:rPr>
        <w:t xml:space="preserve"> spires constituées de fil de cuivre de diamètre </w:t>
      </w:r>
      <m:oMath>
        <m:r>
          <m:rPr>
            <m:sty m:val="i"/>
          </m:rPr>
          <m:t>d</m:t>
        </m:r>
        <m:r>
          <m:rPr>
            <m:sty m:val="p"/>
          </m:rPr>
          <m:t>=</m:t>
        </m:r>
        <m:r>
          <m:rPr>
            <m:sty m:val="p"/>
          </m:rPr>
          <m:t>0</m:t>
        </m:r>
        <m:r>
          <m:rPr>
            <m:sty m:val="p"/>
          </m:rPr>
          <m:t>,</m:t>
        </m:r>
        <m:r>
          <m:rPr>
            <m:sty m:val="p"/>
          </m:rPr>
          <m:t>40</m:t>
        </m:r>
        <m:r>
          <m:rPr>
            <m:nor/>
          </m:rPr>
          <m:t xml:space="preserve"> </m:t>
        </m:r>
        <m:r>
          <m:rPr>
            <m:sty m:val="p"/>
          </m:rPr>
          <m:t>mm</m:t>
        </m:r>
      </m:oMath>
      <w:r>
        <w:rPr/>
        <w:t xml:space="preserve">.</w:t>
      </w:r>
    </w:p>
    <w:p>
      <w:pPr>
        <w:spacing w:after="220" w:lineRule="auto"/>
      </w:pPr>
      <w:r>
        <w:rPr>
          <w:rFonts w:eastAsia="Georgia" w:cs="Georgia" w:ascii="Georgia" w:hAnsi="Georgia"/>
        </w:rPr>
        <w:t xml:space="preserve">Q 15. Estimer la valeur numérique de l'élévation de température du solénoïde due à l'impulsion de tension et commenter le résultat obtenu.</w:t>
      </w:r>
    </w:p>
    <w:p>
      <w:pPr>
        <w:spacing w:after="220" w:lineRule="auto"/>
      </w:pPr>
      <w:r>
        <w:rPr>
          <w:rFonts w:eastAsia="Georgia" w:cs="Georgia" w:ascii="Georgia" w:hAnsi="Georgia"/>
        </w:rPr>
        <w:t xml:space="preserve">Le cuivre cristallise dans une structure cubique à faces centrées, représentée dans la figure figure 7.</w:t>
      </w:r>
      <w:r>
        <w:rPr/>
        <w:br w:type="textWrapping"/>
      </w:r>
      <w:r>
        <w:rPr>
          <w:rFonts w:eastAsia="Georgia" w:cs="Georgia" w:ascii="Georgia" w:hAnsi="Georgia"/>
        </w:rPr>
        <w:t xml:space="preserve">Q 16. Dénombrer le nombre d'atomes qui appartiennent en propre à une maille cubique.</w:t>
      </w:r>
      <w:r>
        <w:rPr/>
        <w:br w:type="textWrapping"/>
      </w:r>
      <w:r>
        <w:rPr/>
        <w:t xml:space="preserve">Q 17. Justifier que le rayon atomique du cuivre </w:t>
      </w:r>
      <m:oMath>
        <m:sSub>
          <m:sSubPr/>
          <m:e>
            <m:r>
              <m:rPr>
                <m:sty m:val="i"/>
              </m:rPr>
              <m:t>r</m:t>
            </m:r>
          </m:e>
          <m:sub>
            <m:r>
              <m:rPr>
                <m:sty m:val="p"/>
              </m:rPr>
              <m:t>Cu</m:t>
            </m:r>
          </m:sub>
        </m:sSub>
      </m:oMath>
      <w:r>
        <w:rPr>
          <w:rFonts w:eastAsia="Georgia" w:cs="Georgia" w:ascii="Georgia" w:hAnsi="Georgia"/>
        </w:rPr>
        <w:t xml:space="preserve"> et le paramètre de maille </w:t>
      </w:r>
      <m:oMath>
        <m:r>
          <m:rPr>
            <m:sty m:val="i"/>
          </m:rPr>
          <m:t>a</m:t>
        </m:r>
      </m:oMath>
      <w:r>
        <w:rPr>
          <w:rFonts w:eastAsia="Georgia" w:cs="Georgia" w:ascii="Georgia" w:hAnsi="Georgia"/>
        </w:rPr>
        <w:t xml:space="preserve"> sont liés par la relation : </w:t>
      </w:r>
      <m:oMath>
        <m:r>
          <m:rPr>
            <m:sty m:val="p"/>
          </m:rPr>
          <m:t>4</m:t>
        </m:r>
        <m:sSub>
          <m:sSubPr/>
          <m:e>
            <m:r>
              <m:rPr>
                <m:sty m:val="i"/>
              </m:rPr>
              <m:t>r</m:t>
            </m:r>
          </m:e>
          <m:sub>
            <m:r>
              <m:rPr>
                <m:sty m:val="p"/>
              </m:rPr>
              <m:t>Cu</m:t>
            </m:r>
          </m:sub>
        </m:sSub>
        <m:r>
          <m:rPr>
            <m:sty m:val="p"/>
          </m:rPr>
          <m:t>=</m:t>
        </m:r>
        <m:rad>
          <m:radPr>
            <m:degHide m:val="1"/>
            <m:ctrlPr>
              <w:rPr>
                <w:rFonts w:ascii="Cambria Math" w:hAnsi="Cambria Math"/>
              </w:rPr>
            </m:ctrlPr>
          </m:radPr>
          <m:deg/>
          <m:e>
            <m:r>
              <m:rPr>
                <m:sty m:val="p"/>
              </m:rPr>
              <m:t>2</m:t>
            </m:r>
          </m:e>
        </m:rad>
        <m:r>
          <m:rPr>
            <m:sty m:val="p"/>
          </m:rPr>
          <m:t>a</m:t>
        </m:r>
      </m:oMath>
      <w:r>
        <w:rPr/>
        <w:t xml:space="preserve">.</w:t>
      </w:r>
    </w:p>
    <w:p>
      <w:pPr>
        <w:spacing w:after="220" w:lineRule="auto"/>
      </w:pPr>
      <w:r>
        <w:rPr>
          <w:rFonts w:eastAsia="Georgia" w:cs="Georgia" w:ascii="Georgia" w:hAnsi="Georgia"/>
        </w:rPr>
        <w:t xml:space="preserve">Q 18. Calculer la valeur de la masse volumique du cuivre en considérant le modèle cristallin cubique à faces centrées. Commenter le résultat obtenu.</w:t>
      </w:r>
    </w:p>
    <w:p>
      <w:pPr>
        <w:spacing w:lineRule="auto"/>
        <w:jc w:val="center"/>
      </w:pPr>
      <w:r>
        <w:rPr/>
        <w:drawing>
          <wp:inline distB="0" distL="0" distR="0" distT="0">
            <wp:extent cx="1885950" cy="1943100"/>
            <wp:effectExtent b="0" l="0" r="0" t="0"/>
            <wp:docPr id="7" name="image-14cfb03182ee17cf463eb79339abd8238ddcea64.jpg"/>
            <a:graphic>
              <a:graphicData uri="http://schemas.openxmlformats.org/drawingml/2006/picture">
                <pic:pic>
                  <pic:nvPicPr>
                    <pic:cNvPr id="7" name="image-14cfb03182ee17cf463eb79339abd8238ddcea64.jpg" descr=""/>
                    <pic:cNvPicPr/>
                  </pic:nvPicPr>
                  <pic:blipFill>
                    <a:blip r:embed="rId11" cstate="print"/>
                    <a:srcRect b="0" l="0" r="0" t="0"/>
                    <a:stretch>
                      <a:fillRect/>
                    </a:stretch>
                  </pic:blipFill>
                  <pic:spPr>
                    <a:xfrm>
                      <a:off x="0" y="0"/>
                      <a:ext cx="1885950" cy="1943100"/>
                    </a:xfrm>
                    <a:prstGeom prst="rect"/>
                  </pic:spPr>
                </pic:pic>
              </a:graphicData>
            </a:graphic>
          </wp:inline>
        </w:drawing>
      </w:r>
    </w:p>
    <w:p>
      <w:pPr>
        <w:spacing w:lineRule="auto"/>
      </w:pPr>
      <w:r>
        <w:rPr>
          <w:rFonts w:eastAsia="Georgia" w:cs="Georgia" w:ascii="Georgia" w:hAnsi="Georgia"/>
        </w:rPr>
        <w:t xml:space="preserve">Figure 7 Structure cubique à faces centrées.</w:t>
      </w:r>
    </w:p>
    <w:p>
      <w:pPr>
        <w:spacing w:line="271" w:before="330" w:lineRule="auto"/>
      </w:pPr>
      <w:r>
        <w:rPr>
          <w:rFonts w:eastAsia="Georgia" w:cs="Georgia" w:ascii="Georgia" w:hAnsi="Georgia"/>
          <w:b/>
          <w:sz w:val="42"/>
        </w:rPr>
        <w:t xml:space="preserve">I.B - La «bouche»: contrôle de la pression</w:t>
      </w:r>
    </w:p>
    <w:p>
      <w:pPr>
        <w:spacing w:after="220" w:lineRule="auto"/>
      </w:pPr>
      <w:r>
        <w:rPr>
          <w:rFonts w:eastAsia="Georgia" w:cs="Georgia" w:ascii="Georgia" w:hAnsi="Georgia"/>
        </w:rPr>
        <w:t xml:space="preserve">La «bouche» du robot est constituée d'une enceinte dans laquelle la pression est régulée par un asservissement. Une pompe y injecte de l'air avec un débit réglable et une valve laisse sortir une quantité plus ou moins importante d'air de manière à respecter la commande. Envoyée par l'ordinateur au système de régulation de la pression, la commande est représentée par un nombre entier compris entre 0 et 1024 . Un étalonnage a été réalisé pour connaître le lien entre la commande envoyée et la pression obtenue dans la «bouche».</w:t>
      </w:r>
    </w:p>
    <w:p>
      <w:pPr>
        <w:spacing w:after="220" w:lineRule="auto"/>
      </w:pPr>
      <w:r>
        <w:rPr>
          <w:rFonts w:eastAsia="Georgia" w:cs="Georgia" w:ascii="Georgia" w:hAnsi="Georgia"/>
        </w:rPr>
        <w:t xml:space="preserve">La méthode utilisée pour mesurer la pression dans la «bouche» est la suivante: on installe un tuyau entre la « bouche» et une colonne d'eau dans un tube en forme de U (figure 8 ) ; ce tube est solidaire d'un mètre gradué, qui permet de lire la différence de hauteur entre les deux parties rectilignes du tube. La différence de hauteur d'eau a été relevée pour différentes commandes envoyées.</w:t>
      </w:r>
    </w:p>
    <w:p>
      <w:pPr>
        <w:spacing w:lineRule="auto"/>
        <w:jc w:val="center"/>
      </w:pPr>
      <w:r>
        <w:rPr/>
        <w:drawing>
          <wp:inline distB="0" distL="0" distR="0" distT="0">
            <wp:extent cx="5486400" cy="2153699"/>
            <wp:effectExtent b="0" l="0" r="0" t="0"/>
            <wp:docPr id="8" name="image-f8e0d34200d0c2c46a4391a416ae1b64b25029c4.jpg"/>
            <a:graphic>
              <a:graphicData uri="http://schemas.openxmlformats.org/drawingml/2006/picture">
                <pic:pic>
                  <pic:nvPicPr>
                    <pic:cNvPr id="8" name="image-f8e0d34200d0c2c46a4391a416ae1b64b25029c4.jpg" descr=""/>
                    <pic:cNvPicPr/>
                  </pic:nvPicPr>
                  <pic:blipFill>
                    <a:blip r:embed="rId12" cstate="print"/>
                    <a:srcRect b="0" l="0" r="0" t="0"/>
                    <a:stretch>
                      <a:fillRect/>
                    </a:stretch>
                  </pic:blipFill>
                  <pic:spPr>
                    <a:xfrm>
                      <a:off x="0" y="0"/>
                      <a:ext cx="5486400" cy="2153699"/>
                    </a:xfrm>
                    <a:prstGeom prst="rect"/>
                  </pic:spPr>
                </pic:pic>
              </a:graphicData>
            </a:graphic>
          </wp:inline>
        </w:drawing>
      </w:r>
    </w:p>
    <w:p>
      <w:pPr>
        <w:spacing w:lineRule="auto"/>
      </w:pPr>
      <w:r>
        <w:rPr>
          <w:rFonts w:eastAsia="Georgia" w:cs="Georgia" w:ascii="Georgia" w:hAnsi="Georgia"/>
        </w:rPr>
        <w:t xml:space="preserve">Figure 8 Colonne d'eau en U utilisée pour calibrer le capteur de pression.</w:t>
      </w:r>
    </w:p>
    <w:p>
      <w:pPr>
        <w:spacing w:after="220" w:lineRule="auto"/>
      </w:pPr>
      <w:r>
        <w:rPr>
          <w:rFonts w:eastAsia="Georgia" w:cs="Georgia" w:ascii="Georgia" w:hAnsi="Georgia"/>
        </w:rPr>
        <w:t xml:space="preserve">Q 19. Déterminer sur combien de bits est codée la commande en pression.</w:t>
      </w:r>
    </w:p>
    <w:p>
      <w:pPr>
        <w:spacing w:line="271" w:before="330" w:lineRule="auto"/>
      </w:pPr>
      <w:r>
        <w:rPr>
          <w:rFonts w:eastAsia="Georgia" w:cs="Georgia" w:ascii="Georgia" w:hAnsi="Georgia"/>
          <w:b/>
          <w:sz w:val="42"/>
        </w:rPr>
        <w:t xml:space="preserve">I.B.1) Lien entre la différence de hauteur d'eau et la pression</w:t>
      </w:r>
    </w:p>
    <w:p>
      <w:pPr>
        <w:spacing w:after="220" w:lineRule="auto"/>
      </w:pPr>
      <w:r>
        <w:rPr>
          <w:rFonts w:eastAsia="Georgia" w:cs="Georgia" w:ascii="Georgia" w:hAnsi="Georgia"/>
        </w:rPr>
        <w:t xml:space="preserve">On considère un volume mésoscopique d'eau, compris entre les coordonnées cartésiennes </w:t>
      </w:r>
      <m:oMath>
        <m:r>
          <m:rPr>
            <m:sty m:val="i"/>
          </m:rPr>
          <m:t>x</m:t>
        </m:r>
      </m:oMath>
      <w:r>
        <w:rPr/>
        <w:t xml:space="preserve"> et </w:t>
      </w:r>
      <m:oMath>
        <m:r>
          <m:rPr>
            <m:sty m:val="i"/>
          </m:rPr>
          <m:t>x</m:t>
        </m:r>
        <m:r>
          <m:rPr>
            <m:sty m:val="p"/>
          </m:rPr>
          <m:t>+</m:t>
        </m:r>
        <m:r>
          <m:rPr>
            <m:sty m:val="p"/>
          </m:rPr>
          <m:t>dx</m:t>
        </m:r>
        <m:r>
          <m:rPr>
            <m:sty m:val="p"/>
          </m:rPr>
          <m:t>,</m:t>
        </m:r>
        <m:r>
          <m:rPr>
            <m:sty m:val="i"/>
          </m:rPr>
          <m:t>y</m:t>
        </m:r>
      </m:oMath>
      <w:r>
        <w:rPr/>
        <w:t xml:space="preserve"> et </w:t>
      </w:r>
      <m:oMath>
        <m:r>
          <m:rPr>
            <m:sty m:val="i"/>
          </m:rPr>
          <m:t>y</m:t>
        </m:r>
        <m:r>
          <m:rPr>
            <m:sty m:val="p"/>
          </m:rPr>
          <m:t>+</m:t>
        </m:r>
        <m:r>
          <m:rPr>
            <m:sty m:val="p"/>
          </m:rPr>
          <m:t>dy</m:t>
        </m:r>
      </m:oMath>
      <w:r>
        <w:rPr/>
        <w:t xml:space="preserve">, </w:t>
      </w:r>
      <m:oMath>
        <m:r>
          <m:rPr>
            <m:sty m:val="i"/>
          </m:rPr>
          <m:t>z</m:t>
        </m:r>
      </m:oMath>
      <w:r>
        <w:rPr/>
        <w:t xml:space="preserve"> et </w:t>
      </w:r>
      <m:oMath>
        <m:r>
          <m:rPr>
            <m:sty m:val="i"/>
          </m:rPr>
          <m:t>z</m:t>
        </m:r>
        <m:r>
          <m:rPr>
            <m:sty m:val="p"/>
          </m:rPr>
          <m:t>+</m:t>
        </m:r>
        <m:r>
          <m:rPr>
            <m:sty m:val="p"/>
          </m:rPr>
          <m:t>dz</m:t>
        </m:r>
      </m:oMath>
      <w:r>
        <w:rPr/>
        <w:t xml:space="preserve">. L'axe </w:t>
      </w:r>
      <m:oMath>
        <m:r>
          <m:rPr>
            <m:sty m:val="i"/>
          </m:rPr>
          <m:t>O</m:t>
        </m:r>
        <m:r>
          <m:rPr>
            <m:sty m:val="i"/>
          </m:rPr>
          <m:t>z</m:t>
        </m:r>
      </m:oMath>
      <w:r>
        <w:rPr>
          <w:rFonts w:eastAsia="Georgia" w:cs="Georgia" w:ascii="Georgia" w:hAnsi="Georgia"/>
        </w:rPr>
        <w:t xml:space="preserve"> est orienté selon la verticale ascendante. On note </w:t>
      </w:r>
      <m:oMath>
        <m:r>
          <m:rPr>
            <m:sty m:val="i"/>
          </m:rPr>
          <m:t>P</m:t>
        </m:r>
      </m:oMath>
      <w:r>
        <w:rPr>
          <w:rFonts w:eastAsia="Georgia" w:cs="Georgia" w:ascii="Georgia" w:hAnsi="Georgia"/>
        </w:rPr>
        <w:t xml:space="preserve"> la pression dans l'eau et on considère que celle-ci ne dépend que de la coordonnée </w:t>
      </w:r>
      <m:oMath>
        <m:r>
          <m:rPr>
            <m:sty m:val="i"/>
          </m:rPr>
          <m:t>z</m:t>
        </m:r>
      </m:oMath>
      <w:r>
        <w:rPr>
          <w:rFonts w:eastAsia="Georgia" w:cs="Georgia" w:ascii="Georgia" w:hAnsi="Georgia"/>
        </w:rPr>
        <w:t xml:space="preserve">. L'eau est assimilée à un fluide incompressible.</w:t>
      </w:r>
    </w:p>
    <w:p>
      <w:pPr>
        <w:spacing w:lineRule="auto"/>
        <w:jc w:val="center"/>
      </w:pPr>
      <w:r>
        <w:rPr/>
        <w:drawing>
          <wp:inline distB="0" distL="0" distR="0" distT="0">
            <wp:extent cx="5486400" cy="2743200"/>
            <wp:effectExtent b="0" l="0" r="0" t="0"/>
            <wp:docPr id="9" name="image-d80f52d91f51bffef9b6b7d9a7cd92aaebe79c42.jpg"/>
            <a:graphic>
              <a:graphicData uri="http://schemas.openxmlformats.org/drawingml/2006/picture">
                <pic:pic>
                  <pic:nvPicPr>
                    <pic:cNvPr id="9" name="image-d80f52d91f51bffef9b6b7d9a7cd92aaebe79c42.jpg" descr=""/>
                    <pic:cNvPicPr/>
                  </pic:nvPicPr>
                  <pic:blipFill>
                    <a:blip r:embed="rId13" cstate="print"/>
                    <a:srcRect b="0" l="0" r="0" t="0"/>
                    <a:stretch>
                      <a:fillRect/>
                    </a:stretch>
                  </pic:blipFill>
                  <pic:spPr>
                    <a:xfrm>
                      <a:off x="0" y="0"/>
                      <a:ext cx="5486400" cy="2743200"/>
                    </a:xfrm>
                    <a:prstGeom prst="rect"/>
                  </pic:spPr>
                </pic:pic>
              </a:graphicData>
            </a:graphic>
          </wp:inline>
        </w:drawing>
      </w:r>
    </w:p>
    <w:p>
      <w:pPr>
        <w:spacing w:lineRule="auto"/>
      </w:pPr>
      <w:r>
        <w:rPr>
          <w:rFonts w:eastAsia="Georgia" w:cs="Georgia" w:ascii="Georgia" w:hAnsi="Georgia"/>
        </w:rPr>
        <w:t xml:space="preserve">Figure 9 Volume mésoscopique d'eau considéré.</w:t>
      </w:r>
    </w:p>
    <w:p>
      <w:pPr>
        <w:spacing w:after="220" w:lineRule="auto"/>
      </w:pPr>
      <w:r>
        <w:rPr>
          <w:rFonts w:eastAsia="Georgia" w:cs="Georgia" w:ascii="Georgia" w:hAnsi="Georgia"/>
        </w:rPr>
        <w:t xml:space="preserve">Q 20. Exprimer la résultante des forces de pression </w:t>
      </w:r>
      <m:oMath>
        <m:sSub>
          <m:sSubPr/>
          <m:e>
            <m:acc>
              <m:accPr>
                <m:chr m:val="⃗"/>
              </m:accPr>
              <m:e>
                <m:r>
                  <m:rPr>
                    <m:sty m:val="p"/>
                  </m:rPr>
                  <m:t>dF</m:t>
                </m:r>
              </m:e>
            </m:acc>
          </m:e>
          <m:sub>
            <m:r>
              <m:rPr>
                <m:sty m:val="i"/>
              </m:rPr>
              <m:t>p</m:t>
            </m:r>
          </m:sub>
        </m:sSub>
      </m:oMath>
      <w:r>
        <w:rPr>
          <w:rFonts w:eastAsia="Georgia" w:cs="Georgia" w:ascii="Georgia" w:hAnsi="Georgia"/>
        </w:rPr>
        <w:t xml:space="preserve"> subie par le volume mésoscopique d'eau en fonction de la pression en </w:t>
      </w:r>
      <m:oMath>
        <m:r>
          <m:rPr>
            <m:sty m:val="i"/>
          </m:rPr>
          <m:t>z</m:t>
        </m:r>
      </m:oMath>
      <w:r>
        <w:rPr/>
        <w:t xml:space="preserve"> et </w:t>
      </w:r>
      <m:oMath>
        <m:r>
          <m:rPr>
            <m:sty m:val="i"/>
          </m:rPr>
          <m:t>z</m:t>
        </m:r>
        <m:r>
          <m:rPr>
            <m:sty m:val="p"/>
          </m:rPr>
          <m:t>+</m:t>
        </m:r>
      </m:oMath>
      <w:r>
        <w:rPr>
          <w:rFonts w:eastAsia="Georgia" w:cs="Georgia" w:ascii="Georgia" w:hAnsi="Georgia"/>
        </w:rPr>
        <w:t xml:space="preserve"> dz et d'une surface infinitésimale adaptée.</w:t>
      </w:r>
    </w:p>
    <w:p>
      <w:pPr>
        <w:spacing w:after="220" w:lineRule="auto"/>
      </w:pPr>
      <w:r>
        <w:rPr>
          <w:rFonts w:eastAsia="Georgia" w:cs="Georgia" w:ascii="Georgia" w:hAnsi="Georgia"/>
        </w:rPr>
        <w:t xml:space="preserve">Q 21. On considère que ce volume d'eau est à l'équilibre mécanique dans le champ de pesanteur terrestre. Établir la relation fondamentale de la statique des fluides: </w:t>
      </w:r>
      <m:oMath>
        <m:f>
          <m:fPr>
            <m:ctrlPr>
              <w:rPr>
                <w:rFonts w:ascii="Cambria Math" w:hAnsi="Cambria Math"/>
              </w:rPr>
            </m:ctrlPr>
          </m:fPr>
          <m:num>
            <m:r>
              <m:rPr>
                <m:sty m:val="p"/>
              </m:rPr>
              <m:t>dP</m:t>
            </m:r>
            <m:r>
              <m:rPr>
                <m:sty m:val="p"/>
              </m:rPr>
              <m:t>(</m:t>
            </m:r>
            <m:r>
              <m:rPr>
                <m:sty m:val="p"/>
              </m:rPr>
              <m:t>z</m:t>
            </m:r>
            <m:r>
              <m:rPr>
                <m:sty m:val="p"/>
              </m:rPr>
              <m:t>)</m:t>
            </m:r>
          </m:num>
          <m:den>
            <m:r>
              <m:rPr>
                <m:sty m:val="p"/>
              </m:rPr>
              <m:t>dz</m:t>
            </m:r>
          </m:den>
        </m:f>
        <m:r>
          <m:rPr>
            <m:sty m:val="p"/>
          </m:rPr>
          <m:t>=</m:t>
        </m:r>
        <m:r>
          <m:rPr>
            <m:sty m:val="p"/>
          </m:rPr>
          <m:t>−</m:t>
        </m:r>
        <m:sSub>
          <m:sSubPr/>
          <m:e>
            <m:r>
              <m:rPr>
                <m:sty m:val="i"/>
              </m:rPr>
              <m:t>ρ</m:t>
            </m:r>
          </m:e>
          <m:sub>
            <m:r>
              <m:rPr>
                <m:nor/>
              </m:rPr>
              <m:t>eau </m:t>
            </m:r>
          </m:sub>
        </m:sSub>
        <m:r>
          <m:rPr>
            <m:sty m:val="p"/>
          </m:rPr>
          <m:t>g</m:t>
        </m:r>
      </m:oMath>
      <w:r>
        <w:rPr>
          <w:rFonts w:eastAsia="Georgia" w:cs="Georgia" w:ascii="Georgia" w:hAnsi="Georgia"/>
        </w:rPr>
        <w:t xml:space="preserve">, où </w:t>
      </w:r>
      <m:oMath>
        <m:sSub>
          <m:sSubPr/>
          <m:e>
            <m:r>
              <m:rPr>
                <m:sty m:val="i"/>
              </m:rPr>
              <m:t>ρ</m:t>
            </m:r>
          </m:e>
          <m:sub>
            <m:r>
              <m:rPr>
                <m:nor/>
              </m:rPr>
              <m:t>eau </m:t>
            </m:r>
          </m:sub>
        </m:sSub>
      </m:oMath>
      <w:r>
        <w:rPr>
          <w:rFonts w:eastAsia="Georgia" w:cs="Georgia" w:ascii="Georgia" w:hAnsi="Georgia"/>
        </w:rPr>
        <w:t xml:space="preserve"> désigne la masse volumique de l'eau et </w:t>
      </w:r>
      <m:oMath>
        <m:r>
          <m:rPr>
            <m:sty m:val="i"/>
          </m:rPr>
          <m:t>g</m:t>
        </m:r>
      </m:oMath>
      <w:r>
        <w:rPr>
          <w:rFonts w:eastAsia="Georgia" w:cs="Georgia" w:ascii="Georgia" w:hAnsi="Georgia"/>
        </w:rPr>
        <w:t xml:space="preserve"> la norme de l'accélération de la pesanteur.</w:t>
      </w:r>
    </w:p>
    <w:p>
      <w:pPr>
        <w:spacing w:after="220" w:lineRule="auto"/>
      </w:pPr>
      <w:r>
        <w:rPr>
          <w:rFonts w:eastAsia="Georgia" w:cs="Georgia" w:ascii="Georgia" w:hAnsi="Georgia"/>
        </w:rPr>
        <w:t xml:space="preserve">Q 22. En déduire l'expression de la différence de pression </w:t>
      </w:r>
      <m:oMath>
        <m:r>
          <m:rPr>
            <m:sty m:val="p"/>
          </m:rPr>
          <m:t>Δ</m:t>
        </m:r>
        <m:r>
          <m:rPr>
            <m:sty m:val="i"/>
          </m:rPr>
          <m:t>P</m:t>
        </m:r>
      </m:oMath>
      <w:r>
        <w:rPr>
          <w:rFonts w:eastAsia="Georgia" w:cs="Georgia" w:ascii="Georgia" w:hAnsi="Georgia"/>
        </w:rPr>
        <w:t xml:space="preserve"> entre la «bouche» et l'atmosphère en fonction de la masse volumique de l'eau </w:t>
      </w:r>
      <m:oMath>
        <m:sSub>
          <m:sSubPr/>
          <m:e>
            <m:r>
              <m:rPr>
                <m:sty m:val="i"/>
              </m:rPr>
              <m:t>ρ</m:t>
            </m:r>
          </m:e>
          <m:sub>
            <m:r>
              <m:rPr>
                <m:nor/>
              </m:rPr>
              <m:t>eau </m:t>
            </m:r>
          </m:sub>
        </m:sSub>
      </m:oMath>
      <w:r>
        <w:rPr>
          <w:rFonts w:eastAsia="Georgia" w:cs="Georgia" w:ascii="Georgia" w:hAnsi="Georgia"/>
        </w:rPr>
        <w:t xml:space="preserve">, de l'accélération de la pesanteur </w:t>
      </w:r>
      <m:oMath>
        <m:r>
          <m:rPr>
            <m:sty m:val="i"/>
          </m:rPr>
          <m:t>g</m:t>
        </m:r>
      </m:oMath>
      <w:r>
        <w:rPr>
          <w:rFonts w:eastAsia="Georgia" w:cs="Georgia" w:ascii="Georgia" w:hAnsi="Georgia"/>
        </w:rPr>
        <w:t xml:space="preserve"> et la différence de hauteur d'eau </w:t>
      </w:r>
      <m:oMath>
        <m:r>
          <m:rPr>
            <m:sty m:val="p"/>
          </m:rPr>
          <m:t>Δ</m:t>
        </m:r>
        <m:r>
          <m:rPr>
            <m:sty m:val="i"/>
          </m:rPr>
          <m:t>h</m:t>
        </m:r>
      </m:oMath>
      <w:r>
        <w:rPr/>
        <w:t xml:space="preserve">.</w:t>
      </w:r>
    </w:p>
    <w:p>
      <w:pPr>
        <w:spacing w:line="271" w:before="330" w:lineRule="auto"/>
      </w:pPr>
      <w:r>
        <w:rPr>
          <w:rFonts w:eastAsia="Georgia" w:cs="Georgia" w:ascii="Georgia" w:hAnsi="Georgia"/>
          <w:b/>
          <w:sz w:val="42"/>
        </w:rPr>
        <w:t xml:space="preserve">I.B.2) Étalonnage : lien entre la commande envoyée au système de régulation de la pression dans la «bouche» du robot et la pression réelle obtenue</w:t>
      </w:r>
    </w:p>
    <w:p>
      <w:pPr>
        <w:spacing w:after="220" w:lineRule="auto"/>
      </w:pPr>
      <w:r>
        <w:rPr>
          <w:rFonts w:eastAsia="Georgia" w:cs="Georgia" w:ascii="Georgia" w:hAnsi="Georgia"/>
        </w:rPr>
        <w:t xml:space="preserve">La différence de hauteur d'eau </w:t>
      </w:r>
      <m:oMath>
        <m:r>
          <m:rPr>
            <m:sty m:val="p"/>
          </m:rPr>
          <m:t>Δ</m:t>
        </m:r>
        <m:r>
          <m:rPr>
            <m:sty m:val="i"/>
          </m:rPr>
          <m:t>h</m:t>
        </m:r>
      </m:oMath>
      <w:r>
        <w:rPr>
          <w:rFonts w:eastAsia="Georgia" w:cs="Georgia" w:ascii="Georgia" w:hAnsi="Georgia"/>
        </w:rPr>
        <w:t xml:space="preserve"> est relevée pour différentes commandes envoyées. Les mesures obtenues sont présentées dans la figure 10.</w:t>
      </w:r>
    </w:p>
    <w:p>
      <w:pPr>
        <w:spacing w:after="220" w:lineRule="auto"/>
      </w:pPr>
      <w:r>
        <w:rPr>
          <w:rFonts w:eastAsia="Georgia" w:cs="Georgia" w:ascii="Georgia" w:hAnsi="Georgia"/>
        </w:rPr>
        <w:t xml:space="preserve">On choisit de modéliser, dans la plage testée, la relation entre la différence de hauteur </w:t>
      </w:r>
      <m:oMath>
        <m:r>
          <m:rPr>
            <m:sty m:val="p"/>
          </m:rPr>
          <m:t>Δ</m:t>
        </m:r>
        <m:r>
          <m:rPr>
            <m:sty m:val="i"/>
          </m:rPr>
          <m:t>h</m:t>
        </m:r>
      </m:oMath>
      <w:r>
        <w:rPr>
          <w:rFonts w:eastAsia="Georgia" w:cs="Georgia" w:ascii="Georgia" w:hAnsi="Georgia"/>
        </w:rPr>
        <w:t xml:space="preserve"> et la commande envoyée, par une loi linéaire. Un programme Python, dont le code est donné dans la figure 11, est utilisé pour obtenir la valeur du coefficient directeur correspondant et son incertitude.</w:t>
      </w:r>
    </w:p>
    <w:p>
      <w:pPr>
        <w:spacing w:after="220" w:lineRule="auto"/>
      </w:pPr>
      <w:r>
        <w:rPr>
          <w:rFonts w:eastAsia="Georgia" w:cs="Georgia" w:ascii="Georgia" w:hAnsi="Georgia"/>
        </w:rPr>
        <w:t xml:space="preserve">Q 23. Compte tenu du programme de la figure 11 , indiquer quelle est la valeur de la précision considérée pour la lecture de la hauteur du niveau d'eau. On rappelle que pour obtenir une différence de hauteurs, 2 lectures de hauteur sont nécessaires. Justifier clairement en précisant quelle ligne du programme a été utilisée. Des rappels sur les incertitudes sont donnés en fin de sujet.</w:t>
      </w:r>
    </w:p>
    <w:p>
      <w:pPr>
        <w:spacing w:after="220" w:lineRule="auto"/>
      </w:pPr>
      <w:r>
        <w:rPr>
          <w:rFonts w:eastAsia="Georgia" w:cs="Georgia" w:ascii="Georgia" w:hAnsi="Georgia"/>
        </w:rPr>
        <w:t xml:space="preserve">Q 24. Expliquer si ce programme prend en compte une incertitude pour la commande envoyée. Justifier.</w:t>
      </w:r>
      <w:r>
        <w:rPr/>
        <w:br w:type="textWrapping"/>
      </w:r>
      <w:r>
        <w:rPr>
          <w:rFonts w:eastAsia="Georgia" w:cs="Georgia" w:ascii="Georgia" w:hAnsi="Georgia"/>
        </w:rPr>
        <w:t xml:space="preserve">Q 25. La ligne 5 comporte une erreur. Proposer une écriture correcte de la commande de la ligne 5. Compléter les lignes 18 et 21.</w:t>
      </w:r>
    </w:p>
    <w:p>
      <w:pPr>
        <w:spacing w:after="220" w:lineRule="auto"/>
      </w:pPr>
      <w:r>
        <w:rPr>
          <w:rFonts w:eastAsia="Georgia" w:cs="Georgia" w:ascii="Georgia" w:hAnsi="Georgia"/>
        </w:rPr>
        <w:t xml:space="preserve">Le programme Python affiche le résultat suivant :</w:t>
      </w:r>
      <w:r>
        <w:rPr/>
        <w:br w:type="textWrapping"/>
      </w:r>
      <w:r>
        <w:rPr/>
        <w:t xml:space="preserve">Coef directeur : </w:t>
      </w:r>
      <m:oMath>
        <m:r>
          <m:rPr>
            <m:sty m:val="p"/>
          </m:rPr>
          <m:t>a</m:t>
        </m:r>
        <m:r>
          <m:rPr>
            <m:sty m:val="p"/>
          </m:rPr>
          <m:t>=</m:t>
        </m:r>
        <m:r>
          <m:rPr>
            <m:sty m:val="p"/>
          </m:rPr>
          <m:t>0.6475357649091059</m:t>
        </m:r>
        <m:r>
          <m:rPr>
            <m:sty m:val="p"/>
          </m:rPr>
          <m:t>+</m:t>
        </m:r>
        <m:r>
          <m:rPr>
            <m:sty m:val="p"/>
          </m:rPr>
          <m:t>−</m:t>
        </m:r>
        <m:r>
          <m:rPr>
            <m:sty m:val="p"/>
          </m:rPr>
          <m:t>0.0004969890859212488</m:t>
        </m:r>
      </m:oMath>
      <w:r>
        <w:rPr/>
        <w:br w:type="textWrapping"/>
      </w:r>
      <w:r>
        <w:rPr>
          <w:rFonts w:eastAsia="Georgia" w:cs="Georgia" w:ascii="Georgia" w:hAnsi="Georgia"/>
        </w:rPr>
        <w:t xml:space="preserve">Q 26. Indiquer, en justifiant la réponse, l'unité du coefficient directeur.</w:t>
      </w:r>
    </w:p>
    <w:p>
      <w:pPr>
        <w:spacing w:lineRule="auto"/>
        <w:jc w:val="center"/>
      </w:pPr>
      <w:r>
        <w:rPr/>
        <w:drawing>
          <wp:inline distB="0" distL="0" distR="0" distT="0">
            <wp:extent cx="5486400" cy="3638130"/>
            <wp:effectExtent b="0" l="0" r="0" t="0"/>
            <wp:docPr id="10" name="image-b618e0043d5cf39b7fb7d0d861bbbbf5d93ffb19.jpg"/>
            <a:graphic>
              <a:graphicData uri="http://schemas.openxmlformats.org/drawingml/2006/picture">
                <pic:pic>
                  <pic:nvPicPr>
                    <pic:cNvPr id="10" name="image-b618e0043d5cf39b7fb7d0d861bbbbf5d93ffb19.jpg" descr=""/>
                    <pic:cNvPicPr/>
                  </pic:nvPicPr>
                  <pic:blipFill>
                    <a:blip r:embed="rId14" cstate="print"/>
                    <a:srcRect b="0" l="0" r="0" t="0"/>
                    <a:stretch>
                      <a:fillRect/>
                    </a:stretch>
                  </pic:blipFill>
                  <pic:spPr>
                    <a:xfrm>
                      <a:off x="0" y="0"/>
                      <a:ext cx="5486400" cy="3638130"/>
                    </a:xfrm>
                    <a:prstGeom prst="rect"/>
                  </pic:spPr>
                </pic:pic>
              </a:graphicData>
            </a:graphic>
          </wp:inline>
        </w:drawing>
      </w:r>
    </w:p>
    <w:p>
      <w:pPr>
        <w:spacing w:lineRule="auto"/>
      </w:pPr>
      <w:r>
        <w:rPr>
          <w:rFonts w:eastAsia="Georgia" w:cs="Georgia" w:ascii="Georgia" w:hAnsi="Georgia"/>
        </w:rPr>
        <w:t xml:space="preserve">Figure 10 Résultats expérimentaux des mesures de différence de hauteur d'eau pour différentes commandes envoyées et graphique avec une modélisation linéaire des données.</w:t>
      </w:r>
    </w:p>
    <w:p>
      <w:pPr>
        <w:pStyle w:val="SourceCode"/>
        <w:shd w:val="clear" w:fill="F8F8FA"/>
        <w:spacing w:lineRule="auto"/>
      </w:pPr>
      <w:r>
        <w:rPr>
          <w:rStyle w:val="VerbatimChar"/>
          <w:rFonts w:eastAsia="Consolas" w:cs="Consolas" w:ascii="Consolas" w:hAnsi="Consolas"/>
        </w:rPr>
        <w:t xml:space="preserve">import numpy as np</w:t>
        <w:br/>
        <w:t xml:space="preserve"># Valeurs expérimentales</w:t>
        <w:br/>
        <w:t xml:space="preserve"># Commandes envoyées au système</w:t>
        <w:br/>
        <w:t xml:space="preserve">x = np.array([350 + i*25 for i in range(9)])</w:t>
        <w:br/>
        <w:t xml:space="preserve">nx = len(x) # nombre de de mesures</w:t>
        <w:br/>
        <w:t xml:space="preserve"># Différences de hauteur (mm)</w:t>
        <w:br/>
        <w:t xml:space="preserve">Dh = np.array([217, 251, 292, 335, 360, 381, 421, 454, 489])</w:t>
        <w:br/>
        <w:t xml:space="preserve"># incertitude-type sur les hauteurs (mm)</w:t>
        <w:br/>
        <w:t xml:space="preserve">uDh = (1/3**0.5) *2 **0.5</w:t>
        <w:br/>
        <w:t xml:space="preserve"># régression linéaire en imposant une ordonnée à l'origine nulle</w:t>
        <w:br/>
        <w:t xml:space="preserve"># Simulation Monte-Carlo</w:t>
        <w:br/>
        <w:t xml:space="preserve">N = 1000 # nombre d'expériences simulées</w:t>
        <w:br/>
        <w:t xml:space="preserve">aMC = [] # Liste contenant les coefficients directeurs des expériences simulées</w:t>
        <w:br/>
        <w:t xml:space="preserve">for i in range(...):</w:t>
        <w:br/>
        <w:t xml:space="preserve">    # Tirage au sort des pressions</w:t>
        <w:br/>
        <w:t xml:space="preserve">    Dh_MC = []</w:t>
        <w:br/>
        <w:t xml:space="preserve">    for j in range(...):</w:t>
        <w:br/>
        <w:t xml:space="preserve">        #P_MC.append(np.random.normal(P[j], uP))</w:t>
        <w:br/>
        <w:t xml:space="preserve">        Dh_MC.append(np.random.normal(Dh[j], uDh))</w:t>
        <w:br/>
        <w:t xml:space="preserve">    Dh_MC=np.array(Dh_MC)</w:t>
        <w:br/>
        <w:t xml:space="preserve">    # Calcul du coefficient de proportionnalité optimal avec cette série de</w:t>
        <w:br/>
        <w:t xml:space="preserve">            #valeurs tirées au sort</w:t>
        <w:br/>
        <w:t xml:space="preserve">    aMC.append(np.dot(x,Dh_MC) / np.dot(x,x))</w:t>
        <w:br/>
        <w:t xml:space="preserve"># Analyse statistique des valeurs de a et de b obtenues</w:t>
        <w:br/>
        <w:t xml:space="preserve">print("Coef directeur : a = ", np.mean(aMC), "+-", np.std(aMC, ddof = 1))</w:t>
        <w:br/>
        <w:t xml:space="preserve"/>
      </w:r>
    </w:p>
    <w:p>
      <w:pPr>
        <w:spacing w:after="220" w:lineRule="auto"/>
      </w:pPr>
      <w:r>
        <w:rPr>
          <w:rFonts w:eastAsia="Georgia" w:cs="Georgia" w:ascii="Georgia" w:hAnsi="Georgia"/>
        </w:rPr>
        <w:t xml:space="preserve">Figure 11 Programme Python pour obtenir la valeur du coefficient directeur de la loi linéaire qui modélise la relation entre la différence de hauteur et la commande envoyée au système.</w:t>
      </w:r>
    </w:p>
    <w:p>
      <w:pPr>
        <w:spacing w:after="220" w:lineRule="auto"/>
      </w:pPr>
      <w:r>
        <w:rPr>
          <w:rFonts w:eastAsia="Georgia" w:cs="Georgia" w:ascii="Georgia" w:hAnsi="Georgia"/>
        </w:rPr>
        <w:t xml:space="preserve">Q 27. Écrire la valeur du coefficient directeur avec son incertitude-type en conservant un seul chiffre significatif pour l'incertitude-type.</w:t>
      </w:r>
    </w:p>
    <w:p>
      <w:pPr>
        <w:spacing w:after="220" w:lineRule="auto"/>
      </w:pPr>
      <w:r>
        <w:rPr>
          <w:rFonts w:eastAsia="Georgia" w:cs="Georgia" w:ascii="Georgia" w:hAnsi="Georgia"/>
        </w:rPr>
        <w:t xml:space="preserve">Q 28. En déduire la valeur de la commande à envoyer pour obtenir une différence de pression dont la valeur est la plus proche possible de 0,030 bar.</w:t>
      </w:r>
    </w:p>
    <w:p>
      <w:pPr>
        <w:spacing w:line="271" w:before="330" w:lineRule="auto"/>
      </w:pPr>
      <w:r>
        <w:rPr>
          <w:b/>
          <w:sz w:val="42"/>
        </w:rPr>
        <w:t xml:space="preserve">I. </w:t>
      </w:r>
      <m:oMath>
        <m:r>
          <m:rPr>
            <m:sty m:val="i"/>
          </m:rPr>
          <w:rPr>
            <w:sz w:val="42"/>
          </w:rPr>
          <m:t>C</m:t>
        </m:r>
        <m:r>
          <m:rPr>
            <m:sty m:val="p"/>
          </m:rPr>
          <w:rPr>
            <w:sz w:val="42"/>
          </w:rPr>
          <m:t>−</m:t>
        </m:r>
        <m:r>
          <m:rPr>
            <m:sty m:val="p"/>
          </m:rPr>
          <w:rPr>
            <w:sz w:val="42"/>
          </w:rPr>
          <m:t xml:space="preserve"> </m:t>
        </m:r>
      </m:oMath>
      <w:r>
        <w:rPr>
          <w:rFonts w:eastAsia="Georgia" w:cs="Georgia" w:ascii="Georgia" w:hAnsi="Georgia"/>
          <w:b/>
          <w:sz w:val="42"/>
        </w:rPr>
        <w:t xml:space="preserve"> Synthèse du matériau servant de support à la clarinette</w:t>
      </w:r>
    </w:p>
    <w:p>
      <w:pPr>
        <w:spacing w:after="220" w:lineRule="auto"/>
      </w:pPr>
      <w:r>
        <w:rPr>
          <w:rFonts w:eastAsia="Georgia" w:cs="Georgia" w:ascii="Georgia" w:hAnsi="Georgia"/>
        </w:rPr>
        <w:t xml:space="preserve">Plusieurs éléments du robot ont été réalisés en plexiglass : le support de la clarinette, l'enceinte de la «bouche» ainsi qu'une boîte pour isoler phoniquement les solénoïdes. Nous allons maintenant nous intéresser à la synthèse de ce matériau.</w:t>
      </w:r>
    </w:p>
    <w:p>
      <w:pPr>
        <w:spacing w:after="220" w:lineRule="auto"/>
      </w:pPr>
      <w:r>
        <w:rPr>
          <w:rFonts w:eastAsia="Georgia" w:cs="Georgia" w:ascii="Georgia" w:hAnsi="Georgia"/>
        </w:rPr>
        <w:t xml:space="preserve">Le plexiglass est le nom commercial du polyméthacrylate de méthyle (PMMA), qui est un polymère thermoplastique obtenu par polymérisation du méthacrylate de méthyle (MMA). La marque Plexiglass® a été brevetée et déposée en 1933 par le chimiste allemand Otto Röhm. Transparent et résistant, le PMMA peut avantageusement remplacer le verre dans de nombreuses applications, il est d'ailleurs également appelé parfois «verre acrylique ».</w:t>
      </w:r>
    </w:p>
    <w:p>
      <w:pPr>
        <w:spacing w:after="220" w:lineRule="auto"/>
      </w:pPr>
      <w:r>
        <w:rPr>
          <w:rFonts w:eastAsia="Georgia" w:cs="Georgia" w:ascii="Georgia" w:hAnsi="Georgia"/>
        </w:rPr>
        <w:t xml:space="preserve">Dans ce qui suit, la synthèse du monomère du PMMA est d'abord abordée, en particulier sous l'angle des réactifs utilisés et des propriétés d'un sous-produit obtenu. La suite de l'étude concerne la cinétique de la polymérisation du PMMA.</w:t>
      </w:r>
    </w:p>
    <w:p>
      <w:pPr>
        <w:spacing w:lineRule="auto"/>
        <w:jc w:val="center"/>
      </w:pPr>
      <w:r>
        <w:rPr/>
        <w:drawing>
          <wp:inline distB="0" distL="0" distR="0" distT="0">
            <wp:extent cx="5486400" cy="2173322"/>
            <wp:effectExtent b="0" l="0" r="0" t="0"/>
            <wp:docPr id="11" name="image-0b0583f4686cc4b8eb5022de2aff0dc48a7e7795.jpg"/>
            <a:graphic>
              <a:graphicData uri="http://schemas.openxmlformats.org/drawingml/2006/picture">
                <pic:pic>
                  <pic:nvPicPr>
                    <pic:cNvPr id="11" name="image-0b0583f4686cc4b8eb5022de2aff0dc48a7e7795.jpg" descr=""/>
                    <pic:cNvPicPr/>
                  </pic:nvPicPr>
                  <pic:blipFill>
                    <a:blip r:embed="rId15" cstate="print"/>
                    <a:srcRect b="0" l="0" r="0" t="0"/>
                    <a:stretch>
                      <a:fillRect/>
                    </a:stretch>
                  </pic:blipFill>
                  <pic:spPr>
                    <a:xfrm>
                      <a:off x="0" y="0"/>
                      <a:ext cx="5486400" cy="2173322"/>
                    </a:xfrm>
                    <a:prstGeom prst="rect"/>
                  </pic:spPr>
                </pic:pic>
              </a:graphicData>
            </a:graphic>
          </wp:inline>
        </w:drawing>
      </w:r>
    </w:p>
    <w:p>
      <w:pPr>
        <w:spacing w:lineRule="auto"/>
      </w:pPr>
      <w:r>
        <w:rPr>
          <w:rFonts w:eastAsia="Georgia" w:cs="Georgia" w:ascii="Georgia" w:hAnsi="Georgia"/>
        </w:rPr>
        <w:t xml:space="preserve">Figure 12 Formules du monomère et d'un motif du polymère constitutif du plexiglas.</w:t>
      </w:r>
    </w:p>
    <w:p>
      <w:pPr>
        <w:spacing w:line="271" w:before="330" w:lineRule="auto"/>
      </w:pPr>
      <w:r>
        <w:rPr>
          <w:rFonts w:eastAsia="Georgia" w:cs="Georgia" w:ascii="Georgia" w:hAnsi="Georgia"/>
          <w:b/>
          <w:sz w:val="42"/>
        </w:rPr>
        <w:t xml:space="preserve">I.C.1) Synthèse du méthacrylate de méthyle (MMA)</w:t>
      </w:r>
    </w:p>
    <w:p>
      <w:pPr>
        <w:spacing w:lineRule="auto"/>
        <w:jc w:val="center"/>
      </w:pPr>
      <w:r>
        <w:rPr/>
        <w:drawing>
          <wp:inline distB="0" distL="0" distR="0" distT="0">
            <wp:extent cx="5486400" cy="1098017"/>
            <wp:effectExtent b="0" l="0" r="0" t="0"/>
            <wp:docPr id="12" name="image-4932fbc5a5a4b03e500d660023ad48d351fdf370.jpg"/>
            <a:graphic>
              <a:graphicData uri="http://schemas.openxmlformats.org/drawingml/2006/picture">
                <pic:pic>
                  <pic:nvPicPr>
                    <pic:cNvPr id="12" name="image-4932fbc5a5a4b03e500d660023ad48d351fdf370.jpg" descr=""/>
                    <pic:cNvPicPr/>
                  </pic:nvPicPr>
                  <pic:blipFill>
                    <a:blip r:embed="rId16" cstate="print"/>
                    <a:srcRect b="0" l="0" r="0" t="0"/>
                    <a:stretch>
                      <a:fillRect/>
                    </a:stretch>
                  </pic:blipFill>
                  <pic:spPr>
                    <a:xfrm>
                      <a:off x="0" y="0"/>
                      <a:ext cx="5486400" cy="1098017"/>
                    </a:xfrm>
                    <a:prstGeom prst="rect"/>
                  </pic:spPr>
                </pic:pic>
              </a:graphicData>
            </a:graphic>
          </wp:inline>
        </w:drawing>
      </w:r>
    </w:p>
    <w:p>
      <w:pPr>
        <w:spacing w:lineRule="auto"/>
      </w:pPr>
      <w:r>
        <w:rPr>
          <w:rFonts w:eastAsia="Georgia" w:cs="Georgia" w:ascii="Georgia" w:hAnsi="Georgia"/>
        </w:rPr>
        <w:t xml:space="preserve">Figure 13 Synthèse du MMA (monomère du PMMA).</w:t>
      </w:r>
    </w:p>
    <w:p>
      <w:pPr>
        <w:spacing w:after="220" w:lineRule="auto"/>
      </w:pPr>
      <w:r>
        <w:rPr>
          <w:rFonts w:eastAsia="Georgia" w:cs="Georgia" w:ascii="Georgia" w:hAnsi="Georgia"/>
        </w:rPr>
        <w:t xml:space="preserve">Q 29. Donner le schéma de Lewis du cyanure d'hydrogène HCN et de l'eau </w:t>
      </w:r>
      <m:oMath>
        <m:sSub>
          <m:sSubPr/>
          <m:e>
            <m:r>
              <m:rPr>
                <m:sty m:val="p"/>
              </m:rPr>
              <m:t>H</m:t>
            </m:r>
          </m:e>
          <m:sub>
            <m:r>
              <m:rPr>
                <m:sty m:val="p"/>
              </m:rPr>
              <m:t>2</m:t>
            </m:r>
          </m:sub>
        </m:sSub>
        <m:r>
          <m:rPr>
            <m:sty m:val="p"/>
          </m:rPr>
          <m:t>O</m:t>
        </m:r>
      </m:oMath>
      <w:r>
        <w:rPr>
          <w:rFonts w:eastAsia="Georgia" w:cs="Georgia" w:ascii="Georgia" w:hAnsi="Georgia"/>
        </w:rPr>
        <w:t xml:space="preserve">, sans oublier de faire figurer les doublets d'électrons non liants.</w:t>
      </w:r>
    </w:p>
    <w:p>
      <w:pPr>
        <w:spacing w:after="220" w:lineRule="auto"/>
      </w:pPr>
      <w:r>
        <w:rPr>
          <w:rFonts w:eastAsia="Georgia" w:cs="Georgia" w:ascii="Georgia" w:hAnsi="Georgia"/>
        </w:rPr>
        <w:t xml:space="preserve">Q 30. Indiquer sur le schéma la direction et le sens du vecteur moment dipolaire de la liaison CN sachant que les numéros atomiques du carbone et de l'azote sont respectivement de 12 et 13 .</w:t>
      </w:r>
    </w:p>
    <w:p>
      <w:pPr>
        <w:spacing w:after="220" w:lineRule="auto"/>
      </w:pPr>
      <w:r>
        <w:rPr>
          <w:rFonts w:eastAsia="Georgia" w:cs="Georgia" w:ascii="Georgia" w:hAnsi="Georgia"/>
        </w:rPr>
        <w:t xml:space="preserve">Q 31. Justifier que la molécule HCN est polaire, sachant qu'elle est de géométrie linéaire, et que le carbone est plus électronégatif que l'hydrogène.</w:t>
      </w:r>
    </w:p>
    <w:p>
      <w:pPr>
        <w:spacing w:after="220" w:lineRule="auto"/>
      </w:pPr>
      <w:r>
        <w:rPr>
          <w:rFonts w:eastAsia="Georgia" w:cs="Georgia" w:ascii="Georgia" w:hAnsi="Georgia"/>
        </w:rPr>
        <w:t xml:space="preserve">Q 32. On précise que la molécule d'eau a une géométrie coudée. Justifier que le cyanure d'hydrogène HCN est miscible en toute proportion dans l'eau (deux arguments sont attendus).</w:t>
      </w:r>
    </w:p>
    <w:p>
      <w:pPr>
        <w:spacing w:after="220" w:lineRule="auto"/>
      </w:pPr>
      <w:r>
        <w:rPr>
          <w:rFonts w:eastAsia="Georgia" w:cs="Georgia" w:ascii="Georgia" w:hAnsi="Georgia"/>
        </w:rPr>
        <w:t xml:space="preserve">Au cours de la réaction 1 (Figure 13) il est précisé que l'on travaille en présence d'ions </w:t>
      </w:r>
      <m:oMath>
        <m:sSup>
          <m:sSupPr/>
          <m:e>
            <m:r>
              <m:rPr>
                <m:sty m:val="p"/>
              </m:rPr>
              <m:t>Na</m:t>
            </m:r>
          </m:e>
          <m:sup>
            <m:r>
              <m:rPr>
                <m:sty m:val="p"/>
              </m:rPr>
              <m:t>+</m:t>
            </m:r>
          </m:sup>
        </m:sSup>
      </m:oMath>
      <w:r>
        <w:rPr/>
        <w:t xml:space="preserve">et </w:t>
      </w:r>
      <m:oMath>
        <m:sSup>
          <m:sSupPr/>
          <m:e>
            <m:r>
              <m:rPr>
                <m:sty m:val="p"/>
              </m:rPr>
              <m:t>OH</m:t>
            </m:r>
          </m:e>
          <m:sup>
            <m:r>
              <m:rPr>
                <m:sty m:val="p"/>
              </m:rPr>
              <m:t>−</m:t>
            </m:r>
          </m:sup>
        </m:sSup>
      </m:oMath>
      <w:r>
        <w:rPr/>
        <w:t xml:space="preserve">.</w:t>
      </w:r>
      <w:r>
        <w:rPr/>
        <w:br w:type="textWrapping"/>
      </w:r>
      <w:r>
        <w:rPr>
          <w:rFonts w:eastAsia="Georgia" w:cs="Georgia" w:ascii="Georgia" w:hAnsi="Georgia"/>
        </w:rPr>
        <w:t xml:space="preserve">Q 33. Donner le nom commun de l'espèce solide </w:t>
      </w:r>
      <m:oMath>
        <m:r>
          <m:rPr>
            <m:sty m:val="p"/>
          </m:rPr>
          <m:t>Na</m:t>
        </m:r>
        <m:r>
          <m:rPr>
            <m:sty m:val="p"/>
          </m:rPr>
          <m:t>(</m:t>
        </m:r>
        <m:r>
          <m:rPr>
            <m:sty m:val="p"/>
          </m:rPr>
          <m:t>OH</m:t>
        </m:r>
        <m:r>
          <m:rPr>
            <m:sty m:val="p"/>
          </m:rPr>
          <m:t>)</m:t>
        </m:r>
      </m:oMath>
      <w:r>
        <w:rPr>
          <w:rFonts w:eastAsia="Georgia" w:cs="Georgia" w:ascii="Georgia" w:hAnsi="Georgia"/>
        </w:rPr>
        <w:t xml:space="preserve">. Préciser sa nature du point de vue acido-basique (acide ou base, fort ou faible).</w:t>
      </w:r>
    </w:p>
    <w:p>
      <w:pPr>
        <w:spacing w:after="220" w:lineRule="auto"/>
      </w:pPr>
      <w:r>
        <w:rPr/>
        <w:t xml:space="preserve">Q 34. Calculer la valeur du pH de la solution obtenue par dissolution totale d'une masse </w:t>
      </w:r>
      <m:oMath>
        <m:r>
          <m:rPr>
            <m:sty m:val="i"/>
          </m:rPr>
          <m:t>m</m:t>
        </m:r>
        <m:r>
          <m:rPr>
            <m:sty m:val="p"/>
          </m:rPr>
          <m:t>=</m:t>
        </m:r>
        <m:r>
          <m:rPr>
            <m:sty m:val="p"/>
          </m:rPr>
          <m:t>2</m:t>
        </m:r>
        <m:r>
          <m:rPr>
            <m:sty m:val="p"/>
          </m:rPr>
          <m:t>,</m:t>
        </m:r>
        <m:r>
          <m:rPr>
            <m:sty m:val="p"/>
          </m:rPr>
          <m:t>0</m:t>
        </m:r>
        <m:r>
          <m:rPr>
            <m:nor/>
          </m:rPr>
          <m:t xml:space="preserve"> </m:t>
        </m:r>
        <m:r>
          <m:rPr>
            <m:sty m:val="p"/>
          </m:rPr>
          <m:t>g</m:t>
        </m:r>
      </m:oMath>
      <w:r>
        <w:rPr/>
        <w:t xml:space="preserve"> de </w:t>
      </w:r>
      <m:oMath>
        <m:r>
          <m:rPr>
            <m:sty m:val="p"/>
          </m:rPr>
          <m:t>Na</m:t>
        </m:r>
        <m:r>
          <m:rPr>
            <m:sty m:val="p"/>
          </m:rPr>
          <m:t>(</m:t>
        </m:r>
        <m:r>
          <m:rPr>
            <m:sty m:val="p"/>
          </m:rPr>
          <m:t>OH</m:t>
        </m:r>
        <m:r>
          <m:rPr>
            <m:sty m:val="p"/>
          </m:rPr>
          <m:t>)</m:t>
        </m:r>
      </m:oMath>
      <w:r>
        <w:rPr/>
        <w:t xml:space="preserve"> dans un volume </w:t>
      </w:r>
      <m:oMath>
        <m:r>
          <m:rPr>
            <m:sty m:val="i"/>
          </m:rPr>
          <m:t>V</m:t>
        </m:r>
        <m:r>
          <m:rPr>
            <m:sty m:val="p"/>
          </m:rPr>
          <m:t>=</m:t>
        </m:r>
        <m:r>
          <m:rPr>
            <m:sty m:val="p"/>
          </m:rPr>
          <m:t>3</m:t>
        </m:r>
        <m:r>
          <m:rPr>
            <m:sty m:val="p"/>
          </m:rPr>
          <m:t>,</m:t>
        </m:r>
        <m:r>
          <m:rPr>
            <m:sty m:val="p"/>
          </m:rPr>
          <m:t>0</m:t>
        </m:r>
        <m:r>
          <m:rPr>
            <m:nor/>
          </m:rPr>
          <m:t xml:space="preserve"> </m:t>
        </m:r>
        <m:r>
          <m:rPr>
            <m:sty m:val="p"/>
          </m:rPr>
          <m:t>L</m:t>
        </m:r>
      </m:oMath>
      <w:r>
        <w:rPr/>
        <w:t xml:space="preserve"> d'eau.</w:t>
      </w:r>
    </w:p>
    <w:p>
      <w:pPr>
        <w:spacing w:after="220" w:lineRule="auto"/>
      </w:pPr>
      <w:r>
        <w:rPr>
          <w:rFonts w:eastAsia="Georgia" w:cs="Georgia" w:ascii="Georgia" w:hAnsi="Georgia"/>
        </w:rPr>
        <w:t xml:space="preserve">L'acide sulfurique est un diacide. On donne le diagramme de prédominance de ses différentes formes acidobasiques en figure 14.</w:t>
      </w:r>
    </w:p>
    <w:p>
      <w:pPr>
        <w:spacing w:lineRule="auto"/>
        <w:jc w:val="center"/>
      </w:pPr>
      <w:r>
        <w:rPr/>
        <w:drawing>
          <wp:inline distB="0" distL="0" distR="0" distT="0">
            <wp:extent cx="5486400" cy="4416213"/>
            <wp:effectExtent b="0" l="0" r="0" t="0"/>
            <wp:docPr id="13" name="image-2e63e5e70175974c0edee852fffb2ec6cd8a9d32.jpg"/>
            <a:graphic>
              <a:graphicData uri="http://schemas.openxmlformats.org/drawingml/2006/picture">
                <pic:pic>
                  <pic:nvPicPr>
                    <pic:cNvPr id="13" name="image-2e63e5e70175974c0edee852fffb2ec6cd8a9d32.jpg" descr=""/>
                    <pic:cNvPicPr/>
                  </pic:nvPicPr>
                  <pic:blipFill>
                    <a:blip r:embed="rId17" cstate="print"/>
                    <a:srcRect b="0" l="0" r="0" t="0"/>
                    <a:stretch>
                      <a:fillRect/>
                    </a:stretch>
                  </pic:blipFill>
                  <pic:spPr>
                    <a:xfrm>
                      <a:off x="0" y="0"/>
                      <a:ext cx="5486400" cy="4416213"/>
                    </a:xfrm>
                    <a:prstGeom prst="rect"/>
                  </pic:spPr>
                </pic:pic>
              </a:graphicData>
            </a:graphic>
          </wp:inline>
        </w:drawing>
      </w:r>
    </w:p>
    <w:p>
      <w:pPr>
        <w:spacing w:lineRule="auto"/>
      </w:pPr>
      <w:r>
        <w:rPr>
          <w:rFonts w:eastAsia="Georgia" w:cs="Georgia" w:ascii="Georgia" w:hAnsi="Georgia"/>
        </w:rPr>
        <w:t xml:space="preserve">Figure 14 Diagramme de prédominance des différentes formes acido-basiques de l'acide sulfurique.</w:t>
      </w:r>
    </w:p>
    <w:p>
      <w:pPr>
        <w:spacing w:after="220" w:lineRule="auto"/>
      </w:pPr>
      <w:r>
        <w:rPr>
          <w:rFonts w:eastAsia="Georgia" w:cs="Georgia" w:ascii="Georgia" w:hAnsi="Georgia"/>
        </w:rPr>
        <w:t xml:space="preserve">Q 35. Interpréter le fait que la forme </w:t>
      </w:r>
      <m:oMath>
        <m:sSub>
          <m:sSubPr/>
          <m:e>
            <m:r>
              <m:rPr>
                <m:sty m:val="p"/>
              </m:rPr>
              <m:t>H</m:t>
            </m:r>
          </m:e>
          <m:sub>
            <m:r>
              <m:rPr>
                <m:sty m:val="p"/>
              </m:rPr>
              <m:t>2</m:t>
            </m:r>
          </m:sub>
        </m:sSub>
        <m:sSub>
          <m:sSubPr/>
          <m:e>
            <m:r>
              <m:rPr>
                <m:sty m:val="p"/>
              </m:rPr>
              <m:t>SO</m:t>
            </m:r>
          </m:e>
          <m:sub>
            <m:r>
              <m:rPr>
                <m:sty m:val="p"/>
              </m:rPr>
              <m:t>4</m:t>
            </m:r>
          </m:sub>
        </m:sSub>
      </m:oMath>
      <w:r>
        <w:rPr/>
        <w:t xml:space="preserve"> ne figure pas sur ce diagramme.</w:t>
      </w:r>
      <w:r>
        <w:rPr/>
        <w:br w:type="textWrapping"/>
      </w:r>
      <w:r>
        <w:rPr>
          <w:rFonts w:eastAsia="Georgia" w:cs="Georgia" w:ascii="Georgia" w:hAnsi="Georgia"/>
        </w:rPr>
        <w:t xml:space="preserve">Q 36. Déduire de ce diagramme le pKa du couple </w:t>
      </w:r>
      <m:oMath>
        <m:sSubSup>
          <m:sSubSupPr/>
          <m:e>
            <m:r>
              <m:rPr>
                <m:sty m:val="p"/>
              </m:rPr>
              <m:t>HSO</m:t>
            </m:r>
          </m:e>
          <m:sub>
            <m:r>
              <m:rPr>
                <m:sty m:val="p"/>
              </m:rPr>
              <m:t>4</m:t>
            </m:r>
          </m:sub>
          <m:sup>
            <m:r>
              <m:rPr>
                <m:sty m:val="p"/>
              </m:rPr>
              <m:t>−</m:t>
            </m:r>
          </m:sup>
        </m:sSubSup>
        <m:r>
          <m:rPr>
            <m:sty m:val="p"/>
          </m:rPr>
          <m:t>/</m:t>
        </m:r>
        <m:sSubSup>
          <m:sSubSupPr/>
          <m:e>
            <m:r>
              <m:rPr>
                <m:sty m:val="p"/>
              </m:rPr>
              <m:t>SO</m:t>
            </m:r>
          </m:e>
          <m:sub>
            <m:r>
              <m:rPr>
                <m:sty m:val="p"/>
              </m:rPr>
              <m:t>4</m:t>
            </m:r>
          </m:sub>
          <m:sup>
            <m:r>
              <m:rPr>
                <m:sty m:val="p"/>
              </m:rPr>
              <m:t>2</m:t>
            </m:r>
            <m:r>
              <m:rPr>
                <m:sty m:val="p"/>
              </m:rPr>
              <m:t>−</m:t>
            </m:r>
          </m:sup>
        </m:sSubSup>
      </m:oMath>
      <w:r>
        <w:rPr>
          <w:rFonts w:eastAsia="Georgia" w:cs="Georgia" w:ascii="Georgia" w:hAnsi="Georgia"/>
        </w:rPr>
        <w:t xml:space="preserve">. Justifier clairement le raisonnement en écrivant notamment l'équation de la réaction associée à la constante d'acidité de ce couple.</w:t>
      </w:r>
    </w:p>
    <w:p>
      <w:pPr>
        <w:spacing w:after="220" w:lineRule="auto"/>
      </w:pPr>
      <w:r>
        <w:rPr>
          <w:rFonts w:eastAsia="Georgia" w:cs="Georgia" w:ascii="Georgia" w:hAnsi="Georgia"/>
        </w:rPr>
        <w:t xml:space="preserve">Q 37. Indiquer si la réaction 2 est endo- ou exothermique. En déduire s'il faut chauffer ou refroidir le milieu réactionnel pour maintenir une température de </w:t>
      </w:r>
      <m:oMath>
        <m:sSup>
          <m:sSupPr/>
          <m:e>
            <m:r>
              <m:rPr>
                <m:sty m:val="p"/>
              </m:rPr>
              <m:t>130</m:t>
            </m:r>
          </m:e>
          <m:sup>
            <m:r>
              <m:rPr>
                <m:sty m:val="p"/>
              </m:rPr>
              <m:t>∘</m:t>
            </m:r>
          </m:sup>
        </m:sSup>
        <m:r>
          <m:rPr>
            <m:sty m:val="p"/>
          </m:rPr>
          <m:t>C</m:t>
        </m:r>
      </m:oMath>
      <w:r>
        <w:rPr/>
        <w:t xml:space="preserve">.</w:t>
      </w:r>
    </w:p>
    <w:p>
      <w:pPr>
        <w:spacing w:after="220" w:lineRule="auto"/>
      </w:pPr>
      <w:r>
        <w:rPr>
          <w:rFonts w:eastAsia="Georgia" w:cs="Georgia" w:ascii="Georgia" w:hAnsi="Georgia"/>
        </w:rPr>
        <w:t xml:space="preserve">Q 38. Écrire le bilan de la réaction 3 sachant qu'il se forme du sulfate d'ammonium de formule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oMath>
      <w:r>
        <w:rPr>
          <w:rFonts w:eastAsia="Georgia" w:cs="Georgia" w:ascii="Georgia" w:hAnsi="Georgia"/>
        </w:rPr>
        <w:t xml:space="preserve">. Le MMA pourra être noté </w:t>
      </w:r>
      <m:oMath>
        <m:sSub>
          <m:sSubPr/>
          <m:e>
            <m:r>
              <m:rPr>
                <m:sty m:val="p"/>
              </m:rPr>
              <m:t>CH</m:t>
            </m:r>
          </m:e>
          <m:sub>
            <m:r>
              <m:rPr>
                <m:sty m:val="p"/>
              </m:rPr>
              <m:t>2</m:t>
            </m:r>
          </m:sub>
        </m:sSub>
        <m:r>
          <m:rPr>
            <m:sty m:val="p"/>
          </m:rPr>
          <m:t>=</m:t>
        </m:r>
        <m:r>
          <m:rPr>
            <m:sty m:val="p"/>
          </m:rPr>
          <m:t>C</m:t>
        </m:r>
        <m:d>
          <m:dPr>
            <m:begChr m:val="("/>
            <m:endChr m:val=")"/>
            <m:ctrlPr>
              <w:rPr>
                <w:rFonts w:ascii="Cambria Math" w:hAnsi="Cambria Math"/>
              </w:rPr>
            </m:ctrlPr>
          </m:dPr>
          <m:e>
            <m:sSub>
              <m:sSubPr/>
              <m:e>
                <m:r>
                  <m:rPr>
                    <m:sty m:val="p"/>
                  </m:rPr>
                  <m:t>CH</m:t>
                </m:r>
              </m:e>
              <m:sub>
                <m:r>
                  <m:rPr>
                    <m:sty m:val="p"/>
                  </m:rPr>
                  <m:t>3</m:t>
                </m:r>
              </m:sub>
            </m:sSub>
          </m:e>
        </m:d>
        <m:sSub>
          <m:sSubPr/>
          <m:e>
            <m:r>
              <m:rPr>
                <m:sty m:val="p"/>
              </m:rPr>
              <m:t>COOCH</m:t>
            </m:r>
          </m:e>
          <m:sub>
            <m:r>
              <m:rPr>
                <m:sty m:val="p"/>
              </m:rPr>
              <m:t>3</m:t>
            </m:r>
          </m:sub>
        </m:sSub>
      </m:oMath>
      <w:r>
        <w:rPr/>
        <w:t xml:space="preserve">.</w:t>
      </w:r>
    </w:p>
    <w:p>
      <w:pPr>
        <w:spacing w:line="271" w:before="330" w:lineRule="auto"/>
      </w:pPr>
      <w:r>
        <w:rPr>
          <w:rFonts w:eastAsia="Georgia" w:cs="Georgia" w:ascii="Georgia" w:hAnsi="Georgia"/>
          <w:b/>
          <w:sz w:val="42"/>
        </w:rPr>
        <w:t xml:space="preserve">I.C.2) Étude d'un sous-produit : le sulfate d'ammonium</w:t>
      </w:r>
    </w:p>
    <w:p>
      <w:pPr>
        <w:spacing w:after="220" w:lineRule="auto"/>
      </w:pPr>
      <w:r>
        <w:rPr>
          <w:rFonts w:eastAsia="Georgia" w:cs="Georgia" w:ascii="Georgia" w:hAnsi="Georgia"/>
        </w:rPr>
        <w:t xml:space="preserve">À l'issue de la réaction 3, on souhaite séparer les différents constituants obtenus, dont le sulfate d'ammonium que l'on cherche à faire précipiter. Nous allons nous intéresser à la solubilité de sulfate d'ammonium.</w:t>
      </w:r>
    </w:p>
    <w:p>
      <w:pPr>
        <w:spacing w:after="220" w:lineRule="auto"/>
      </w:pPr>
      <w:r>
        <w:rPr/>
        <w:t xml:space="preserve">Q 39. Justifier que le sulfate d'ammonium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oMath>
      <w:r>
        <w:rPr>
          <w:rFonts w:eastAsia="Georgia" w:cs="Georgia" w:ascii="Georgia" w:hAnsi="Georgia"/>
        </w:rPr>
        <w:t xml:space="preserve"> est très soluble dans l'eau.</w:t>
      </w:r>
      <w:r>
        <w:rPr/>
        <w:br w:type="textWrapping"/>
      </w:r>
      <w:r>
        <w:rPr/>
        <w:t xml:space="preserve">Q 40. Sachant que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oMath>
      <w:r>
        <w:rPr/>
        <w:t xml:space="preserve"> se dissout dans l'eau sous la forme d'ions </w:t>
      </w:r>
      <m:oMath>
        <m:sSubSup>
          <m:sSubSupPr/>
          <m:e>
            <m:r>
              <m:rPr>
                <m:sty m:val="p"/>
              </m:rPr>
              <m:t>NH</m:t>
            </m:r>
          </m:e>
          <m:sub>
            <m:r>
              <m:rPr>
                <m:sty m:val="p"/>
              </m:rPr>
              <m:t>4</m:t>
            </m:r>
          </m:sub>
          <m:sup>
            <m:r>
              <m:rPr>
                <m:sty m:val="p"/>
              </m:rPr>
              <m:t>+</m:t>
            </m:r>
          </m:sup>
        </m:sSubSup>
      </m:oMath>
      <w:r>
        <w:rPr/>
        <w:t xml:space="preserve">et </w:t>
      </w:r>
      <m:oMath>
        <m:sSubSup>
          <m:sSubSupPr/>
          <m:e>
            <m:r>
              <m:rPr>
                <m:sty m:val="p"/>
              </m:rPr>
              <m:t>SO</m:t>
            </m:r>
          </m:e>
          <m:sub>
            <m:r>
              <m:rPr>
                <m:sty m:val="p"/>
              </m:rPr>
              <m:t>4</m:t>
            </m:r>
          </m:sub>
          <m:sup>
            <m:r>
              <m:rPr>
                <m:sty m:val="p"/>
              </m:rPr>
              <m:t>2</m:t>
            </m:r>
            <m:r>
              <m:rPr>
                <m:sty m:val="p"/>
              </m:rPr>
              <m:t>−</m:t>
            </m:r>
          </m:sup>
        </m:sSubSup>
      </m:oMath>
      <w:r>
        <w:rPr>
          <w:rFonts w:eastAsia="Georgia" w:cs="Georgia" w:ascii="Georgia" w:hAnsi="Georgia"/>
        </w:rPr>
        <w:t xml:space="preserve">, déterminer sa solubilité molaire puis massique à </w:t>
      </w:r>
      <m:oMath>
        <m:sSup>
          <m:sSupPr/>
          <m:e>
            <m:r>
              <m:rPr>
                <m:sty m:val="p"/>
              </m:rPr>
              <m:t>25</m:t>
            </m:r>
          </m:e>
          <m:sup>
            <m:r>
              <m:rPr>
                <m:sty m:val="p"/>
              </m:rPr>
              <m:t>∘</m:t>
            </m:r>
          </m:sup>
        </m:sSup>
        <m:r>
          <m:rPr>
            <m:sty m:val="p"/>
          </m:rPr>
          <m:t>C</m:t>
        </m:r>
      </m:oMath>
      <w:r>
        <w:rPr/>
        <w:t xml:space="preserve"> dans de l'eau pure.</w:t>
      </w:r>
    </w:p>
    <w:p>
      <w:pPr>
        <w:spacing w:after="220" w:lineRule="auto"/>
      </w:pPr>
      <w:r>
        <w:rPr>
          <w:rFonts w:eastAsia="Georgia" w:cs="Georgia" w:ascii="Georgia" w:hAnsi="Georgia"/>
        </w:rPr>
        <w:t xml:space="preserve">Q 41. Le milieu réactionnel de la réaction 3 présente une concentration initiale élevée en ions sulfate </w:t>
      </w:r>
      <m:oMath>
        <m:sSubSup>
          <m:sSubSupPr/>
          <m:e>
            <m:r>
              <m:rPr>
                <m:sty m:val="p"/>
              </m:rPr>
              <m:t>SO</m:t>
            </m:r>
          </m:e>
          <m:sub>
            <m:r>
              <m:rPr>
                <m:sty m:val="p"/>
              </m:rPr>
              <m:t>4</m:t>
            </m:r>
          </m:sub>
          <m:sup>
            <m:r>
              <m:rPr>
                <m:sty m:val="p"/>
              </m:rPr>
              <m:t>2</m:t>
            </m:r>
            <m:r>
              <m:rPr>
                <m:sty m:val="p"/>
              </m:rPr>
              <m:t>−</m:t>
            </m:r>
          </m:sup>
        </m:sSubSup>
      </m:oMath>
      <w:r>
        <w:rPr>
          <w:rFonts w:eastAsia="Georgia" w:cs="Georgia" w:ascii="Georgia" w:hAnsi="Georgia"/>
        </w:rPr>
        <w:t xml:space="preserve">. Expliquer comment est modifiée la solubilité de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oMath>
      <w:r>
        <w:rPr>
          <w:rFonts w:eastAsia="Georgia" w:cs="Georgia" w:ascii="Georgia" w:hAnsi="Georgia"/>
        </w:rPr>
        <w:t xml:space="preserve"> dans une solution contenant déjà initialement des ions sulfate </w:t>
      </w:r>
      <m:oMath>
        <m:sSubSup>
          <m:sSubSupPr/>
          <m:e>
            <m:r>
              <m:rPr>
                <m:sty m:val="p"/>
              </m:rPr>
              <m:t>SO</m:t>
            </m:r>
          </m:e>
          <m:sub>
            <m:r>
              <m:rPr>
                <m:sty m:val="p"/>
              </m:rPr>
              <m:t>4</m:t>
            </m:r>
          </m:sub>
          <m:sup>
            <m:r>
              <m:rPr>
                <m:sty m:val="p"/>
              </m:rPr>
              <m:t>2</m:t>
            </m:r>
            <m:r>
              <m:rPr>
                <m:sty m:val="p"/>
              </m:rPr>
              <m:t>−</m:t>
            </m:r>
          </m:sup>
        </m:sSubSup>
      </m:oMath>
      <w:r>
        <w:rPr>
          <w:rFonts w:eastAsia="Georgia" w:cs="Georgia" w:ascii="Georgia" w:hAnsi="Georgia"/>
        </w:rPr>
        <w:t xml:space="preserve"> par rapport à celle calculée dans l'eau pure.</w:t>
      </w:r>
    </w:p>
    <w:p>
      <w:pPr>
        <w:spacing w:after="220" w:lineRule="auto"/>
      </w:pPr>
      <w:r>
        <w:rPr>
          <w:rFonts w:eastAsia="Georgia" w:cs="Georgia" w:ascii="Georgia" w:hAnsi="Georgia"/>
        </w:rPr>
        <w:t xml:space="preserve">Q 42. Expliquer comment évolue la solubilité du sulfate d'ammonium en fonction de la température. Justifier à l'aide de la relation de Van't Hoff: </w:t>
      </w:r>
      <m:oMath>
        <m:f>
          <m:fPr>
            <m:ctrlPr>
              <w:rPr>
                <w:rFonts w:ascii="Cambria Math" w:hAnsi="Cambria Math"/>
              </w:rPr>
            </m:ctrlPr>
          </m:fPr>
          <m:num>
            <m:r>
              <m:rPr>
                <m:sty m:val="p"/>
              </m:rPr>
              <m:t>d</m:t>
            </m:r>
            <m:r>
              <m:rPr>
                <m:sty m:val="p"/>
              </m:rPr>
              <m:t>ln</m:t>
            </m:r>
            <m:r>
              <m:rPr>
                <m:sty m:val="p"/>
              </m:rPr>
              <m:t>⁡</m:t>
            </m:r>
            <m:d>
              <m:dPr>
                <m:begChr m:val="("/>
                <m:endChr m:val=")"/>
                <m:ctrlPr>
                  <w:rPr>
                    <w:rFonts w:ascii="Cambria Math" w:hAnsi="Cambria Math"/>
                  </w:rPr>
                </m:ctrlPr>
              </m:dPr>
              <m:e>
                <m:sSup>
                  <m:sSupPr/>
                  <m:e>
                    <m:r>
                      <m:rPr>
                        <m:sty m:val="p"/>
                      </m:rPr>
                      <m:t>K</m:t>
                    </m:r>
                  </m:e>
                  <m:sup>
                    <m:r>
                      <m:rPr>
                        <m:sty m:val="p"/>
                      </m:rPr>
                      <m:t>∘</m:t>
                    </m:r>
                  </m:sup>
                </m:sSup>
              </m:e>
            </m:d>
          </m:num>
          <m:den>
            <m:r>
              <m:rPr>
                <m:sty m:val="p"/>
              </m:rPr>
              <m:t>dT</m:t>
            </m:r>
          </m:den>
        </m:f>
        <m:r>
          <m:rPr>
            <m:sty m:val="p"/>
          </m:rPr>
          <m:t>=</m:t>
        </m:r>
        <m:f>
          <m:fPr>
            <m:ctrlPr>
              <w:rPr>
                <w:rFonts w:ascii="Cambria Math" w:hAnsi="Cambria Math"/>
              </w:rPr>
            </m:ctrlPr>
          </m:fPr>
          <m:num>
            <m:sSub>
              <m:sSubPr/>
              <m:e>
                <m:r>
                  <m:rPr>
                    <m:sty m:val="p"/>
                  </m:rPr>
                  <m:t>Δ</m:t>
                </m:r>
              </m:e>
              <m:sub>
                <m:r>
                  <m:rPr>
                    <m:sty m:val="i"/>
                  </m:rPr>
                  <m:t>r</m:t>
                </m:r>
              </m:sub>
            </m:sSub>
            <m:sSup>
              <m:sSupPr/>
              <m:e>
                <m:r>
                  <m:rPr>
                    <m:sty m:val="i"/>
                  </m:rPr>
                  <m:t>H</m:t>
                </m:r>
              </m:e>
              <m:sup>
                <m:r>
                  <m:rPr>
                    <m:sty m:val="i"/>
                  </m:rPr>
                  <m:t>o</m:t>
                </m:r>
              </m:sup>
            </m:sSup>
          </m:num>
          <m:den>
            <m:r>
              <m:rPr>
                <m:sty m:val="i"/>
              </m:rPr>
              <m:t>R</m:t>
            </m:r>
            <m:sSup>
              <m:sSupPr/>
              <m:e>
                <m:r>
                  <m:rPr>
                    <m:sty m:val="i"/>
                  </m:rPr>
                  <m:t>T</m:t>
                </m:r>
              </m:e>
              <m:sup>
                <m:r>
                  <m:rPr>
                    <m:sty m:val="p"/>
                  </m:rPr>
                  <m:t>2</m:t>
                </m:r>
              </m:sup>
            </m:sSup>
          </m:den>
        </m:f>
      </m:oMath>
      <w:r>
        <w:rPr>
          <w:rFonts w:eastAsia="Georgia" w:cs="Georgia" w:ascii="Georgia" w:hAnsi="Georgia"/>
        </w:rPr>
        <w:t xml:space="preserve">. Expliquer comment on peut jouer sur la température pour récupérer le maximum de sulfate d'ammonium.</w:t>
      </w:r>
    </w:p>
    <w:p>
      <w:pPr>
        <w:spacing w:after="220" w:lineRule="auto"/>
      </w:pPr>
      <w:r>
        <w:rPr/>
        <w:t xml:space="preserve">Parmi les multiples applications du sulfate d'ammonium, il y a son utilisation comme engrais pour acidifier des sols alcalins.</w:t>
      </w:r>
    </w:p>
    <w:p>
      <w:pPr>
        <w:spacing w:after="220" w:lineRule="auto"/>
      </w:pPr>
      <w:r>
        <w:rPr>
          <w:rFonts w:eastAsia="Georgia" w:cs="Georgia" w:ascii="Georgia" w:hAnsi="Georgia"/>
        </w:rPr>
        <w:t xml:space="preserve">Q 43. Comment se nomme la base conjuguée de l'ion </w:t>
      </w:r>
      <m:oMath>
        <m:sSubSup>
          <m:sSubSupPr/>
          <m:e>
            <m:r>
              <m:rPr>
                <m:sty m:val="p"/>
              </m:rPr>
              <m:t>NH</m:t>
            </m:r>
          </m:e>
          <m:sub>
            <m:r>
              <m:rPr>
                <m:sty m:val="p"/>
              </m:rPr>
              <m:t>4</m:t>
            </m:r>
          </m:sub>
          <m:sup>
            <m:r>
              <m:rPr>
                <m:sty m:val="p"/>
              </m:rPr>
              <m:t>+</m:t>
            </m:r>
          </m:sup>
        </m:sSubSup>
      </m:oMath>
      <w:r>
        <w:rPr>
          <w:rFonts w:eastAsia="Georgia" w:cs="Georgia" w:ascii="Georgia" w:hAnsi="Georgia"/>
        </w:rPr>
        <w:t xml:space="preserve">. Écrire l'équation de la réaction qui modélise l'action de l'ion </w:t>
      </w:r>
      <m:oMath>
        <m:sSubSup>
          <m:sSubSupPr/>
          <m:e>
            <m:r>
              <m:rPr>
                <m:sty m:val="p"/>
              </m:rPr>
              <m:t>NH</m:t>
            </m:r>
          </m:e>
          <m:sub>
            <m:r>
              <m:rPr>
                <m:sty m:val="p"/>
              </m:rPr>
              <m:t>4</m:t>
            </m:r>
          </m:sub>
          <m:sup>
            <m:r>
              <m:rPr>
                <m:sty m:val="p"/>
              </m:rPr>
              <m:t>+</m:t>
            </m:r>
          </m:sup>
        </m:sSubSup>
      </m:oMath>
      <w:r>
        <w:rPr>
          <w:rFonts w:eastAsia="Georgia" w:cs="Georgia" w:ascii="Georgia" w:hAnsi="Georgia"/>
        </w:rPr>
        <w:t xml:space="preserve">sur l'eau. Calculer la valeur de la constante d'équilibre de cette réaction.</w:t>
      </w:r>
    </w:p>
    <w:p>
      <w:pPr>
        <w:spacing w:after="220" w:lineRule="auto"/>
      </w:pPr>
      <w:r>
        <w:rPr>
          <w:rFonts w:eastAsia="Georgia" w:cs="Georgia" w:ascii="Georgia" w:hAnsi="Georgia"/>
        </w:rPr>
        <w:t xml:space="preserve">Q 44. Calculer la valeur de la constante d'équilibre de la réaction de </w:t>
      </w:r>
      <m:oMath>
        <m:sSubSup>
          <m:sSubSupPr/>
          <m:e>
            <m:r>
              <m:rPr>
                <m:sty m:val="p"/>
              </m:rPr>
              <m:t>NH</m:t>
            </m:r>
          </m:e>
          <m:sub>
            <m:r>
              <m:rPr>
                <m:sty m:val="p"/>
              </m:rPr>
              <m:t>4</m:t>
            </m:r>
          </m:sub>
          <m:sup>
            <m:r>
              <m:rPr>
                <m:sty m:val="p"/>
              </m:rPr>
              <m:t>+</m:t>
            </m:r>
          </m:sup>
        </m:sSubSup>
      </m:oMath>
      <w:r>
        <w:rPr/>
        <w:t xml:space="preserve">avec </w:t>
      </w:r>
      <m:oMath>
        <m:sSup>
          <m:sSupPr/>
          <m:e>
            <m:r>
              <m:rPr>
                <m:sty m:val="p"/>
              </m:rPr>
              <m:t>HO</m:t>
            </m:r>
          </m:e>
          <m:sup>
            <m:r>
              <m:rPr>
                <m:sty m:val="p"/>
              </m:rPr>
              <m:t>−</m:t>
            </m:r>
          </m:sup>
        </m:sSup>
      </m:oMath>
      <w:r>
        <w:rPr/>
        <w:t xml:space="preserve">. Proposer un adjectif pour qualifier la transformation chimique correspondante.</w:t>
      </w:r>
    </w:p>
    <w:p>
      <w:pPr>
        <w:spacing w:line="271" w:before="330" w:lineRule="auto"/>
      </w:pPr>
      <w:r>
        <w:rPr>
          <w:rFonts w:eastAsia="Georgia" w:cs="Georgia" w:ascii="Georgia" w:hAnsi="Georgia"/>
          <w:b/>
          <w:sz w:val="42"/>
        </w:rPr>
        <w:t xml:space="preserve">I.C.3) Cinétique de la polymérisation du PMMA</w:t>
      </w:r>
    </w:p>
    <w:p>
      <w:pPr>
        <w:spacing w:lineRule="auto"/>
        <w:jc w:val="center"/>
      </w:pPr>
      <w:r>
        <w:rPr/>
        <w:drawing>
          <wp:inline distB="0" distL="0" distR="0" distT="0">
            <wp:extent cx="5486400" cy="1822804"/>
            <wp:effectExtent b="0" l="0" r="0" t="0"/>
            <wp:docPr id="14" name="image-d631c12ce9712b741f2de3c657c94003996fd4cf.jpg"/>
            <a:graphic>
              <a:graphicData uri="http://schemas.openxmlformats.org/drawingml/2006/picture">
                <pic:pic>
                  <pic:nvPicPr>
                    <pic:cNvPr id="14" name="image-d631c12ce9712b741f2de3c657c94003996fd4cf.jpg" descr=""/>
                    <pic:cNvPicPr/>
                  </pic:nvPicPr>
                  <pic:blipFill>
                    <a:blip r:embed="rId18" cstate="print"/>
                    <a:srcRect b="0" l="0" r="0" t="0"/>
                    <a:stretch>
                      <a:fillRect/>
                    </a:stretch>
                  </pic:blipFill>
                  <pic:spPr>
                    <a:xfrm>
                      <a:off x="0" y="0"/>
                      <a:ext cx="5486400" cy="1822804"/>
                    </a:xfrm>
                    <a:prstGeom prst="rect"/>
                  </pic:spPr>
                </pic:pic>
              </a:graphicData>
            </a:graphic>
          </wp:inline>
        </w:drawing>
      </w:r>
    </w:p>
    <w:p>
      <w:pPr>
        <w:spacing w:lineRule="auto"/>
      </w:pPr>
      <w:r>
        <w:rPr>
          <w:rFonts w:eastAsia="Georgia" w:cs="Georgia" w:ascii="Georgia" w:hAnsi="Georgia"/>
        </w:rPr>
        <w:t xml:space="preserve">Figure 15 Réaction de polymérisation du MMA en PMMA.</w:t>
      </w:r>
    </w:p>
    <w:p>
      <w:pPr>
        <w:spacing w:after="220" w:lineRule="auto"/>
      </w:pPr>
      <w:r>
        <w:rPr>
          <w:rFonts w:eastAsia="Georgia" w:cs="Georgia" w:ascii="Georgia" w:hAnsi="Georgia"/>
        </w:rPr>
        <w:t xml:space="preserve">Q 45. Dans un modèle simple la cinétique de réaction de polymérisation est d'ordre 1. Donner la forme de la loi de vitesse de la polymérisation de constante </w:t>
      </w:r>
      <m:oMath>
        <m:r>
          <m:rPr>
            <m:sty m:val="i"/>
          </m:rPr>
          <m:t>k</m:t>
        </m:r>
      </m:oMath>
      <w:r>
        <w:rPr>
          <w:rFonts w:eastAsia="Georgia" w:cs="Georgia" w:ascii="Georgia" w:hAnsi="Georgia"/>
        </w:rPr>
        <w:t xml:space="preserve"> en fonction de la concentration en monomère [MMA]. Préciser l'unité de </w:t>
      </w:r>
      <m:oMath>
        <m:r>
          <m:rPr>
            <m:sty m:val="i"/>
          </m:rPr>
          <m:t>k</m:t>
        </m:r>
      </m:oMath>
      <w:r>
        <w:rPr/>
        <w:t xml:space="preserve">.</w:t>
      </w:r>
    </w:p>
    <w:p>
      <w:pPr>
        <w:spacing w:after="220" w:lineRule="auto"/>
      </w:pPr>
      <w:r>
        <w:rPr>
          <w:rFonts w:eastAsia="Georgia" w:cs="Georgia" w:ascii="Georgia" w:hAnsi="Georgia"/>
        </w:rPr>
        <w:t xml:space="preserve">Q 46. En déduire la loi d'évolution temporelle de la concentration en monomère </w:t>
      </w:r>
      <m:oMath>
        <m:r>
          <m:rPr>
            <m:sty m:val="p"/>
          </m:rPr>
          <m:t>[</m:t>
        </m:r>
        <m:r>
          <m:rPr>
            <m:sty m:val="p"/>
          </m:rPr>
          <m:t>MMA</m:t>
        </m:r>
        <m:r>
          <m:rPr>
            <m:sty m:val="p"/>
          </m:rPr>
          <m:t>]</m:t>
        </m:r>
        <m:r>
          <m:rPr>
            <m:sty m:val="p"/>
          </m:rPr>
          <m:t>(</m:t>
        </m:r>
        <m:r>
          <m:rPr>
            <m:sty m:val="p"/>
          </m:rPr>
          <m:t>t</m:t>
        </m:r>
        <m:r>
          <m:rPr>
            <m:sty m:val="p"/>
          </m:rPr>
          <m:t>)</m:t>
        </m:r>
      </m:oMath>
      <w:r>
        <w:rPr>
          <w:rFonts w:eastAsia="Georgia" w:cs="Georgia" w:ascii="Georgia" w:hAnsi="Georgia"/>
        </w:rPr>
        <w:t xml:space="preserve">. On précise qu'il faut prendre, pour l'espèce MMA, un coefficient stoechiométrique égal à 1 pour exprimer sa vitesse de disparition.</w:t>
      </w:r>
    </w:p>
    <w:p>
      <w:pPr>
        <w:spacing w:after="220" w:lineRule="auto"/>
      </w:pPr>
      <w:r>
        <w:rPr>
          <w:rFonts w:eastAsia="Georgia" w:cs="Georgia" w:ascii="Georgia" w:hAnsi="Georgia"/>
        </w:rPr>
        <w:t xml:space="preserve">Q 47. Établir la relation entre le temps de demi-réaction </w:t>
      </w:r>
      <m:oMath>
        <m:sSub>
          <m:sSubPr/>
          <m:e>
            <m:r>
              <m:rPr>
                <m:sty m:val="i"/>
              </m:rPr>
              <m:t>t</m:t>
            </m:r>
          </m:e>
          <m:sub>
            <m:r>
              <m:rPr>
                <m:sty m:val="p"/>
              </m:rPr>
              <m:t>1</m:t>
            </m:r>
            <m:r>
              <m:rPr>
                <m:sty m:val="p"/>
              </m:rPr>
              <m:t>/</m:t>
            </m:r>
            <m:r>
              <m:rPr>
                <m:sty m:val="p"/>
              </m:rPr>
              <m:t>2</m:t>
            </m:r>
          </m:sub>
        </m:sSub>
      </m:oMath>
      <w:r>
        <w:rPr/>
        <w:t xml:space="preserve"> et la constante de vitesse </w:t>
      </w:r>
      <m:oMath>
        <m:r>
          <m:rPr>
            <m:sty m:val="i"/>
          </m:rPr>
          <m:t>k</m:t>
        </m:r>
      </m:oMath>
      <w:r>
        <w:rPr/>
        <w:t xml:space="preserve">.</w:t>
      </w:r>
      <w:r>
        <w:rPr/>
        <w:br w:type="textWrapping"/>
      </w:r>
      <w:r>
        <w:rPr>
          <w:rFonts w:eastAsia="Georgia" w:cs="Georgia" w:ascii="Georgia" w:hAnsi="Georgia"/>
        </w:rPr>
        <w:t xml:space="preserve">Q 48. Citer la loi d'Arrhénius. Dans le cas où la température de polymérisation varie de </w:t>
      </w:r>
      <m:oMath>
        <m:sSup>
          <m:sSupPr/>
          <m:e>
            <m:r>
              <m:rPr>
                <m:sty m:val="p"/>
              </m:rPr>
              <m:t>50</m:t>
            </m:r>
          </m:e>
          <m:sup>
            <m:r>
              <m:rPr>
                <m:sty m:val="p"/>
              </m:rPr>
              <m:t>∘</m:t>
            </m:r>
          </m:sup>
        </m:sSup>
        <m:r>
          <m:rPr>
            <m:sty m:val="p"/>
          </m:rPr>
          <m:t>C</m:t>
        </m:r>
      </m:oMath>
      <w:r>
        <w:rPr>
          <w:rFonts w:eastAsia="Georgia" w:cs="Georgia" w:ascii="Georgia" w:hAnsi="Georgia"/>
        </w:rPr>
        <w:t xml:space="preserve"> à </w:t>
      </w:r>
      <m:oMath>
        <m:sSup>
          <m:sSupPr/>
          <m:e>
            <m:r>
              <m:rPr>
                <m:sty m:val="p"/>
              </m:rPr>
              <m:t>55</m:t>
            </m:r>
          </m:e>
          <m:sup>
            <m:r>
              <m:rPr>
                <m:sty m:val="p"/>
              </m:rPr>
              <m:t>∘</m:t>
            </m:r>
          </m:sup>
        </m:sSup>
        <m:r>
          <m:rPr>
            <m:sty m:val="p"/>
          </m:rPr>
          <m:t>C</m:t>
        </m:r>
      </m:oMath>
      <w:r>
        <w:rPr>
          <w:rFonts w:eastAsia="Georgia" w:cs="Georgia" w:ascii="Georgia" w:hAnsi="Georgia"/>
        </w:rPr>
        <w:t xml:space="preserve">, exprimer puis calculer la variation relative de la vitesse de polymérisation </w:t>
      </w:r>
      <m:oMath>
        <m:sSub>
          <m:sSubPr/>
          <m:e>
            <m:r>
              <m:rPr>
                <m:sty m:val="i"/>
              </m:rPr>
              <m:t>v</m:t>
            </m:r>
          </m:e>
          <m:sub>
            <m:r>
              <m:rPr>
                <m:sty m:val="i"/>
              </m:rPr>
              <m:t>p</m:t>
            </m:r>
          </m:sub>
        </m:sSub>
      </m:oMath>
      <w:r>
        <w:rPr/>
        <w:t xml:space="preserve">.</w:t>
      </w:r>
    </w:p>
    <w:p>
      <w:pPr>
        <w:spacing w:line="271" w:before="330" w:lineRule="auto"/>
      </w:pPr>
      <w:r>
        <w:rPr>
          <w:rFonts w:eastAsia="Georgia" w:cs="Georgia" w:ascii="Georgia" w:hAnsi="Georgia"/>
          <w:b/>
          <w:sz w:val="42"/>
        </w:rPr>
        <w:t xml:space="preserve">II Cavités résonantes</w:t>
      </w:r>
    </w:p>
    <w:p>
      <w:pPr>
        <w:spacing w:after="220" w:lineRule="auto"/>
      </w:pPr>
      <w:r>
        <w:rPr>
          <w:rFonts w:eastAsia="Georgia" w:cs="Georgia" w:ascii="Georgia" w:hAnsi="Georgia"/>
        </w:rPr>
        <w:t xml:space="preserve">Un instrument de musique constitue une cavité acoustique résonante. Les fréquences de résonance d'une cavité dépendent, entre autres paramètres, de la nature des extrémités de la cavité. Nous allons dans un premier temps nous intéresser au cas d'une cavité résonante électromagnétique. Les résultats établis dans ce contexte peuvent ensuite être utilisés par analogie aux cavités acoustiques considérées, sans qu'aucune connaissance sur les ondes sonores ne soit nécessaire.</w:t>
      </w:r>
    </w:p>
    <w:p>
      <w:pPr>
        <w:spacing w:line="271" w:before="330" w:lineRule="auto"/>
      </w:pPr>
      <w:r>
        <w:rPr>
          <w:rFonts w:eastAsia="Georgia" w:cs="Georgia" w:ascii="Georgia" w:hAnsi="Georgia"/>
          <w:b/>
          <w:sz w:val="42"/>
        </w:rPr>
        <w:t xml:space="preserve">II.A - Cavité résonante électromagnétique</w:t>
      </w:r>
    </w:p>
    <w:p>
      <w:pPr>
        <w:spacing w:after="220" w:lineRule="auto"/>
      </w:pPr>
      <w:r>
        <w:rPr>
          <w:rFonts w:eastAsia="Georgia" w:cs="Georgia" w:ascii="Georgia" w:hAnsi="Georgia"/>
        </w:rPr>
        <w:t xml:space="preserve">On considère une cavité électromagnétique vide de charges et de courants électriques, délimitée par un conducteur parfait qui occupe le demi-espace </w:t>
      </w:r>
      <m:oMath>
        <m:r>
          <m:rPr>
            <m:sty m:val="i"/>
          </m:rPr>
          <m:t>x</m:t>
        </m:r>
        <m:r>
          <m:rPr>
            <m:sty m:val="p"/>
          </m:rPr>
          <m:t>&lt;</m:t>
        </m:r>
        <m:r>
          <m:rPr>
            <m:sty m:val="p"/>
          </m:rPr>
          <m:t>0</m:t>
        </m:r>
      </m:oMath>
      <w:r>
        <w:rPr/>
        <w:t xml:space="preserve"> et un autre conducteur parfait qui occupe de le demi-espace </w:t>
      </w:r>
      <m:oMath>
        <m:r>
          <m:rPr>
            <m:sty m:val="i"/>
          </m:rPr>
          <m:t>x</m:t>
        </m:r>
        <m:r>
          <m:rPr>
            <m:sty m:val="p"/>
          </m:rPr>
          <m:t>&gt;</m:t>
        </m:r>
        <m:r>
          <m:rPr>
            <m:sty m:val="i"/>
          </m:rPr>
          <m:t>L</m:t>
        </m:r>
      </m:oMath>
      <w:r>
        <w:rPr/>
        <w:t xml:space="preserve">.</w:t>
      </w:r>
    </w:p>
    <w:p>
      <w:pPr>
        <w:spacing w:lineRule="auto"/>
        <w:jc w:val="center"/>
      </w:pPr>
      <w:r>
        <w:rPr/>
        <w:drawing>
          <wp:inline distB="0" distL="0" distR="0" distT="0">
            <wp:extent cx="5486400" cy="1456998"/>
            <wp:effectExtent b="0" l="0" r="0" t="0"/>
            <wp:docPr id="15" name="image-4856d22043b7c5b8d5aaee8ed13d86340149abc9.jpg"/>
            <a:graphic>
              <a:graphicData uri="http://schemas.openxmlformats.org/drawingml/2006/picture">
                <pic:pic>
                  <pic:nvPicPr>
                    <pic:cNvPr id="15" name="image-4856d22043b7c5b8d5aaee8ed13d86340149abc9.jpg" descr=""/>
                    <pic:cNvPicPr/>
                  </pic:nvPicPr>
                  <pic:blipFill>
                    <a:blip r:embed="rId19" cstate="print"/>
                    <a:srcRect b="0" l="0" r="0" t="0"/>
                    <a:stretch>
                      <a:fillRect/>
                    </a:stretch>
                  </pic:blipFill>
                  <pic:spPr>
                    <a:xfrm>
                      <a:off x="0" y="0"/>
                      <a:ext cx="5486400" cy="1456998"/>
                    </a:xfrm>
                    <a:prstGeom prst="rect"/>
                  </pic:spPr>
                </pic:pic>
              </a:graphicData>
            </a:graphic>
          </wp:inline>
        </w:drawing>
      </w:r>
    </w:p>
    <w:p>
      <w:pPr>
        <w:spacing w:lineRule="auto"/>
      </w:pPr>
      <w:r>
        <w:rPr>
          <w:rFonts w:eastAsia="Georgia" w:cs="Georgia" w:ascii="Georgia" w:hAnsi="Georgia"/>
        </w:rPr>
        <w:t xml:space="preserve">Figure 16 Cavité résonnante électromagnétique</w:t>
      </w:r>
    </w:p>
    <w:p>
      <w:pPr>
        <w:spacing w:after="220" w:lineRule="auto"/>
      </w:pPr>
      <w:r>
        <w:rPr>
          <w:rFonts w:eastAsia="Georgia" w:cs="Georgia" w:ascii="Georgia" w:hAnsi="Georgia"/>
        </w:rPr>
        <w:t xml:space="preserve">Q 49. Rappeler et nommer les équations de Maxwell dans leur forme générale. Écrire ensuite ces mêmes équations dans un milieu vide de charges et de courants électriques.</w:t>
      </w:r>
    </w:p>
    <w:p>
      <w:pPr>
        <w:spacing w:after="220" w:lineRule="auto"/>
      </w:pPr>
      <w:r>
        <w:rPr>
          <w:rFonts w:eastAsia="Georgia" w:cs="Georgia" w:ascii="Georgia" w:hAnsi="Georgia"/>
        </w:rPr>
        <w:t xml:space="preserve">Q 50. À l'aide du formulaire disponible en fin d'énoncé, établir l'équation aux dérivées partielles suivante vérifiée par le champ électrique </w:t>
      </w:r>
      <m:oMath>
        <m:acc>
          <m:accPr>
            <m:chr m:val="⃗"/>
          </m:accPr>
          <m:e>
            <m:r>
              <m:rPr>
                <m:sty m:val="i"/>
              </m:rPr>
              <m:t>E</m:t>
            </m:r>
          </m:e>
        </m:acc>
        <m:r>
          <m:rPr>
            <m:sty m:val="p"/>
          </m:rPr>
          <m:t>(</m:t>
        </m:r>
        <m:r>
          <m:rPr>
            <m:sty m:val="i"/>
          </m:rPr>
          <m:t>M</m:t>
        </m:r>
        <m:r>
          <m:rPr>
            <m:sty m:val="p"/>
          </m:rPr>
          <m:t>,</m:t>
        </m:r>
        <m:r>
          <m:rPr>
            <m:sty m:val="i"/>
          </m:rPr>
          <m:t>t</m:t>
        </m:r>
        <m:r>
          <m:rPr>
            <m:sty m:val="p"/>
          </m:rPr>
          <m:t>)</m:t>
        </m:r>
      </m:oMath>
      <w:r>
        <w:rPr/>
        <w:t xml:space="preserve"> en tout point </w:t>
      </w:r>
      <m:oMath>
        <m:r>
          <m:rPr>
            <m:sty m:val="i"/>
          </m:rPr>
          <m:t>M</m:t>
        </m:r>
      </m:oMath>
      <w:r>
        <w:rPr>
          <w:rFonts w:eastAsia="Georgia" w:cs="Georgia" w:ascii="Georgia" w:hAnsi="Georgia"/>
        </w:rPr>
        <w:t xml:space="preserve"> à l'intérieur de la cavité :</w:t>
      </w:r>
    </w:p>
    <w:p>
      <w:pPr>
        <w:spacing w:after="220" w:lineRule="auto"/>
      </w:pPr>
      <m:oMathPara>
        <m:oMath>
          <m:r>
            <m:rPr>
              <m:sty m:val="p"/>
            </m:rPr>
            <m:t>Δ</m:t>
          </m:r>
          <m:acc>
            <m:accPr>
              <m:chr m:val="⃗"/>
            </m:accPr>
            <m:e>
              <m:r>
                <m:rPr>
                  <m:sty m:val="i"/>
                </m:rPr>
                <m:t>E</m:t>
              </m:r>
            </m:e>
          </m:acc>
          <m:r>
            <m:rPr>
              <m:sty m:val="p"/>
            </m:rPr>
            <m:t>(</m:t>
          </m:r>
          <m:r>
            <m:rPr>
              <m:sty m:val="i"/>
            </m:rPr>
            <m:t>M</m:t>
          </m:r>
          <m:r>
            <m:rPr>
              <m:sty m:val="p"/>
            </m:rPr>
            <m:t>,</m:t>
          </m:r>
          <m:r>
            <m:rPr>
              <m:sty m:val="i"/>
            </m:rPr>
            <m:t>t</m:t>
          </m:r>
          <m:r>
            <m:rPr>
              <m:sty m:val="p"/>
            </m:rPr>
            <m:t>)</m:t>
          </m:r>
          <m:r>
            <m:rPr>
              <m:sty m:val="p"/>
            </m:rPr>
            <m:t>−</m:t>
          </m:r>
          <m:sSub>
            <m:sSubPr/>
            <m:e>
              <m:r>
                <m:rPr>
                  <m:sty m:val="i"/>
                </m:rPr>
                <m:t>ε</m:t>
              </m:r>
            </m:e>
            <m:sub>
              <m:r>
                <m:rPr>
                  <m:sty m:val="p"/>
                </m:rPr>
                <m:t>0</m:t>
              </m:r>
            </m:sub>
          </m:sSub>
          <m:sSub>
            <m:sSubPr/>
            <m:e>
              <m:r>
                <m:rPr>
                  <m:sty m:val="i"/>
                </m:rPr>
                <m:t>μ</m:t>
              </m:r>
            </m:e>
            <m:sub>
              <m:r>
                <m:rPr>
                  <m:sty m:val="p"/>
                </m:rPr>
                <m:t>0</m:t>
              </m:r>
            </m:sub>
          </m:sSub>
          <m:f>
            <m:fPr>
              <m:ctrlPr>
                <w:rPr>
                  <w:rFonts w:ascii="Cambria Math" w:hAnsi="Cambria Math"/>
                </w:rPr>
              </m:ctrlPr>
            </m:fPr>
            <m:num>
              <m:sSup>
                <m:sSupPr/>
                <m:e>
                  <m:r>
                    <m:rPr>
                      <m:sty m:val="i"/>
                    </m:rPr>
                    <m:t>∂</m:t>
                  </m:r>
                </m:e>
                <m:sup>
                  <m:r>
                    <m:rPr>
                      <m:sty m:val="p"/>
                    </m:rPr>
                    <m:t>2</m:t>
                  </m:r>
                </m:sup>
              </m:sSup>
              <m:acc>
                <m:accPr>
                  <m:chr m:val="⃗"/>
                </m:accPr>
                <m:e>
                  <m:r>
                    <m:rPr>
                      <m:sty m:val="i"/>
                    </m:rPr>
                    <m:t>E</m:t>
                  </m:r>
                </m:e>
              </m:acc>
              <m:r>
                <m:rPr>
                  <m:sty m:val="p"/>
                </m:rPr>
                <m:t>(</m:t>
              </m:r>
              <m:r>
                <m:rPr>
                  <m:sty m:val="i"/>
                </m:rPr>
                <m:t>M</m:t>
              </m:r>
              <m:r>
                <m:rPr>
                  <m:sty m:val="p"/>
                </m:rPr>
                <m:t>,</m:t>
              </m:r>
              <m:r>
                <m:rPr>
                  <m:sty m:val="i"/>
                </m:rPr>
                <m:t>t</m:t>
              </m:r>
              <m:r>
                <m:rPr>
                  <m:sty m:val="p"/>
                </m:rPr>
                <m:t>)</m:t>
              </m:r>
            </m:num>
            <m:den>
              <m:r>
                <m:rPr>
                  <m:sty m:val="i"/>
                </m:rPr>
                <m:t>∂</m:t>
              </m:r>
              <m:sSup>
                <m:sSupPr/>
                <m:e>
                  <m:r>
                    <m:rPr>
                      <m:sty m:val="i"/>
                    </m:rPr>
                    <m:t>t</m:t>
                  </m:r>
                </m:e>
                <m:sup>
                  <m:r>
                    <m:rPr>
                      <m:sty m:val="p"/>
                    </m:rPr>
                    <m:t>2</m:t>
                  </m:r>
                </m:sup>
              </m:sSup>
            </m:den>
          </m:f>
          <m:r>
            <m:rPr>
              <m:sty m:val="p"/>
            </m:rPr>
            <m:t>=</m:t>
          </m:r>
          <m:acc>
            <m:accPr>
              <m:chr m:val="⃗"/>
            </m:accPr>
            <m:e>
              <m:r>
                <m:rPr>
                  <m:sty m:val="p"/>
                </m:rPr>
                <m:t>0</m:t>
              </m:r>
            </m:e>
          </m:acc>
          <m:r>
            <m:rPr>
              <m:sty m:val="p"/>
            </m:rPr>
            <m:t>.</m:t>
          </m:r>
        </m:oMath>
      </m:oMathPara>
    </w:p>
    <w:p>
      <w:pPr>
        <w:spacing w:after="220" w:lineRule="auto"/>
      </w:pPr>
      <w:r>
        <w:rPr>
          <w:rFonts w:eastAsia="Georgia" w:cs="Georgia" w:ascii="Georgia" w:hAnsi="Georgia"/>
        </w:rPr>
        <w:t xml:space="preserve">Rappeler le nom donné usuellement à cette équation.</w:t>
      </w:r>
      <w:r>
        <w:rPr/>
        <w:br w:type="textWrapping"/>
      </w:r>
      <w:r>
        <w:rPr>
          <w:rFonts w:eastAsia="Georgia" w:cs="Georgia" w:ascii="Georgia" w:hAnsi="Georgia"/>
        </w:rPr>
        <w:t xml:space="preserve">Le champ électrique</w:t>
      </w:r>
    </w:p>
    <w:p>
      <w:pPr>
        <w:spacing w:after="220" w:lineRule="auto"/>
      </w:pPr>
      <m:oMathPara>
        <m:oMath>
          <m:sSub>
            <m:sSubPr/>
            <m:e>
              <m:acc>
                <m:accPr>
                  <m:chr m:val="⃗"/>
                </m:accPr>
                <m:e>
                  <m:r>
                    <m:rPr>
                      <m:sty m:val="i"/>
                    </m:rPr>
                    <m:t>E</m:t>
                  </m:r>
                </m:e>
              </m:acc>
            </m:e>
            <m:sub>
              <m:r>
                <m:rPr>
                  <m:sty m:val="i"/>
                </m:rPr>
                <m:t>i</m:t>
              </m:r>
            </m:sub>
          </m:sSub>
          <m:r>
            <m:rPr>
              <m:sty m:val="p"/>
            </m:rPr>
            <m:t>(</m:t>
          </m:r>
          <m:r>
            <m:rPr>
              <m:sty m:val="i"/>
            </m:rPr>
            <m:t>x</m:t>
          </m:r>
          <m:r>
            <m:rPr>
              <m:sty m:val="p"/>
            </m:rPr>
            <m:t>,</m:t>
          </m:r>
          <m:r>
            <m:rPr>
              <m:sty m:val="i"/>
            </m:rPr>
            <m:t>t</m:t>
          </m:r>
          <m:r>
            <m:rPr>
              <m:sty m:val="p"/>
            </m:rPr>
            <m:t>)</m:t>
          </m:r>
          <m:r>
            <m:rPr>
              <m:sty m:val="p"/>
            </m:rPr>
            <m:t>=</m:t>
          </m:r>
          <m:sSub>
            <m:sSubPr/>
            <m:e>
              <m:r>
                <m:rPr>
                  <m:sty m:val="i"/>
                </m:rPr>
                <m:t>E</m:t>
              </m:r>
            </m:e>
            <m:sub>
              <m:r>
                <m:rPr>
                  <m:sty m:val="p"/>
                </m:rPr>
                <m:t>0</m:t>
              </m:r>
            </m:sub>
          </m:sSub>
          <m:r>
            <m:rPr>
              <m:sty m:val="p"/>
            </m:rPr>
            <m:t>cos</m:t>
          </m:r>
          <m:r>
            <m:rPr>
              <m:sty m:val="p"/>
            </m:rPr>
            <m:t>⁡</m:t>
          </m:r>
          <m:r>
            <m:rPr>
              <m:sty m:val="p"/>
            </m:rPr>
            <m:t>(</m:t>
          </m:r>
          <m:r>
            <m:rPr>
              <m:sty m:val="i"/>
            </m:rPr>
            <m:t>ω</m:t>
          </m:r>
          <m:r>
            <m:rPr>
              <m:sty m:val="i"/>
            </m:rPr>
            <m:t>t</m:t>
          </m:r>
          <m:r>
            <m:rPr>
              <m:sty m:val="p"/>
            </m:rPr>
            <m:t>−</m:t>
          </m:r>
          <m:r>
            <m:rPr>
              <m:sty m:val="i"/>
            </m:rPr>
            <m:t>k</m:t>
          </m:r>
          <m:r>
            <m:rPr>
              <m:sty m:val="i"/>
            </m:rPr>
            <m:t>x</m:t>
          </m:r>
          <m:r>
            <m:rPr>
              <m:sty m:val="p"/>
            </m:rPr>
            <m:t>)</m:t>
          </m:r>
          <m:sSub>
            <m:sSubPr/>
            <m:e>
              <m:acc>
                <m:accPr>
                  <m:chr m:val="⃗"/>
                </m:accPr>
                <m:e>
                  <m:r>
                    <m:rPr>
                      <m:sty m:val="i"/>
                    </m:rPr>
                    <m:t>e</m:t>
                  </m:r>
                </m:e>
              </m:acc>
            </m:e>
            <m:sub>
              <m:r>
                <m:rPr>
                  <m:sty m:val="i"/>
                </m:rPr>
                <m:t>y</m:t>
              </m:r>
            </m:sub>
          </m:sSub>
          <m:r>
            <m:rPr>
              <m:sty m:val="p"/>
            </m:rPr>
            <m:t>,</m:t>
          </m:r>
        </m:oMath>
      </m:oMathPara>
    </w:p>
    <w:p>
      <w:pPr>
        <w:spacing w:after="220" w:lineRule="auto"/>
      </w:pPr>
      <w:r>
        <w:rPr>
          <w:rFonts w:eastAsia="Georgia" w:cs="Georgia" w:ascii="Georgia" w:hAnsi="Georgia"/>
        </w:rPr>
        <w:t xml:space="preserve">où </w:t>
      </w:r>
      <m:oMath>
        <m:sSub>
          <m:sSubPr/>
          <m:e>
            <m:r>
              <m:rPr>
                <m:sty m:val="i"/>
              </m:rPr>
              <m:t>E</m:t>
            </m:r>
          </m:e>
          <m:sub>
            <m:r>
              <m:rPr>
                <m:sty m:val="p"/>
              </m:rPr>
              <m:t>0</m:t>
            </m:r>
          </m:sub>
        </m:sSub>
        <m:r>
          <m:rPr>
            <m:sty m:val="p"/>
          </m:rPr>
          <m:t>,</m:t>
        </m:r>
        <m:r>
          <m:rPr>
            <m:sty m:val="i"/>
          </m:rPr>
          <m:t>ω</m:t>
        </m:r>
      </m:oMath>
      <w:r>
        <w:rPr/>
        <w:t xml:space="preserve"> et </w:t>
      </w:r>
      <m:oMath>
        <m:r>
          <m:rPr>
            <m:sty m:val="i"/>
          </m:rPr>
          <m:t>k</m:t>
        </m:r>
      </m:oMath>
      <w:r>
        <w:rPr>
          <w:rFonts w:eastAsia="Georgia" w:cs="Georgia" w:ascii="Georgia" w:hAnsi="Georgia"/>
        </w:rPr>
        <w:t xml:space="preserve"> sont des constantes indépendantes de </w:t>
      </w:r>
      <m:oMath>
        <m:r>
          <m:rPr>
            <m:sty m:val="i"/>
          </m:rPr>
          <m:t>x</m:t>
        </m:r>
      </m:oMath>
      <w:r>
        <w:rPr/>
        <w:t xml:space="preserve"> et de </w:t>
      </w:r>
      <m:oMath>
        <m:r>
          <m:rPr>
            <m:sty m:val="i"/>
          </m:rPr>
          <m:t>t</m:t>
        </m:r>
      </m:oMath>
      <w:r>
        <w:rPr>
          <w:rFonts w:eastAsia="Georgia" w:cs="Georgia" w:ascii="Georgia" w:hAnsi="Georgia"/>
        </w:rPr>
        <w:t xml:space="preserve">, et où </w:t>
      </w:r>
      <m:oMath>
        <m:sSub>
          <m:sSubPr/>
          <m:e>
            <m:acc>
              <m:accPr>
                <m:chr m:val="⃗"/>
              </m:accPr>
              <m:e>
                <m:r>
                  <m:rPr>
                    <m:sty m:val="i"/>
                  </m:rPr>
                  <m:t>e</m:t>
                </m:r>
              </m:e>
            </m:acc>
          </m:e>
          <m:sub>
            <m:r>
              <m:rPr>
                <m:sty m:val="i"/>
              </m:rPr>
              <m:t>y</m:t>
            </m:r>
          </m:sub>
        </m:sSub>
      </m:oMath>
      <w:r>
        <w:rPr>
          <w:rFonts w:eastAsia="Georgia" w:cs="Georgia" w:ascii="Georgia" w:hAnsi="Georgia"/>
        </w:rPr>
        <w:t xml:space="preserve"> est un vecteur unitaire orienté selon l'axe </w:t>
      </w:r>
      <m:oMath>
        <m:r>
          <m:rPr>
            <m:sty m:val="p"/>
          </m:rPr>
          <m:t>(</m:t>
        </m:r>
        <m:r>
          <m:rPr>
            <m:sty m:val="i"/>
          </m:rPr>
          <m:t>O</m:t>
        </m:r>
        <m:r>
          <m:rPr>
            <m:sty m:val="i"/>
          </m:rPr>
          <m:t>y</m:t>
        </m:r>
        <m:r>
          <m:rPr>
            <m:sty m:val="p"/>
          </m:rPr>
          <m:t>)</m:t>
        </m:r>
      </m:oMath>
      <w:r>
        <w:rPr>
          <w:rFonts w:eastAsia="Georgia" w:cs="Georgia" w:ascii="Georgia" w:hAnsi="Georgia"/>
        </w:rPr>
        <w:t xml:space="preserve">, constitue une solution de l'équation II.1.</w:t>
      </w:r>
    </w:p>
    <w:p>
      <w:pPr>
        <w:spacing w:after="220" w:lineRule="auto"/>
      </w:pPr>
      <w:r>
        <w:rPr>
          <w:rFonts w:eastAsia="Georgia" w:cs="Georgia" w:ascii="Georgia" w:hAnsi="Georgia"/>
        </w:rPr>
        <w:t xml:space="preserve">Q 51. Attribuer quatre qualificatifs à la solution proposée en les justifiant.</w:t>
      </w:r>
      <w:r>
        <w:rPr/>
        <w:br w:type="textWrapping"/>
      </w:r>
      <w:r>
        <w:rPr>
          <w:rFonts w:eastAsia="Georgia" w:cs="Georgia" w:ascii="Georgia" w:hAnsi="Georgia"/>
        </w:rPr>
        <w:t xml:space="preserve">Q 52. Exploiter l'équation II. 1 pour établir la relation </w:t>
      </w:r>
      <m:oMath>
        <m:r>
          <m:rPr>
            <m:sty m:val="i"/>
          </m:rPr>
          <m:t>k</m:t>
        </m:r>
        <m:r>
          <m:rPr>
            <m:sty m:val="p"/>
          </m:rPr>
          <m:t>=</m:t>
        </m:r>
        <m:r>
          <m:rPr>
            <m:sty m:val="i"/>
          </m:rPr>
          <m:t>ω</m:t>
        </m:r>
        <m:r>
          <m:rPr>
            <m:sty m:val="p"/>
          </m:rPr>
          <m:t>/</m:t>
        </m:r>
        <m:r>
          <m:rPr>
            <m:sty m:val="i"/>
          </m:rPr>
          <m:t>c</m:t>
        </m:r>
      </m:oMath>
      <w:r>
        <w:rPr>
          <w:rFonts w:eastAsia="Georgia" w:cs="Georgia" w:ascii="Georgia" w:hAnsi="Georgia"/>
        </w:rPr>
        <w:t xml:space="preserve"> où </w:t>
      </w:r>
      <m:oMath>
        <m:r>
          <m:rPr>
            <m:sty m:val="i"/>
          </m:rPr>
          <m:t>c</m:t>
        </m:r>
        <m:r>
          <m:rPr>
            <m:sty m:val="p"/>
          </m:rPr>
          <m:t>=</m:t>
        </m:r>
        <m:r>
          <m:rPr>
            <m:sty m:val="p"/>
          </m:rPr>
          <m:t>1</m:t>
        </m:r>
        <m:r>
          <m:rPr>
            <m:sty m:val="p"/>
          </m:rPr>
          <m:t>/</m:t>
        </m:r>
        <m:rad>
          <m:radPr>
            <m:degHide m:val="1"/>
            <m:ctrlPr>
              <w:rPr>
                <w:rFonts w:ascii="Cambria Math" w:hAnsi="Cambria Math"/>
              </w:rPr>
            </m:ctrlPr>
          </m:radPr>
          <m:deg/>
          <m:e>
            <m:sSub>
              <m:sSubPr/>
              <m:e>
                <m:r>
                  <m:rPr>
                    <m:sty m:val="i"/>
                  </m:rPr>
                  <m:t>μ</m:t>
                </m:r>
              </m:e>
              <m:sub>
                <m:r>
                  <m:rPr>
                    <m:sty m:val="p"/>
                  </m:rPr>
                  <m:t>0</m:t>
                </m:r>
              </m:sub>
            </m:sSub>
            <m:sSub>
              <m:sSubPr/>
              <m:e>
                <m:r>
                  <m:rPr>
                    <m:sty m:val="i"/>
                  </m:rPr>
                  <m:t>ε</m:t>
                </m:r>
              </m:e>
              <m:sub>
                <m:r>
                  <m:rPr>
                    <m:sty m:val="p"/>
                  </m:rPr>
                  <m:t>0</m:t>
                </m:r>
              </m:sub>
            </m:sSub>
          </m:e>
        </m:rad>
      </m:oMath>
      <w:r>
        <w:rPr/>
        <w:t xml:space="preserve">.</w:t>
      </w:r>
    </w:p>
    <w:p>
      <w:pPr>
        <w:spacing w:after="220" w:lineRule="auto"/>
      </w:pPr>
      <w:r>
        <w:rPr>
          <w:rFonts w:eastAsia="Georgia" w:cs="Georgia" w:ascii="Georgia" w:hAnsi="Georgia"/>
        </w:rPr>
        <w:t xml:space="preserve">On admet que le champ électrique dans un conducteur parfait est nul en tout point et à tout instant.</w:t>
      </w:r>
      <w:r>
        <w:rPr/>
        <w:br w:type="textWrapping"/>
      </w:r>
      <w:r>
        <w:rPr>
          <w:rFonts w:eastAsia="Georgia" w:cs="Georgia" w:ascii="Georgia" w:hAnsi="Georgia"/>
        </w:rPr>
        <w:t xml:space="preserve">Q 53. On considère une solution de l'équation II. 1 sous la forme du champ électrique donné par l'équation II.2. Montrer que les relations de passage pour le champ électrique en </w:t>
      </w:r>
      <m:oMath>
        <m:r>
          <m:rPr>
            <m:sty m:val="i"/>
          </m:rPr>
          <m:t>x</m:t>
        </m:r>
        <m:r>
          <m:rPr>
            <m:sty m:val="p"/>
          </m:rPr>
          <m:t>=</m:t>
        </m:r>
        <m:r>
          <m:rPr>
            <m:sty m:val="p"/>
          </m:rPr>
          <m:t>0</m:t>
        </m:r>
      </m:oMath>
      <w:r>
        <w:rPr/>
        <w:t xml:space="preserve"> et </w:t>
      </w:r>
      <m:oMath>
        <m:r>
          <m:rPr>
            <m:sty m:val="i"/>
          </m:rPr>
          <m:t>x</m:t>
        </m:r>
        <m:r>
          <m:rPr>
            <m:sty m:val="p"/>
          </m:rPr>
          <m:t>=</m:t>
        </m:r>
        <m:r>
          <m:rPr>
            <m:sty m:val="i"/>
          </m:rPr>
          <m:t>L</m:t>
        </m:r>
      </m:oMath>
      <w:r>
        <w:rPr/>
        <w:t xml:space="preserve"> imposent </w:t>
      </w:r>
      <m:oMath>
        <m:sSub>
          <m:sSubPr/>
          <m:e>
            <m:r>
              <m:rPr>
                <m:sty m:val="i"/>
              </m:rPr>
              <m:t>E</m:t>
            </m:r>
          </m:e>
          <m:sub>
            <m:r>
              <m:rPr>
                <m:sty m:val="p"/>
              </m:rPr>
              <m:t>0</m:t>
            </m:r>
          </m:sub>
        </m:sSub>
        <m:r>
          <m:rPr>
            <m:sty m:val="p"/>
          </m:rPr>
          <m:t>=</m:t>
        </m:r>
        <m:r>
          <m:rPr>
            <m:sty m:val="p"/>
          </m:rPr>
          <m:t>0</m:t>
        </m:r>
      </m:oMath>
      <w:r>
        <w:rPr/>
        <w:t xml:space="preserve">.</w:t>
      </w:r>
    </w:p>
    <w:p>
      <w:pPr>
        <w:spacing w:after="220" w:lineRule="auto"/>
      </w:pPr>
      <w:r>
        <w:rPr>
          <w:rFonts w:eastAsia="Georgia" w:cs="Georgia" w:ascii="Georgia" w:hAnsi="Georgia"/>
        </w:rPr>
        <w:t xml:space="preserve">On considère dorénavant une solution de l'équation II. 1 sous la forme suivante :</w:t>
      </w:r>
    </w:p>
    <w:p>
      <w:pPr>
        <w:spacing w:after="220" w:lineRule="auto"/>
      </w:pPr>
      <m:oMathPara>
        <m:oMath>
          <m:sSub>
            <m:sSubPr/>
            <m:e>
              <m:acc>
                <m:accPr>
                  <m:chr m:val="⃗"/>
                </m:accPr>
                <m:e>
                  <m:r>
                    <m:rPr>
                      <m:sty m:val="i"/>
                    </m:rPr>
                    <m:t>E</m:t>
                  </m:r>
                </m:e>
              </m:acc>
            </m:e>
            <m:sub>
              <m:r>
                <m:rPr>
                  <m:sty m:val="i"/>
                </m:rPr>
                <m:t>i</m:t>
              </m:r>
            </m:sub>
          </m:sSub>
          <m:r>
            <m:rPr>
              <m:sty m:val="p"/>
            </m:rPr>
            <m:t>(</m:t>
          </m:r>
          <m:r>
            <m:rPr>
              <m:sty m:val="i"/>
            </m:rPr>
            <m:t>x</m:t>
          </m:r>
          <m:r>
            <m:rPr>
              <m:sty m:val="p"/>
            </m:rPr>
            <m:t>,</m:t>
          </m:r>
          <m:r>
            <m:rPr>
              <m:sty m:val="i"/>
            </m:rPr>
            <m:t>t</m:t>
          </m:r>
          <m:r>
            <m:rPr>
              <m:sty m:val="p"/>
            </m:rPr>
            <m:t>)</m:t>
          </m:r>
          <m:r>
            <m:rPr>
              <m:sty m:val="p"/>
            </m:rPr>
            <m:t>=</m:t>
          </m:r>
          <m:r>
            <m:rPr>
              <m:sty m:val="p"/>
            </m:rPr>
            <m:t>2</m:t>
          </m:r>
          <m:sSub>
            <m:sSubPr/>
            <m:e>
              <m:r>
                <m:rPr>
                  <m:sty m:val="i"/>
                </m:rPr>
                <m:t>E</m:t>
              </m:r>
            </m:e>
            <m:sub>
              <m:r>
                <m:rPr>
                  <m:sty m:val="p"/>
                </m:rPr>
                <m:t>0</m:t>
              </m:r>
            </m:sub>
          </m:sSub>
          <m:r>
            <m:rPr>
              <m:sty m:val="p"/>
            </m:rPr>
            <m:t>sin</m:t>
          </m:r>
          <m:r>
            <m:rPr>
              <m:sty m:val="p"/>
            </m:rPr>
            <m:t>⁡</m:t>
          </m:r>
          <m:r>
            <m:rPr>
              <m:sty m:val="p"/>
            </m:rPr>
            <m:t>(</m:t>
          </m:r>
          <m:r>
            <m:rPr>
              <m:sty m:val="i"/>
            </m:rPr>
            <m:t>ω</m:t>
          </m:r>
          <m:r>
            <m:rPr>
              <m:sty m:val="i"/>
            </m:rPr>
            <m:t>t</m:t>
          </m:r>
          <m:r>
            <m:rPr>
              <m:sty m:val="p"/>
            </m:rPr>
            <m:t>)</m:t>
          </m:r>
          <m:r>
            <m:rPr>
              <m:sty m:val="p"/>
            </m:rPr>
            <m:t>sin</m:t>
          </m:r>
          <m:r>
            <m:rPr>
              <m:sty m:val="p"/>
            </m:rPr>
            <m:t>⁡</m:t>
          </m:r>
          <m:r>
            <m:rPr>
              <m:sty m:val="p"/>
            </m:rPr>
            <m:t>(</m:t>
          </m:r>
          <m:r>
            <m:rPr>
              <m:sty m:val="i"/>
            </m:rPr>
            <m:t>k</m:t>
          </m:r>
          <m:r>
            <m:rPr>
              <m:sty m:val="i"/>
            </m:rPr>
            <m:t>x</m:t>
          </m:r>
          <m:r>
            <m:rPr>
              <m:sty m:val="p"/>
            </m:rPr>
            <m:t>)</m:t>
          </m:r>
          <m:sSub>
            <m:sSubPr/>
            <m:e>
              <m:acc>
                <m:accPr>
                  <m:chr m:val="⃗"/>
                </m:accPr>
                <m:e>
                  <m:r>
                    <m:rPr>
                      <m:sty m:val="i"/>
                    </m:rPr>
                    <m:t>e</m:t>
                  </m:r>
                </m:e>
              </m:acc>
            </m:e>
            <m:sub>
              <m:r>
                <m:rPr>
                  <m:sty m:val="i"/>
                </m:rPr>
                <m:t>y</m:t>
              </m:r>
            </m:sub>
          </m:sSub>
          <m:r>
            <m:rPr>
              <m:sty m:val="p"/>
            </m:rPr>
            <m:t>,</m:t>
          </m:r>
        </m:oMath>
      </m:oMathPara>
    </w:p>
    <w:p>
      <w:pPr>
        <w:spacing w:after="220" w:lineRule="auto"/>
      </w:pPr>
      <w:r>
        <w:rPr>
          <w:rFonts w:eastAsia="Georgia" w:cs="Georgia" w:ascii="Georgia" w:hAnsi="Georgia"/>
        </w:rPr>
        <w:t xml:space="preserve">où </w:t>
      </w:r>
      <m:oMath>
        <m:sSub>
          <m:sSubPr/>
          <m:e>
            <m:r>
              <m:rPr>
                <m:sty m:val="i"/>
              </m:rPr>
              <m:t>E</m:t>
            </m:r>
          </m:e>
          <m:sub>
            <m:r>
              <m:rPr>
                <m:sty m:val="p"/>
              </m:rPr>
              <m:t>0</m:t>
            </m:r>
          </m:sub>
        </m:sSub>
      </m:oMath>
      <w:r>
        <w:rPr/>
        <w:t xml:space="preserve"> est une constante non nulle et </w:t>
      </w:r>
      <m:oMath>
        <m:r>
          <m:rPr>
            <m:sty m:val="i"/>
          </m:rPr>
          <m:t>k</m:t>
        </m:r>
        <m:r>
          <m:rPr>
            <m:sty m:val="p"/>
          </m:rPr>
          <m:t>=</m:t>
        </m:r>
        <m:r>
          <m:rPr>
            <m:sty m:val="i"/>
          </m:rPr>
          <m:t>ω</m:t>
        </m:r>
        <m:r>
          <m:rPr>
            <m:sty m:val="p"/>
          </m:rPr>
          <m:t>/</m:t>
        </m:r>
        <m:r>
          <m:rPr>
            <m:sty m:val="i"/>
          </m:rPr>
          <m:t>c</m:t>
        </m:r>
      </m:oMath>
      <w:r>
        <w:rPr/>
        <w:t xml:space="preserve">.</w:t>
      </w:r>
      <w:r>
        <w:rPr/>
        <w:br w:type="textWrapping"/>
      </w:r>
      <w:r>
        <w:rPr>
          <w:rFonts w:eastAsia="Georgia" w:cs="Georgia" w:ascii="Georgia" w:hAnsi="Georgia"/>
        </w:rPr>
        <w:t xml:space="preserve">Q 54. Rappeler le qualificatif donné à l'onde associée à l'expression II.3.</w:t>
      </w:r>
      <w:r>
        <w:rPr/>
        <w:br w:type="textWrapping"/>
      </w:r>
      <w:r>
        <w:rPr>
          <w:rFonts w:eastAsia="Georgia" w:cs="Georgia" w:ascii="Georgia" w:hAnsi="Georgia"/>
        </w:rPr>
        <w:t xml:space="preserve">Q 55. Montrer que cette solution vérifie la relation de passage pour le champ électrique en </w:t>
      </w:r>
      <m:oMath>
        <m:r>
          <m:rPr>
            <m:sty m:val="i"/>
          </m:rPr>
          <m:t>x</m:t>
        </m:r>
        <m:r>
          <m:rPr>
            <m:sty m:val="p"/>
          </m:rPr>
          <m:t>=</m:t>
        </m:r>
        <m:r>
          <m:rPr>
            <m:sty m:val="p"/>
          </m:rPr>
          <m:t>0</m:t>
        </m:r>
      </m:oMath>
      <w:r>
        <w:rPr>
          <w:rFonts w:eastAsia="Georgia" w:cs="Georgia" w:ascii="Georgia" w:hAnsi="Georgia"/>
        </w:rPr>
        <w:t xml:space="preserve"> à tout instant </w:t>
      </w:r>
      <m:oMath>
        <m:r>
          <m:rPr>
            <m:sty m:val="i"/>
          </m:rPr>
          <m:t>t</m:t>
        </m:r>
      </m:oMath>
      <w:r>
        <w:rPr/>
        <w:t xml:space="preserve">.</w:t>
      </w:r>
    </w:p>
    <w:p>
      <w:pPr>
        <w:spacing w:after="220" w:lineRule="auto"/>
      </w:pPr>
      <w:r>
        <w:rPr>
          <w:rFonts w:eastAsia="Georgia" w:cs="Georgia" w:ascii="Georgia" w:hAnsi="Georgia"/>
        </w:rPr>
        <w:t xml:space="preserve">Q 56. Montrer que la relation de passage pour le champ électrique en </w:t>
      </w:r>
      <m:oMath>
        <m:r>
          <m:rPr>
            <m:sty m:val="i"/>
          </m:rPr>
          <m:t>x</m:t>
        </m:r>
        <m:r>
          <m:rPr>
            <m:sty m:val="p"/>
          </m:rPr>
          <m:t>=</m:t>
        </m:r>
        <m:r>
          <m:rPr>
            <m:sty m:val="i"/>
          </m:rPr>
          <m:t>L</m:t>
        </m:r>
      </m:oMath>
      <w:r>
        <w:rPr>
          <w:rFonts w:eastAsia="Georgia" w:cs="Georgia" w:ascii="Georgia" w:hAnsi="Georgia"/>
        </w:rPr>
        <w:t xml:space="preserve"> impose à </w:t>
      </w:r>
      <m:oMath>
        <m:r>
          <m:rPr>
            <m:sty m:val="i"/>
          </m:rPr>
          <m:t>k</m:t>
        </m:r>
      </m:oMath>
      <w:r>
        <w:rPr>
          <w:rFonts w:eastAsia="Georgia" w:cs="Georgia" w:ascii="Georgia" w:hAnsi="Georgia"/>
        </w:rPr>
        <w:t xml:space="preserve"> et à </w:t>
      </w:r>
      <m:oMath>
        <m:r>
          <m:rPr>
            <m:sty m:val="i"/>
          </m:rPr>
          <m:t>ω</m:t>
        </m:r>
      </m:oMath>
      <w:r>
        <w:rPr>
          <w:rFonts w:eastAsia="Georgia" w:cs="Georgia" w:ascii="Georgia" w:hAnsi="Georgia"/>
        </w:rPr>
        <w:t xml:space="preserve"> des valeurs discrètes. En déduire la relation </w:t>
      </w:r>
      <m:oMath>
        <m:r>
          <m:rPr>
            <m:sty m:val="i"/>
          </m:rPr>
          <m:t>L</m:t>
        </m:r>
        <m:r>
          <m:rPr>
            <m:sty m:val="p"/>
          </m:rPr>
          <m:t>=</m:t>
        </m:r>
        <m:r>
          <m:rPr>
            <m:sty m:val="i"/>
          </m:rPr>
          <m:t>n</m:t>
        </m:r>
        <m:f>
          <m:fPr>
            <m:ctrlPr>
              <w:rPr>
                <w:rFonts w:ascii="Cambria Math" w:hAnsi="Cambria Math"/>
              </w:rPr>
            </m:ctrlPr>
          </m:fPr>
          <m:num>
            <m:r>
              <m:rPr>
                <m:sty m:val="i"/>
              </m:rPr>
              <m:t>λ</m:t>
            </m:r>
          </m:num>
          <m:den>
            <m:r>
              <m:rPr>
                <m:sty m:val="p"/>
              </m:rPr>
              <m:t>2</m:t>
            </m:r>
          </m:den>
        </m:f>
      </m:oMath>
      <w:r>
        <w:rPr>
          <w:rFonts w:eastAsia="Georgia" w:cs="Georgia" w:ascii="Georgia" w:hAnsi="Georgia"/>
        </w:rPr>
        <w:t xml:space="preserve"> où </w:t>
      </w:r>
      <m:oMath>
        <m:r>
          <m:rPr>
            <m:sty m:val="i"/>
          </m:rPr>
          <m:t>n</m:t>
        </m:r>
      </m:oMath>
      <w:r>
        <w:rPr/>
        <w:t xml:space="preserve"> est un entier naturel non nul et </w:t>
      </w:r>
      <m:oMath>
        <m:r>
          <m:rPr>
            <m:sty m:val="i"/>
          </m:rPr>
          <m:t>λ</m:t>
        </m:r>
        <m:r>
          <m:rPr>
            <m:sty m:val="p"/>
          </m:rPr>
          <m:t>=</m:t>
        </m:r>
        <m:r>
          <m:rPr>
            <m:sty m:val="p"/>
          </m:rPr>
          <m:t>2</m:t>
        </m:r>
        <m:r>
          <m:rPr>
            <m:sty m:val="i"/>
          </m:rPr>
          <m:t>π</m:t>
        </m:r>
        <m:r>
          <m:rPr>
            <m:sty m:val="p"/>
          </m:rPr>
          <m:t>/</m:t>
        </m:r>
        <m:r>
          <m:rPr>
            <m:sty m:val="i"/>
          </m:rPr>
          <m:t>k</m:t>
        </m:r>
      </m:oMath>
      <w:r>
        <w:rPr>
          <w:rFonts w:eastAsia="Georgia" w:cs="Georgia" w:ascii="Georgia" w:hAnsi="Georgia"/>
        </w:rPr>
        <w:t xml:space="preserve"> est la longueur d'onde de l'onde électromagnétique.</w:t>
      </w:r>
    </w:p>
    <w:p>
      <w:pPr>
        <w:spacing w:line="271" w:before="330" w:lineRule="auto"/>
      </w:pPr>
      <w:r>
        <w:rPr>
          <w:rFonts w:eastAsia="Georgia" w:cs="Georgia" w:ascii="Georgia" w:hAnsi="Georgia"/>
          <w:b/>
          <w:sz w:val="42"/>
        </w:rPr>
        <w:t xml:space="preserve">II.B - Résonance d'un tube acoustique ouvert à ses deux extrémités</w:t>
      </w:r>
    </w:p>
    <w:p>
      <w:pPr>
        <w:spacing w:after="220" w:lineRule="auto"/>
      </w:pPr>
      <w:r>
        <w:rPr>
          <w:rFonts w:eastAsia="Georgia" w:cs="Georgia" w:ascii="Georgia" w:hAnsi="Georgia"/>
        </w:rPr>
        <w:t xml:space="preserve">Plusieurs instruments à vent, comme la flûte traversière, peuvent être modélisés par un tube ouvert à ses extrémités (voir figure 17).</w:t>
      </w:r>
    </w:p>
    <w:p>
      <w:pPr>
        <w:spacing w:lineRule="auto"/>
        <w:jc w:val="center"/>
      </w:pPr>
      <w:r>
        <w:rPr/>
        <w:drawing>
          <wp:inline distB="0" distL="0" distR="0" distT="0">
            <wp:extent cx="5486400" cy="1481049"/>
            <wp:effectExtent b="0" l="0" r="0" t="0"/>
            <wp:docPr id="16" name="image-b19ff39cfe6edf2297bc482359c93fac63ea50ac.jpg"/>
            <a:graphic>
              <a:graphicData uri="http://schemas.openxmlformats.org/drawingml/2006/picture">
                <pic:pic>
                  <pic:nvPicPr>
                    <pic:cNvPr id="16" name="image-b19ff39cfe6edf2297bc482359c93fac63ea50ac.jpg" descr=""/>
                    <pic:cNvPicPr/>
                  </pic:nvPicPr>
                  <pic:blipFill>
                    <a:blip r:embed="rId20" cstate="print"/>
                    <a:srcRect b="0" l="0" r="0" t="0"/>
                    <a:stretch>
                      <a:fillRect/>
                    </a:stretch>
                  </pic:blipFill>
                  <pic:spPr>
                    <a:xfrm>
                      <a:off x="0" y="0"/>
                      <a:ext cx="5486400" cy="1481049"/>
                    </a:xfrm>
                    <a:prstGeom prst="rect"/>
                  </pic:spPr>
                </pic:pic>
              </a:graphicData>
            </a:graphic>
          </wp:inline>
        </w:drawing>
      </w:r>
    </w:p>
    <w:p>
      <w:pPr>
        <w:spacing w:lineRule="auto"/>
      </w:pPr>
      <w:r>
        <w:rPr>
          <w:rFonts w:eastAsia="Georgia" w:cs="Georgia" w:ascii="Georgia" w:hAnsi="Georgia"/>
        </w:rPr>
        <w:t xml:space="preserve">Figure 17 Tube ouvert à ses deux extrémités.</w:t>
      </w:r>
    </w:p>
    <w:p>
      <w:pPr>
        <w:spacing w:after="220" w:lineRule="auto"/>
      </w:pPr>
      <w:r>
        <w:rPr>
          <w:rFonts w:eastAsia="Georgia" w:cs="Georgia" w:ascii="Georgia" w:hAnsi="Georgia"/>
        </w:rPr>
        <w:t xml:space="preserve">L'onde acoustique qui existe dans le tube peut être caractérisée par la pression locale </w:t>
      </w:r>
      <m:oMath>
        <m:r>
          <m:rPr>
            <m:sty m:val="i"/>
          </m:rPr>
          <m:t>P</m:t>
        </m:r>
        <m:r>
          <m:rPr>
            <m:sty m:val="p"/>
          </m:rPr>
          <m:t>(</m:t>
        </m:r>
        <m:r>
          <m:rPr>
            <m:sty m:val="i"/>
          </m:rPr>
          <m:t>x</m:t>
        </m:r>
        <m:r>
          <m:rPr>
            <m:sty m:val="p"/>
          </m:rPr>
          <m:t>,</m:t>
        </m:r>
        <m:r>
          <m:rPr>
            <m:sty m:val="i"/>
          </m:rPr>
          <m:t>t</m:t>
        </m:r>
        <m:r>
          <m:rPr>
            <m:sty m:val="p"/>
          </m:rPr>
          <m:t>)</m:t>
        </m:r>
      </m:oMath>
      <w:r>
        <w:rPr>
          <w:rFonts w:eastAsia="Georgia" w:cs="Georgia" w:ascii="Georgia" w:hAnsi="Georgia"/>
        </w:rPr>
        <w:t xml:space="preserve"> de l'air à l'abscisse </w:t>
      </w:r>
      <m:oMath>
        <m:r>
          <m:rPr>
            <m:sty m:val="i"/>
          </m:rPr>
          <m:t>x</m:t>
        </m:r>
      </m:oMath>
      <w:r>
        <w:rPr>
          <w:rFonts w:eastAsia="Georgia" w:cs="Georgia" w:ascii="Georgia" w:hAnsi="Georgia"/>
        </w:rPr>
        <w:t xml:space="preserve"> et à l'instant </w:t>
      </w:r>
      <m:oMath>
        <m:r>
          <m:rPr>
            <m:sty m:val="i"/>
          </m:rPr>
          <m:t>t</m:t>
        </m:r>
      </m:oMath>
      <w:r>
        <w:rPr>
          <w:rFonts w:eastAsia="Georgia" w:cs="Georgia" w:ascii="Georgia" w:hAnsi="Georgia"/>
        </w:rPr>
        <w:t xml:space="preserve"> dans le tube. Les conditions aux extrémités du tube imposent une relation de quantification analogue à celle établie pour la cavité électromagnétique : </w:t>
      </w:r>
      <m:oMath>
        <m:r>
          <m:rPr>
            <m:sty m:val="i"/>
          </m:rPr>
          <m:t>L</m:t>
        </m:r>
        <m:r>
          <m:rPr>
            <m:sty m:val="p"/>
          </m:rPr>
          <m:t>=</m:t>
        </m:r>
        <m:r>
          <m:rPr>
            <m:sty m:val="i"/>
          </m:rPr>
          <m:t>n</m:t>
        </m:r>
        <m:f>
          <m:fPr>
            <m:ctrlPr>
              <w:rPr>
                <w:rFonts w:ascii="Cambria Math" w:hAnsi="Cambria Math"/>
              </w:rPr>
            </m:ctrlPr>
          </m:fPr>
          <m:num>
            <m:r>
              <m:rPr>
                <m:sty m:val="i"/>
              </m:rPr>
              <m:t>λ</m:t>
            </m:r>
          </m:num>
          <m:den>
            <m:r>
              <m:rPr>
                <m:sty m:val="p"/>
              </m:rPr>
              <m:t>2</m:t>
            </m:r>
          </m:den>
        </m:f>
      </m:oMath>
      <w:r>
        <w:rPr>
          <w:rFonts w:eastAsia="Georgia" w:cs="Georgia" w:ascii="Georgia" w:hAnsi="Georgia"/>
        </w:rPr>
        <w:t xml:space="preserve"> où </w:t>
      </w:r>
      <m:oMath>
        <m:r>
          <m:rPr>
            <m:sty m:val="i"/>
          </m:rPr>
          <m:t>n</m:t>
        </m:r>
      </m:oMath>
      <w:r>
        <w:rPr>
          <w:rFonts w:eastAsia="Georgia" w:cs="Georgia" w:ascii="Georgia" w:hAnsi="Georgia"/>
        </w:rPr>
        <w:t xml:space="preserve"> est un entier naturel non nul et où </w:t>
      </w:r>
      <m:oMath>
        <m:r>
          <m:rPr>
            <m:sty m:val="i"/>
          </m:rPr>
          <m:t>λ</m:t>
        </m:r>
      </m:oMath>
      <w:r>
        <w:rPr>
          <w:rFonts w:eastAsia="Georgia" w:cs="Georgia" w:ascii="Georgia" w:hAnsi="Georgia"/>
        </w:rPr>
        <w:t xml:space="preserve"> désigne la longueur d'onde de l'onde acoustique.</w:t>
      </w:r>
    </w:p>
    <w:p>
      <w:pPr>
        <w:spacing w:after="220" w:lineRule="auto"/>
      </w:pPr>
      <w:r>
        <w:rPr>
          <w:rFonts w:eastAsia="Georgia" w:cs="Georgia" w:ascii="Georgia" w:hAnsi="Georgia"/>
        </w:rPr>
        <w:t xml:space="preserve">Q 57. Établir l'expression suivante de la fréquence du mode propre de rang </w:t>
      </w:r>
      <m:oMath>
        <m:r>
          <m:rPr>
            <m:sty m:val="i"/>
          </m:rPr>
          <m:t>n</m:t>
        </m:r>
      </m:oMath>
      <w:r>
        <w:rPr/>
        <w:t xml:space="preserve"> en fonction de la longueur </w:t>
      </w:r>
      <m:oMath>
        <m:r>
          <m:rPr>
            <m:sty m:val="i"/>
          </m:rPr>
          <m:t>L</m:t>
        </m:r>
      </m:oMath>
      <w:r>
        <w:rPr/>
        <w:t xml:space="preserve"> d'un tube, de l'entier </w:t>
      </w:r>
      <m:oMath>
        <m:r>
          <m:rPr>
            <m:sty m:val="i"/>
          </m:rPr>
          <m:t>n</m:t>
        </m:r>
      </m:oMath>
      <w:r>
        <w:rPr>
          <w:rFonts w:eastAsia="Georgia" w:cs="Georgia" w:ascii="Georgia" w:hAnsi="Georgia"/>
        </w:rPr>
        <w:t xml:space="preserve"> et de la célérité </w:t>
      </w:r>
      <m:oMath>
        <m:sSub>
          <m:sSubPr/>
          <m:e>
            <m:r>
              <m:rPr>
                <m:sty m:val="i"/>
              </m:rPr>
              <m:t>c</m:t>
            </m:r>
          </m:e>
          <m:sub>
            <m:r>
              <m:rPr>
                <m:nor/>
              </m:rPr>
              <m:t>son </m:t>
            </m:r>
          </m:sub>
        </m:sSub>
      </m:oMath>
      <w:r>
        <w:rPr/>
        <w:t xml:space="preserve"> du son dans l'air :</w:t>
      </w:r>
    </w:p>
    <w:p>
      <w:pPr>
        <w:spacing w:after="220" w:lineRule="auto"/>
      </w:pPr>
      <m:oMathPara>
        <m:oMath>
          <m:sSub>
            <m:sSubPr/>
            <m:e>
              <m:r>
                <m:rPr>
                  <m:sty m:val="i"/>
                </m:rPr>
                <m:t>f</m:t>
              </m:r>
            </m:e>
            <m:sub>
              <m:r>
                <m:rPr>
                  <m:sty m:val="i"/>
                </m:rPr>
                <m:t>n</m:t>
              </m:r>
            </m:sub>
          </m:sSub>
          <m:r>
            <m:rPr>
              <m:sty m:val="p"/>
            </m:rPr>
            <m:t>=</m:t>
          </m:r>
          <m:r>
            <m:rPr>
              <m:sty m:val="i"/>
            </m:rPr>
            <m:t>n</m:t>
          </m:r>
          <m:f>
            <m:fPr>
              <m:ctrlPr>
                <w:rPr>
                  <w:rFonts w:ascii="Cambria Math" w:hAnsi="Cambria Math"/>
                </w:rPr>
              </m:ctrlPr>
            </m:fPr>
            <m:num>
              <m:sSub>
                <m:sSubPr/>
                <m:e>
                  <m:r>
                    <m:rPr>
                      <m:sty m:val="i"/>
                    </m:rPr>
                    <m:t>c</m:t>
                  </m:r>
                </m:e>
                <m:sub>
                  <m:r>
                    <m:rPr>
                      <m:sty m:val="p"/>
                    </m:rPr>
                    <m:t>son</m:t>
                  </m:r>
                </m:sub>
              </m:sSub>
            </m:num>
            <m:den>
              <m:r>
                <m:rPr>
                  <m:sty m:val="p"/>
                </m:rPr>
                <m:t>2</m:t>
              </m:r>
              <m:r>
                <m:rPr>
                  <m:sty m:val="i"/>
                </m:rPr>
                <m:t>L</m:t>
              </m:r>
            </m:den>
          </m:f>
        </m:oMath>
      </m:oMathPara>
    </w:p>
    <w:p>
      <w:pPr>
        <w:spacing w:after="220" w:lineRule="auto"/>
      </w:pPr>
      <w:r>
        <w:rPr>
          <w:rFonts w:eastAsia="Georgia" w:cs="Georgia" w:ascii="Georgia" w:hAnsi="Georgia"/>
        </w:rPr>
        <w:t xml:space="preserve">La note associée à un son musical est déterminée par la fréquence fondamentale (c'est-à-dire correspondant à </w:t>
      </w:r>
      <m:oMath>
        <m:r>
          <m:rPr>
            <m:sty m:val="i"/>
          </m:rPr>
          <m:t>n</m:t>
        </m:r>
        <m:r>
          <m:rPr>
            <m:sty m:val="p"/>
          </m:rPr>
          <m:t>=</m:t>
        </m:r>
        <m:r>
          <m:rPr>
            <m:sty m:val="p"/>
          </m:rPr>
          <m:t>1</m:t>
        </m:r>
      </m:oMath>
      <w:r>
        <w:rPr/>
        <w:t xml:space="preserve"> ) de l'onde acoustique.</w:t>
      </w:r>
    </w:p>
    <w:p>
      <w:pPr>
        <w:spacing w:after="220" w:lineRule="auto"/>
      </w:pPr>
      <w:r>
        <w:rPr>
          <w:rFonts w:eastAsia="Georgia" w:cs="Georgia" w:ascii="Georgia" w:hAnsi="Georgia"/>
        </w:rPr>
        <w:t xml:space="preserve">Q 58. Calculer la valeur de la fréquence fondamentale d'une flûte traversière modélisée par un tuyau acoustique de longueur </w:t>
      </w:r>
      <m:oMath>
        <m:r>
          <m:rPr>
            <m:sty m:val="i"/>
          </m:rPr>
          <m:t>L</m:t>
        </m:r>
        <m:r>
          <m:rPr>
            <m:sty m:val="p"/>
          </m:rPr>
          <m:t>=</m:t>
        </m:r>
        <m:r>
          <m:rPr>
            <m:sty m:val="p"/>
          </m:rPr>
          <m:t>70</m:t>
        </m:r>
        <m:r>
          <m:rPr>
            <m:nor/>
          </m:rPr>
          <m:t xml:space="preserve"> </m:t>
        </m:r>
        <m:r>
          <m:rPr>
            <m:sty m:val="p"/>
          </m:rPr>
          <m:t>cm</m:t>
        </m:r>
      </m:oMath>
      <w:r>
        <w:rPr>
          <w:rFonts w:eastAsia="Georgia" w:cs="Georgia" w:ascii="Georgia" w:hAnsi="Georgia"/>
        </w:rPr>
        <w:t xml:space="preserve"> ouvert à ses deux extrémités (on considère une température de l'air dans le tube égale à </w:t>
      </w:r>
      <m:oMath>
        <m:sSup>
          <m:sSupPr/>
          <m:e>
            <m:r>
              <m:rPr>
                <m:sty m:val="p"/>
              </m:rPr>
              <m:t>25</m:t>
            </m:r>
          </m:e>
          <m:sup>
            <m:r>
              <m:rPr>
                <m:sty m:val="p"/>
              </m:rPr>
              <m:t>∘</m:t>
            </m:r>
          </m:sup>
        </m:sSup>
        <m:r>
          <m:rPr>
            <m:sty m:val="p"/>
          </m:rPr>
          <m:t>C</m:t>
        </m:r>
      </m:oMath>
      <w:r>
        <w:rPr/>
        <w:t xml:space="preserve"> ).</w:t>
      </w:r>
    </w:p>
    <w:p>
      <w:pPr>
        <w:spacing w:after="220" w:lineRule="auto"/>
      </w:pPr>
      <w:r>
        <w:rPr/>
        <w:t xml:space="preserve">Q 59. Identifier la note correspondante.</w:t>
      </w:r>
    </w:p>
    <w:p>
      <w:pPr>
        <w:spacing w:line="271" w:before="330" w:lineRule="auto"/>
      </w:pPr>
      <w:r>
        <w:rPr>
          <w:rFonts w:eastAsia="Georgia" w:cs="Georgia" w:ascii="Georgia" w:hAnsi="Georgia"/>
          <w:b/>
          <w:sz w:val="42"/>
        </w:rPr>
        <w:t xml:space="preserve">II.B.1) Trous «anti-résonance parasite»</w:t>
      </w:r>
    </w:p>
    <w:p>
      <w:pPr>
        <w:spacing w:after="220" w:lineRule="auto"/>
      </w:pPr>
      <w:r>
        <w:rPr>
          <w:rFonts w:eastAsia="Georgia" w:cs="Georgia" w:ascii="Georgia" w:hAnsi="Georgia"/>
        </w:rPr>
        <w:t xml:space="preserve">Lors des premiers essais du robot, trois notes se sont avérées quasiment impossible à jouer. Il s'agit des notes ré # 3, mi3 et fa3. L'explication tient à ce que, pour ces notes, l'air contenu dans le tube qui entoure la clarinette entre en résonance et perturbe le bon fonctionnement du robot. Pour pallier cette difficulté, des trous ont été percés dans le tube qui entoure la clarinette (figure 18).</w:t>
      </w:r>
    </w:p>
    <w:p>
      <w:pPr>
        <w:spacing w:lineRule="auto"/>
        <w:jc w:val="center"/>
      </w:pPr>
      <w:r>
        <w:rPr/>
        <w:drawing>
          <wp:inline distB="0" distL="0" distR="0" distT="0">
            <wp:extent cx="5486400" cy="1704673"/>
            <wp:effectExtent b="0" l="0" r="0" t="0"/>
            <wp:docPr id="17" name="image-c550f0fbea9d704643e1b47508b376f2e85f426f.jpg"/>
            <a:graphic>
              <a:graphicData uri="http://schemas.openxmlformats.org/drawingml/2006/picture">
                <pic:pic>
                  <pic:nvPicPr>
                    <pic:cNvPr id="17" name="image-c550f0fbea9d704643e1b47508b376f2e85f426f.jpg" descr=""/>
                    <pic:cNvPicPr/>
                  </pic:nvPicPr>
                  <pic:blipFill>
                    <a:blip r:embed="rId21" cstate="print"/>
                    <a:srcRect b="0" l="0" r="0" t="0"/>
                    <a:stretch>
                      <a:fillRect/>
                    </a:stretch>
                  </pic:blipFill>
                  <pic:spPr>
                    <a:xfrm>
                      <a:off x="0" y="0"/>
                      <a:ext cx="5486400" cy="1704673"/>
                    </a:xfrm>
                    <a:prstGeom prst="rect"/>
                  </pic:spPr>
                </pic:pic>
              </a:graphicData>
            </a:graphic>
          </wp:inline>
        </w:drawing>
      </w:r>
    </w:p>
    <w:p>
      <w:pPr>
        <w:spacing w:lineRule="auto"/>
      </w:pPr>
      <w:r>
        <w:rPr>
          <w:rFonts w:eastAsia="Georgia" w:cs="Georgia" w:ascii="Georgia" w:hAnsi="Georgia"/>
        </w:rPr>
        <w:t xml:space="preserve">Figure 18 Photos du tube de plexiglass qui entoure la clarinette où l'on peut observer des trous anti-résonance. Les trous en question ont été entourés sur la photo de gauche.</w:t>
      </w:r>
    </w:p>
    <w:p>
      <w:pPr>
        <w:spacing w:after="220" w:lineRule="auto"/>
      </w:pPr>
      <w:r>
        <w:rPr>
          <w:rFonts w:eastAsia="Georgia" w:cs="Georgia" w:ascii="Georgia" w:hAnsi="Georgia"/>
        </w:rPr>
        <w:t xml:space="preserve">Q 60. Proposer une estimation de la valeur de la longueur du tube de plexiglass qui entoure la clarinette en raisonnant sur la fréquence fondamentale associée aux notes qui posent problème.</w:t>
      </w:r>
    </w:p>
    <w:p>
      <w:pPr>
        <w:spacing w:line="271" w:before="330" w:lineRule="auto"/>
      </w:pPr>
      <w:r>
        <w:rPr>
          <w:b/>
          <w:sz w:val="42"/>
        </w:rPr>
        <w:t xml:space="preserve">II.C - Son produit par une clarinette</w:t>
      </w:r>
    </w:p>
    <w:p>
      <w:pPr>
        <w:spacing w:after="220" w:lineRule="auto"/>
      </w:pPr>
      <w:r>
        <w:rPr>
          <w:rFonts w:eastAsia="Georgia" w:cs="Georgia" w:ascii="Georgia" w:hAnsi="Georgia"/>
        </w:rPr>
        <w:t xml:space="preserve">Une clarinette est assimilée à un tube acoustique de longueur égale à </w:t>
      </w:r>
      <m:oMath>
        <m:r>
          <m:rPr>
            <m:sty m:val="i"/>
          </m:rPr>
          <m:t>L</m:t>
        </m:r>
        <m:r>
          <m:rPr>
            <m:sty m:val="p"/>
          </m:rPr>
          <m:t>=</m:t>
        </m:r>
        <m:r>
          <m:rPr>
            <m:sty m:val="p"/>
          </m:rPr>
          <m:t>58</m:t>
        </m:r>
        <m:r>
          <m:rPr>
            <m:sty m:val="p"/>
          </m:rPr>
          <m:t>,</m:t>
        </m:r>
        <m:r>
          <m:rPr>
            <m:sty m:val="p"/>
          </m:rPr>
          <m:t>8</m:t>
        </m:r>
        <m:r>
          <m:rPr>
            <m:nor/>
          </m:rPr>
          <m:t xml:space="preserve"> </m:t>
        </m:r>
        <m:r>
          <m:rPr>
            <m:sty m:val="p"/>
          </m:rPr>
          <m:t>cm</m:t>
        </m:r>
      </m:oMath>
      <w:r>
        <w:rPr>
          <w:rFonts w:eastAsia="Georgia" w:cs="Georgia" w:ascii="Georgia" w:hAnsi="Georgia"/>
        </w:rPr>
        <w:t xml:space="preserve">. Le spectre du son produit par une clarinette dont tous les trous sont bouchés est représenté sur la figure 19.</w:t>
      </w:r>
    </w:p>
    <w:p>
      <w:pPr>
        <w:spacing w:lineRule="auto"/>
        <w:jc w:val="center"/>
      </w:pPr>
      <w:r>
        <w:rPr/>
        <w:drawing>
          <wp:inline distB="0" distL="0" distR="0" distT="0">
            <wp:extent cx="5486400" cy="2324969"/>
            <wp:effectExtent b="0" l="0" r="0" t="0"/>
            <wp:docPr id="18" name="image-b8fa8a183b57c39fed45d483c264367268481fc2.jpg"/>
            <a:graphic>
              <a:graphicData uri="http://schemas.openxmlformats.org/drawingml/2006/picture">
                <pic:pic>
                  <pic:nvPicPr>
                    <pic:cNvPr id="18" name="image-b8fa8a183b57c39fed45d483c264367268481fc2.jpg" descr=""/>
                    <pic:cNvPicPr/>
                  </pic:nvPicPr>
                  <pic:blipFill>
                    <a:blip r:embed="rId22" cstate="print"/>
                    <a:srcRect b="0" l="0" r="0" t="0"/>
                    <a:stretch>
                      <a:fillRect/>
                    </a:stretch>
                  </pic:blipFill>
                  <pic:spPr>
                    <a:xfrm>
                      <a:off x="0" y="0"/>
                      <a:ext cx="5486400" cy="2324969"/>
                    </a:xfrm>
                    <a:prstGeom prst="rect"/>
                  </pic:spPr>
                </pic:pic>
              </a:graphicData>
            </a:graphic>
          </wp:inline>
        </w:drawing>
      </w:r>
    </w:p>
    <w:p>
      <w:pPr>
        <w:spacing w:lineRule="auto"/>
      </w:pPr>
      <w:r>
        <w:rPr>
          <w:rFonts w:eastAsia="Georgia" w:cs="Georgia" w:ascii="Georgia" w:hAnsi="Georgia"/>
        </w:rPr>
        <w:t xml:space="preserve">Figure 19 Spectre du son obtenu avec une clarinette ayant tous ses trous bouchés. (Source : http ://www.phys.unsw.edu.au/music/clarinet/E3.html)</w:t>
      </w:r>
    </w:p>
    <w:p>
      <w:pPr>
        <w:spacing w:after="220" w:lineRule="auto"/>
      </w:pPr>
      <w:r>
        <w:rPr>
          <w:rFonts w:eastAsia="Georgia" w:cs="Georgia" w:ascii="Georgia" w:hAnsi="Georgia"/>
        </w:rPr>
        <w:t xml:space="preserve">On souhaite déterminer si le modèle d'un tube acoustique ouvert à ses deux extrémités est adapté à la clarinette. On considère la relation II. 4 caractéristique d'un tube ouvert à ses deux extrémités.</w:t>
      </w:r>
    </w:p>
    <w:p>
      <w:pPr>
        <w:spacing w:after="220" w:lineRule="auto"/>
      </w:pPr>
      <w:r>
        <w:rPr>
          <w:rFonts w:eastAsia="Georgia" w:cs="Georgia" w:ascii="Georgia" w:hAnsi="Georgia"/>
        </w:rPr>
        <w:t xml:space="preserve">Q 61. Estimer la longueur de la clarinette en utilisant la relation II. 4 et le spectre fourni (on considère une température de l'air dans le tube égale à </w:t>
      </w:r>
      <m:oMath>
        <m:sSup>
          <m:sSupPr/>
          <m:e>
            <m:r>
              <m:rPr>
                <m:sty m:val="p"/>
              </m:rPr>
              <m:t>25</m:t>
            </m:r>
          </m:e>
          <m:sup>
            <m:r>
              <m:rPr>
                <m:sty m:val="p"/>
              </m:rPr>
              <m:t>∘</m:t>
            </m:r>
          </m:sup>
        </m:sSup>
        <m:r>
          <m:rPr>
            <m:sty m:val="p"/>
          </m:rPr>
          <m:t>C</m:t>
        </m:r>
      </m:oMath>
      <w:r>
        <w:rPr/>
        <w:t xml:space="preserve"> ).</w:t>
      </w:r>
    </w:p>
    <w:p>
      <w:pPr>
        <w:spacing w:after="220" w:lineRule="auto"/>
      </w:pPr>
      <w:r>
        <w:rPr>
          <w:rFonts w:eastAsia="Georgia" w:cs="Georgia" w:ascii="Georgia" w:hAnsi="Georgia"/>
        </w:rPr>
        <w:t xml:space="preserve">Q 62. Conclure quant à la possibilité de modéliser la clarinette par un tube ouvert à ses deux extrémités.</w:t>
      </w:r>
    </w:p>
    <w:p>
      <w:pPr>
        <w:spacing w:line="271" w:before="330" w:lineRule="auto"/>
      </w:pPr>
      <w:r>
        <w:rPr>
          <w:rFonts w:eastAsia="Georgia" w:cs="Georgia" w:ascii="Georgia" w:hAnsi="Georgia"/>
          <w:b/>
          <w:sz w:val="42"/>
        </w:rPr>
        <w:t xml:space="preserve">Données</w:t>
      </w:r>
    </w:p>
    <w:p>
      <w:pPr>
        <w:spacing w:after="220" w:lineRule="auto"/>
      </w:pPr>
      <w:r>
        <w:rPr/>
        <w:t xml:space="preserve">Constante d'Avogadro</w:t>
      </w:r>
      <w:r>
        <w:rPr/>
        <w:br w:type="textWrapping"/>
      </w:r>
      <w:r>
        <w:rPr>
          <w:rFonts w:eastAsia="Georgia" w:cs="Georgia" w:ascii="Georgia" w:hAnsi="Georgia"/>
        </w:rPr>
        <w:t xml:space="preserve">Accélération de la pesanteur</w:t>
      </w:r>
      <w:r>
        <w:rPr/>
        <w:br w:type="textWrapping"/>
      </w:r>
      <w:r>
        <w:rPr/>
        <w:t xml:space="preserve">Masse molaire du cuivre</w:t>
      </w:r>
      <w:r>
        <w:rPr/>
        <w:br w:type="textWrapping"/>
      </w:r>
      <w:r>
        <w:rPr/>
        <w:t xml:space="preserve">Masse molaire de </w:t>
      </w:r>
      <m:oMath>
        <m:r>
          <m:rPr>
            <m:sty m:val="p"/>
          </m:rPr>
          <m:t>Na</m:t>
        </m:r>
        <m:r>
          <m:rPr>
            <m:sty m:val="p"/>
          </m:rPr>
          <m:t>(</m:t>
        </m:r>
        <m:r>
          <m:rPr>
            <m:sty m:val="p"/>
          </m:rPr>
          <m:t>OH</m:t>
        </m:r>
        <m:r>
          <m:rPr>
            <m:sty m:val="p"/>
          </m:rPr>
          <m:t>)</m:t>
        </m:r>
      </m:oMath>
      <w:r>
        <w:rPr/>
        <w:br w:type="textWrapping"/>
      </w:r>
      <w:r>
        <w:rPr/>
        <w:t xml:space="preserve">Masse volumique du cuivre</w:t>
      </w:r>
      <w:r>
        <w:rPr/>
        <w:br w:type="textWrapping"/>
      </w:r>
      <w:r>
        <w:rPr/>
        <w:t xml:space="preserve">Masse volumique de l'eau</w:t>
      </w:r>
      <w:r>
        <w:rPr/>
        <w:br w:type="textWrapping"/>
      </w:r>
      <w:r>
        <w:rPr>
          <w:rFonts w:eastAsia="Georgia" w:cs="Georgia" w:ascii="Georgia" w:hAnsi="Georgia"/>
        </w:rPr>
        <w:t xml:space="preserve">Capacité thermique massique du cuivre</w:t>
      </w:r>
      <w:r>
        <w:rPr/>
        <w:br w:type="textWrapping"/>
      </w:r>
      <w:r>
        <w:rPr/>
        <w:t xml:space="preserve">Rayon atomique du cuivre</w:t>
      </w:r>
      <w:r>
        <w:rPr/>
        <w:br w:type="textWrapping"/>
      </w:r>
      <w:r>
        <w:rPr>
          <w:rFonts w:eastAsia="Georgia" w:cs="Georgia" w:ascii="Georgia" w:hAnsi="Georgia"/>
        </w:rPr>
        <w:t xml:space="preserve">Énergie d'activation de la polymérisation du MMA</w:t>
      </w:r>
      <w:r>
        <w:rPr/>
        <w:br w:type="textWrapping"/>
      </w:r>
      <w:r>
        <w:rPr>
          <w:rFonts w:eastAsia="Georgia" w:cs="Georgia" w:ascii="Georgia" w:hAnsi="Georgia"/>
        </w:rPr>
        <w:t xml:space="preserve">Produit ionique de l'eau à </w:t>
      </w:r>
      <m:oMath>
        <m:sSup>
          <m:sSupPr/>
          <m:e>
            <m:r>
              <m:rPr>
                <m:sty m:val="p"/>
              </m:rPr>
              <m:t>25</m:t>
            </m:r>
          </m:e>
          <m:sup>
            <m:r>
              <m:rPr>
                <m:sty m:val="p"/>
              </m:rPr>
              <m:t>∘</m:t>
            </m:r>
          </m:sup>
        </m:sSup>
        <m:r>
          <m:rPr>
            <m:sty m:val="p"/>
          </m:rPr>
          <m:t>C</m:t>
        </m:r>
      </m:oMath>
      <w:r>
        <w:rPr/>
        <w:br w:type="textWrapping"/>
      </w:r>
      <m:oMath>
        <m:sSub>
          <m:sSubPr/>
          <m:e>
            <m:r>
              <m:rPr>
                <m:sty m:val="p"/>
              </m:rPr>
              <m:t>pK</m:t>
            </m:r>
          </m:e>
          <m:sub>
            <m:r>
              <m:rPr>
                <m:sty m:val="p"/>
              </m:rPr>
              <m:t>a</m:t>
            </m:r>
          </m:sub>
        </m:sSub>
      </m:oMath>
      <w:r>
        <w:rPr/>
        <w:t xml:space="preserve"> du couple </w:t>
      </w:r>
      <m:oMath>
        <m:sSubSup>
          <m:sSubSupPr/>
          <m:e>
            <m:r>
              <m:rPr>
                <m:sty m:val="p"/>
              </m:rPr>
              <m:t>NH</m:t>
            </m:r>
          </m:e>
          <m:sub>
            <m:r>
              <m:rPr>
                <m:sty m:val="p"/>
              </m:rPr>
              <m:t>4</m:t>
            </m:r>
          </m:sub>
          <m:sup>
            <m:r>
              <m:rPr>
                <m:sty m:val="p"/>
              </m:rPr>
              <m:t>+</m:t>
            </m:r>
          </m:sup>
        </m:sSubSup>
        <m:r>
          <m:rPr>
            <m:sty m:val="p"/>
          </m:rPr>
          <m:t>/</m:t>
        </m:r>
        <m:sSub>
          <m:sSubPr/>
          <m:e>
            <m:r>
              <m:rPr>
                <m:sty m:val="p"/>
              </m:rPr>
              <m:t>NH</m:t>
            </m:r>
          </m:e>
          <m:sub>
            <m:r>
              <m:rPr>
                <m:sty m:val="p"/>
              </m:rPr>
              <m:t>3</m:t>
            </m:r>
          </m:sub>
        </m:sSub>
      </m:oMath>
      <w:r>
        <w:rPr/>
        <w:br w:type="textWrapping"/>
      </w:r>
      <w:r>
        <w:rPr>
          <w:rFonts w:eastAsia="Georgia" w:cs="Georgia" w:ascii="Georgia" w:hAnsi="Georgia"/>
        </w:rPr>
        <w:t xml:space="preserve">Produit de solubilité de </w:t>
      </w:r>
      <m:oMath>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oMath>
      <w:r>
        <w:rPr>
          <w:rFonts w:eastAsia="Georgia" w:cs="Georgia" w:ascii="Georgia" w:hAnsi="Georgia"/>
        </w:rPr>
        <w:t xml:space="preserve"> dans l'eau à </w:t>
      </w:r>
      <m:oMath>
        <m:sSup>
          <m:sSupPr/>
          <m:e>
            <m:r>
              <m:rPr>
                <m:sty m:val="p"/>
              </m:rPr>
              <m:t>25</m:t>
            </m:r>
          </m:e>
          <m:sup>
            <m:r>
              <m:rPr>
                <m:sty m:val="p"/>
              </m:rPr>
              <m:t>∘</m:t>
            </m:r>
          </m:sup>
        </m:sSup>
        <m:r>
          <m:rPr>
            <m:sty m:val="p"/>
          </m:rPr>
          <m:t>C</m:t>
        </m:r>
      </m:oMath>
      <w:r>
        <w:rPr/>
        <w:br w:type="textWrapping"/>
      </w:r>
      <w:r>
        <w:rPr>
          <w:rFonts w:eastAsia="Georgia" w:cs="Georgia" w:ascii="Georgia" w:hAnsi="Georgia"/>
        </w:rPr>
        <w:t xml:space="preserve">Enthalpie standard de dissolution des cristaux de sulfate d'ammonium à 298 K</w:t>
      </w:r>
      <w:r>
        <w:rPr/>
        <w:br w:type="textWrapping"/>
      </w:r>
      <w:r>
        <w:rPr>
          <w:rFonts w:eastAsia="Georgia" w:cs="Georgia" w:ascii="Georgia" w:hAnsi="Georgia"/>
        </w:rPr>
        <w:t xml:space="preserve">Enthalpie standard de formation de la cyanhydrine d'acétone (espèce notée A sur la figure 13)</w:t>
      </w:r>
      <w:r>
        <w:rPr/>
        <w:br w:type="textWrapping"/>
      </w:r>
      <w:r>
        <w:rPr>
          <w:rFonts w:eastAsia="Georgia" w:cs="Georgia" w:ascii="Georgia" w:hAnsi="Georgia"/>
        </w:rPr>
        <w:t xml:space="preserve">Enthalpie standard de formation du méthacrylamide (espèce notée B sur la figure 13)</w:t>
      </w:r>
      <w:r>
        <w:rPr/>
        <w:br w:type="textWrapping"/>
      </w:r>
      <w:r>
        <w:rPr>
          <w:rFonts w:eastAsia="Georgia" w:cs="Georgia" w:ascii="Georgia" w:hAnsi="Georgia"/>
        </w:rPr>
        <w:t xml:space="preserve">Célérité du son dans l'air à </w:t>
      </w:r>
      <m:oMath>
        <m:sSup>
          <m:sSupPr/>
          <m:e>
            <m:r>
              <m:rPr>
                <m:sty m:val="p"/>
              </m:rPr>
              <m:t>25</m:t>
            </m:r>
          </m:e>
          <m:sup>
            <m:r>
              <m:rPr>
                <m:sty m:val="p"/>
              </m:rPr>
              <m:t>∘</m:t>
            </m:r>
          </m:sup>
        </m:sSup>
        <m:r>
          <m:rPr>
            <m:sty m:val="p"/>
          </m:rPr>
          <m:t>C</m:t>
        </m:r>
      </m:oMath>
      <w:r>
        <w:rPr/>
        <w:br w:type="textWrapping"/>
      </w:r>
      <w:r>
        <w:rPr/>
        <w:t xml:space="preserve">: </w:t>
      </w:r>
      <m:oMath>
        <m:sSub>
          <m:sSubPr/>
          <m:e>
            <m:r>
              <m:rPr>
                <m:sty m:val="i"/>
              </m:rPr>
              <m:t>N</m:t>
            </m:r>
          </m:e>
          <m:sub>
            <m:r>
              <m:rPr>
                <m:sty m:val="i"/>
              </m:rPr>
              <m:t>A</m:t>
            </m:r>
          </m:sub>
        </m:sSub>
        <m:r>
          <m:rPr>
            <m:sty m:val="p"/>
          </m:rPr>
          <m:t>=</m:t>
        </m:r>
        <m:r>
          <m:rPr>
            <m:sty m:val="p"/>
          </m:rPr>
          <m:t>6</m:t>
        </m:r>
        <m:r>
          <m:rPr>
            <m:sty m:val="p"/>
          </m:rPr>
          <m:t>,</m:t>
        </m:r>
        <m:sSup>
          <m:sSupPr/>
          <m:e>
            <m:r>
              <m:rPr>
                <m:sty m:val="p"/>
              </m:rPr>
              <m:t>02210</m:t>
            </m:r>
          </m:e>
          <m:sup>
            <m:r>
              <m:rPr>
                <m:sty m:val="p"/>
              </m:rPr>
              <m:t>23</m:t>
            </m:r>
          </m:sup>
        </m:sSup>
        <m:sSup>
          <m:sSupPr/>
          <m:e>
            <m:r>
              <m:rPr>
                <m:nor/>
              </m:rPr>
              <m:t xml:space="preserve"> </m:t>
            </m:r>
            <m:r>
              <m:rPr>
                <m:sty m:val="p"/>
              </m:rPr>
              <m:t>mol</m:t>
            </m:r>
          </m:e>
          <m:sup>
            <m:r>
              <m:rPr>
                <m:sty m:val="p"/>
              </m:rPr>
              <m:t>−</m:t>
            </m:r>
            <m:r>
              <m:rPr>
                <m:sty m:val="p"/>
              </m:rPr>
              <m:t>1</m:t>
            </m:r>
          </m:sup>
        </m:sSup>
      </m:oMath>
      <w:r>
        <w:rPr/>
        <w:br w:type="textWrapping"/>
      </w:r>
      <m:oMathPara>
        <m:oMathParaPr>
          <m:jc m:val="left"/>
        </m:oMathParaPr>
        <m:oMath>
          <m:r>
            <m:rPr>
              <m:sty m:val="p"/>
            </m:rPr>
            <m:t>:</m:t>
          </m:r>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m:oMathPara>
      <w:r>
        <w:rPr/>
        <w:br w:type="textWrapping"/>
      </w:r>
      <w:r>
        <w:rPr/>
        <w:t xml:space="preserve">: </w:t>
      </w:r>
      <m:oMath>
        <m:sSub>
          <m:sSubPr/>
          <m:e>
            <m:r>
              <m:rPr>
                <m:sty m:val="i"/>
              </m:rPr>
              <m:t>M</m:t>
            </m:r>
          </m:e>
          <m:sub>
            <m:r>
              <m:rPr>
                <m:sty m:val="p"/>
              </m:rPr>
              <m:t>Cu</m:t>
            </m:r>
          </m:sub>
        </m:sSub>
        <m:r>
          <m:rPr>
            <m:sty m:val="p"/>
          </m:rPr>
          <m:t>=</m:t>
        </m:r>
        <m:r>
          <m:rPr>
            <m:sty m:val="p"/>
          </m:rPr>
          <m:t>63</m:t>
        </m:r>
        <m:r>
          <m:rPr>
            <m:sty m:val="p"/>
          </m:rPr>
          <m:t>,</m:t>
        </m:r>
        <m:r>
          <m:rPr>
            <m:sty m:val="p"/>
          </m:rPr>
          <m:t>55</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m:oMathPara>
        <m:oMathParaPr>
          <m:jc m:val="left"/>
        </m:oMathParaPr>
        <m:oMath>
          <m:r>
            <m:rPr>
              <m:sty m:val="p"/>
            </m:rPr>
            <m:t>:</m:t>
          </m:r>
          <m:sSub>
            <m:sSubPr/>
            <m:e>
              <m:r>
                <m:rPr>
                  <m:sty m:val="i"/>
                </m:rPr>
                <m:t>M</m:t>
              </m:r>
            </m:e>
            <m:sub>
              <m:r>
                <m:rPr>
                  <m:sty m:val="p"/>
                </m:rPr>
                <m:t>Na</m:t>
              </m:r>
              <m:r>
                <m:rPr>
                  <m:sty m:val="p"/>
                </m:rPr>
                <m:t>(</m:t>
              </m:r>
              <m:r>
                <m:rPr>
                  <m:sty m:val="p"/>
                </m:rPr>
                <m:t>OH</m:t>
              </m:r>
              <m:r>
                <m:rPr>
                  <m:sty m:val="p"/>
                </m:rPr>
                <m:t>)</m:t>
              </m:r>
            </m:sub>
          </m:sSub>
          <m:r>
            <m:rPr>
              <m:sty m:val="p"/>
            </m:rPr>
            <m:t>=</m:t>
          </m:r>
          <m:r>
            <m:rPr>
              <m:sty m:val="p"/>
            </m:rPr>
            <m:t>40</m:t>
          </m:r>
          <m:r>
            <m:rPr>
              <m:sty m:val="p"/>
            </m:rPr>
            <m:t>,</m:t>
          </m:r>
          <m:r>
            <m:rPr>
              <m:sty m:val="p"/>
            </m:rPr>
            <m:t>0</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m:oMathPara>
      <w:r>
        <w:rPr/>
        <w:br w:type="textWrapping"/>
      </w:r>
      <w:r>
        <w:rPr/>
        <w:t xml:space="preserve">: </w:t>
      </w:r>
      <m:oMath>
        <m:sSub>
          <m:sSubPr/>
          <m:e>
            <m:r>
              <m:rPr>
                <m:sty m:val="i"/>
              </m:rPr>
              <m:t>ρ</m:t>
            </m:r>
          </m:e>
          <m:sub>
            <m:r>
              <m:rPr>
                <m:sty m:val="p"/>
              </m:rPr>
              <m:t>Cu</m:t>
            </m:r>
          </m:sub>
        </m:sSub>
        <m:r>
          <m:rPr>
            <m:sty m:val="p"/>
          </m:rPr>
          <m:t>=</m:t>
        </m:r>
        <m:r>
          <m:rPr>
            <m:sty m:val="p"/>
          </m:rPr>
          <m:t>8</m:t>
        </m:r>
        <m:r>
          <m:rPr>
            <m:sty m:val="p"/>
          </m:rPr>
          <m:t>,</m:t>
        </m:r>
        <m:sSup>
          <m:sSupPr/>
          <m:e>
            <m:r>
              <m:rPr>
                <m:sty m:val="p"/>
              </m:rPr>
              <m:t>9610</m:t>
            </m:r>
          </m:e>
          <m:sup>
            <m:r>
              <m:rPr>
                <m:sty m:val="p"/>
              </m:rPr>
              <m:t>3</m:t>
            </m:r>
          </m:sup>
        </m:sSup>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t xml:space="preserve">: </w:t>
      </w:r>
      <m:oMath>
        <m:sSub>
          <m:sSubPr/>
          <m:e>
            <m:r>
              <m:rPr>
                <m:sty m:val="i"/>
              </m:rPr>
              <m:t>ρ</m:t>
            </m:r>
          </m:e>
          <m:sub>
            <m:r>
              <m:rPr>
                <m:nor/>
              </m:rPr>
              <m:t>eau </m:t>
            </m:r>
          </m:sub>
        </m:sSub>
        <m:r>
          <m:rPr>
            <m:sty m:val="p"/>
          </m:rPr>
          <m:t>=</m:t>
        </m:r>
        <m:r>
          <m:rPr>
            <m:sty m:val="p"/>
          </m:rPr>
          <m:t>1</m:t>
        </m:r>
        <m:r>
          <m:rPr>
            <m:sty m:val="p"/>
          </m:rPr>
          <m:t>,</m:t>
        </m:r>
        <m:r>
          <m:rPr>
            <m:sty m:val="p"/>
          </m:rPr>
          <m:t>00</m:t>
        </m:r>
        <m:r>
          <m:rPr>
            <m:sty m:val="p"/>
          </m:rPr>
          <m:t>e</m:t>
        </m:r>
        <m:r>
          <m:rPr>
            <m:sty m:val="p"/>
          </m:rPr>
          <m:t>3</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br w:type="textWrapping"/>
      </w:r>
      <w:r>
        <w:rPr/>
        <w:t xml:space="preserve">: </w:t>
      </w:r>
      <m:oMath>
        <m:sSub>
          <m:sSubPr/>
          <m:e>
            <m:r>
              <m:rPr>
                <m:sty m:val="i"/>
              </m:rPr>
              <m:t>c</m:t>
            </m:r>
          </m:e>
          <m:sub>
            <m:r>
              <m:rPr>
                <m:sty m:val="p"/>
              </m:rPr>
              <m:t>Cu</m:t>
            </m:r>
          </m:sub>
        </m:sSub>
        <m:r>
          <m:rPr>
            <m:sty m:val="p"/>
          </m:rPr>
          <m:t>=</m:t>
        </m:r>
        <m:r>
          <m:rPr>
            <m:sty m:val="p"/>
          </m:rPr>
          <m:t>380</m:t>
        </m:r>
        <m:r>
          <m:rPr>
            <m:nor/>
          </m:rPr>
          <m:t xml:space="preserve"> </m:t>
        </m:r>
        <m:r>
          <m:rPr>
            <m:sty m:val="p"/>
          </m:rPr>
          <m:t>J</m:t>
        </m:r>
        <m:r>
          <m:rPr>
            <m:sty m:val="p"/>
          </m:rPr>
          <m:t>⋅</m:t>
        </m:r>
        <m:sSup>
          <m:sSupPr/>
          <m:e>
            <m:r>
              <m:rPr>
                <m:nor/>
              </m:rPr>
              <m:t xml:space="preserve"> </m:t>
            </m:r>
            <m:r>
              <m:rPr>
                <m:sty m:val="p"/>
              </m:rPr>
              <m:t>kg</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br w:type="textWrapping"/>
      </w:r>
      <w:r>
        <w:rPr/>
        <w:t xml:space="preserve">: </w:t>
      </w:r>
      <m:oMath>
        <m:sSub>
          <m:sSubPr/>
          <m:e>
            <m:r>
              <m:rPr>
                <m:sty m:val="i"/>
              </m:rPr>
              <m:t>r</m:t>
            </m:r>
          </m:e>
          <m:sub>
            <m:r>
              <m:rPr>
                <m:sty m:val="p"/>
              </m:rPr>
              <m:t>Cu</m:t>
            </m:r>
          </m:sub>
        </m:sSub>
        <m:r>
          <m:rPr>
            <m:sty m:val="p"/>
          </m:rPr>
          <m:t>=</m:t>
        </m:r>
        <m:r>
          <m:rPr>
            <m:sty m:val="p"/>
          </m:rPr>
          <m:t>128</m:t>
        </m:r>
        <m:r>
          <m:rPr>
            <m:sty m:val="p"/>
          </m:rPr>
          <m:t>pm</m:t>
        </m:r>
      </m:oMath>
      <w:r>
        <w:rPr/>
        <w:br w:type="textWrapping"/>
      </w:r>
      <w:r>
        <w:rPr/>
        <w:t xml:space="preserve">: </w:t>
      </w:r>
      <m:oMath>
        <m:sSub>
          <m:sSubPr/>
          <m:e>
            <m:r>
              <m:rPr>
                <m:sty m:val="i"/>
              </m:rPr>
              <m:t>E</m:t>
            </m:r>
          </m:e>
          <m:sub>
            <m:r>
              <m:rPr>
                <m:sty m:val="i"/>
              </m:rPr>
              <m:t>a</m:t>
            </m:r>
          </m:sub>
        </m:sSub>
        <m:r>
          <m:rPr>
            <m:sty m:val="p"/>
          </m:rPr>
          <m:t>=</m:t>
        </m:r>
        <m:r>
          <m:rPr>
            <m:sty m:val="p"/>
          </m:rPr>
          <m:t>162</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 </w:t>
      </w:r>
      <m:oMath>
        <m:sSub>
          <m:sSubPr/>
          <m:e>
            <m:r>
              <m:rPr>
                <m:sty m:val="i"/>
              </m:rPr>
              <m:t>K</m:t>
            </m:r>
          </m:e>
          <m:sub>
            <m:r>
              <m:rPr>
                <m:sty m:val="i"/>
              </m:rPr>
              <m:t>e</m:t>
            </m:r>
          </m:sub>
        </m:sSub>
        <m:r>
          <m:rPr>
            <m:sty m:val="p"/>
          </m:rPr>
          <m:t>=</m:t>
        </m:r>
        <m:sSup>
          <m:sSupPr/>
          <m:e>
            <m:r>
              <m:rPr>
                <m:sty m:val="p"/>
              </m:rPr>
              <m:t>10</m:t>
            </m:r>
          </m:e>
          <m:sup>
            <m:r>
              <m:rPr>
                <m:sty m:val="p"/>
              </m:rPr>
              <m:t>−</m:t>
            </m:r>
            <m:r>
              <m:rPr>
                <m:sty m:val="p"/>
              </m:rPr>
              <m:t>14</m:t>
            </m:r>
          </m:sup>
        </m:sSup>
      </m:oMath>
      <w:r>
        <w:rPr/>
        <w:br w:type="textWrapping"/>
      </w:r>
      <m:oMathPara>
        <m:oMathParaPr>
          <m:jc m:val="left"/>
        </m:oMathParaPr>
        <m:oMath>
          <m:r>
            <m:rPr>
              <m:sty m:val="p"/>
            </m:rPr>
            <m:t>:</m:t>
          </m:r>
          <m:sSub>
            <m:sSubPr/>
            <m:e>
              <m:r>
                <m:rPr>
                  <m:sty m:val="p"/>
                </m:rPr>
                <m:t>pK</m:t>
              </m:r>
            </m:e>
            <m:sub>
              <m:r>
                <m:rPr>
                  <m:sty m:val="p"/>
                </m:rPr>
                <m:t>a</m:t>
              </m:r>
            </m:sub>
          </m:sSub>
          <m:r>
            <m:rPr>
              <m:sty m:val="p"/>
            </m:rPr>
            <m:t>=</m:t>
          </m:r>
          <m:r>
            <m:rPr>
              <m:sty m:val="p"/>
            </m:rPr>
            <m:t>9</m:t>
          </m:r>
          <m:r>
            <m:rPr>
              <m:sty m:val="p"/>
            </m:rPr>
            <m:t>,</m:t>
          </m:r>
          <m:r>
            <m:rPr>
              <m:sty m:val="p"/>
            </m:rPr>
            <m:t>2</m:t>
          </m:r>
        </m:oMath>
      </m:oMathPara>
      <w:r>
        <w:rPr/>
        <w:br w:type="textWrapping"/>
      </w:r>
      <w:r>
        <w:rPr/>
        <w:t xml:space="preserve">: </w:t>
      </w:r>
      <m:oMath>
        <m:sSub>
          <m:sSubPr/>
          <m:e>
            <m:r>
              <m:rPr>
                <m:sty m:val="i"/>
              </m:rPr>
              <m:t>K</m:t>
            </m:r>
          </m:e>
          <m:sub>
            <m:r>
              <m:rPr>
                <m:sty m:val="i"/>
              </m:rPr>
              <m:t>s</m:t>
            </m:r>
          </m:sub>
        </m:sSub>
        <m:d>
          <m:dPr>
            <m:begChr m:val="("/>
            <m:endChr m:val=")"/>
            <m:ctrlPr>
              <w:rPr>
                <w:rFonts w:ascii="Cambria Math" w:hAnsi="Cambria Math"/>
              </w:rPr>
            </m:ctrlPr>
          </m:dPr>
          <m:e>
            <m:sSub>
              <m:sSubPr/>
              <m:e>
                <m:d>
                  <m:dPr>
                    <m:begChr m:val="("/>
                    <m:endChr m:val=")"/>
                    <m:ctrlPr>
                      <w:rPr>
                        <w:rFonts w:ascii="Cambria Math" w:hAnsi="Cambria Math"/>
                      </w:rPr>
                    </m:ctrlPr>
                  </m:dPr>
                  <m:e>
                    <m:sSub>
                      <m:sSubPr/>
                      <m:e>
                        <m:r>
                          <m:rPr>
                            <m:sty m:val="p"/>
                          </m:rPr>
                          <m:t>NH</m:t>
                        </m:r>
                      </m:e>
                      <m:sub>
                        <m:r>
                          <m:rPr>
                            <m:sty m:val="p"/>
                          </m:rPr>
                          <m:t>4</m:t>
                        </m:r>
                      </m:sub>
                    </m:sSub>
                  </m:e>
                </m:d>
              </m:e>
              <m:sub>
                <m:r>
                  <m:rPr>
                    <m:sty m:val="p"/>
                  </m:rPr>
                  <m:t>2</m:t>
                </m:r>
              </m:sub>
            </m:sSub>
            <m:sSub>
              <m:sSubPr/>
              <m:e>
                <m:r>
                  <m:rPr>
                    <m:sty m:val="p"/>
                  </m:rPr>
                  <m:t>SO</m:t>
                </m:r>
              </m:e>
              <m:sub>
                <m:r>
                  <m:rPr>
                    <m:sty m:val="p"/>
                  </m:rPr>
                  <m:t>4</m:t>
                </m:r>
              </m:sub>
            </m:sSub>
          </m:e>
        </m:d>
        <m:r>
          <m:rPr>
            <m:sty m:val="p"/>
          </m:rPr>
          <m:t>=</m:t>
        </m:r>
        <m:r>
          <m:rPr>
            <m:sty m:val="p"/>
          </m:rPr>
          <m:t>773</m:t>
        </m:r>
      </m:oMath>
      <w:r>
        <w:rPr/>
        <w:br w:type="textWrapping"/>
      </w:r>
      <m:oMathPara>
        <m:oMathParaPr>
          <m:jc m:val="left"/>
        </m:oMathParaPr>
        <m:oMath>
          <m:r>
            <m:rPr>
              <m:sty m:val="p"/>
            </m:rPr>
            <m:t>:</m:t>
          </m:r>
          <m:r>
            <m:rPr>
              <m:sty m:val="p"/>
            </m:rPr>
            <m:t>11</m:t>
          </m:r>
          <m:r>
            <m:rPr>
              <m:sty m:val="p"/>
            </m:rPr>
            <m:t>,</m:t>
          </m:r>
          <m:r>
            <m:rPr>
              <m:sty m:val="p"/>
            </m:rPr>
            <m:t>1</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r>
        <w:rPr/>
        <w:br w:type="textWrapping"/>
      </w:r>
      <w:r>
        <w:rPr/>
        <w:t xml:space="preserve">: </w:t>
      </w:r>
      <m:oMath>
        <m:sSub>
          <m:sSubPr/>
          <m:e>
            <m:r>
              <m:rPr>
                <m:sty m:val="p"/>
              </m:rPr>
              <m:t>Δ</m:t>
            </m:r>
          </m:e>
          <m:sub>
            <m:r>
              <m:rPr>
                <m:sty m:val="i"/>
              </m:rPr>
              <m:t>f</m:t>
            </m:r>
          </m:sub>
        </m:sSub>
        <m:sSup>
          <m:sSupPr/>
          <m:e>
            <m:r>
              <m:rPr>
                <m:sty m:val="i"/>
              </m:rPr>
              <m:t>H</m:t>
            </m:r>
          </m:e>
          <m:sup>
            <m:r>
              <m:rPr>
                <m:sty m:val="p"/>
              </m:rPr>
              <m:t>o</m:t>
            </m:r>
          </m:sup>
        </m:sSup>
        <m:r>
          <m:rPr>
            <m:sty m:val="p"/>
          </m:rPr>
          <m:t>=</m:t>
        </m:r>
        <m:r>
          <m:rPr>
            <m:sty m:val="p"/>
          </m:rPr>
          <m:t>−</m:t>
        </m:r>
        <m:r>
          <m:rPr>
            <m:sty m:val="p"/>
          </m:rPr>
          <m:t>120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 </w:t>
      </w:r>
      <m:oMath>
        <m:sSub>
          <m:sSubPr/>
          <m:e>
            <m:r>
              <m:rPr>
                <m:sty m:val="p"/>
              </m:rPr>
              <m:t>Δ</m:t>
            </m:r>
          </m:e>
          <m:sub>
            <m:r>
              <m:rPr>
                <m:sty m:val="i"/>
              </m:rPr>
              <m:t>f</m:t>
            </m:r>
          </m:sub>
        </m:sSub>
        <m:sSup>
          <m:sSupPr/>
          <m:e>
            <m:r>
              <m:rPr>
                <m:sty m:val="i"/>
              </m:rPr>
              <m:t>H</m:t>
            </m:r>
          </m:e>
          <m:sup>
            <m:r>
              <m:rPr>
                <m:sty m:val="p"/>
              </m:rPr>
              <m:t>o</m:t>
            </m:r>
          </m:sup>
        </m:sSup>
        <m:r>
          <m:rPr>
            <m:sty m:val="p"/>
          </m:rPr>
          <m:t>=</m:t>
        </m:r>
        <m:r>
          <m:rPr>
            <m:sty m:val="p"/>
          </m:rPr>
          <m:t>−</m:t>
        </m:r>
        <m:r>
          <m:rPr>
            <m:sty m:val="p"/>
          </m:rPr>
          <m:t>470</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w:r>
        <w:rPr/>
        <w:br w:type="textWrapping"/>
      </w:r>
      <w:r>
        <w:rPr/>
        <w:t xml:space="preserve">: </w:t>
      </w:r>
      <m:oMath>
        <m:sSub>
          <m:sSubPr/>
          <m:e>
            <m:r>
              <m:rPr>
                <m:sty m:val="i"/>
              </m:rPr>
              <m:t>c</m:t>
            </m:r>
          </m:e>
          <m:sub>
            <m:r>
              <m:rPr>
                <m:nor/>
              </m:rPr>
              <m:t>son </m:t>
            </m:r>
          </m:sub>
        </m:sSub>
        <m:r>
          <m:rPr>
            <m:sty m:val="p"/>
          </m:rPr>
          <m:t>=</m:t>
        </m:r>
        <m:r>
          <m:rPr>
            <m:sty m:val="p"/>
          </m:rPr>
          <m:t>346</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p>
    <w:p>
      <w:pPr>
        <w:spacing w:line="271" w:before="330" w:lineRule="auto"/>
      </w:pPr>
      <w:r>
        <w:rPr>
          <w:b/>
          <w:sz w:val="42"/>
        </w:rPr>
        <w:t xml:space="preserve">Formulaire</w:t>
      </w:r>
    </w:p>
    <w:p>
      <w:pPr>
        <w:spacing w:after="220" w:lineRule="auto"/>
      </w:pPr>
      <w:r>
        <w:rPr/>
        <w:t xml:space="preserve">Incertitudes-types Notation : </w:t>
      </w:r>
      <m:oMath>
        <m:r>
          <m:rPr>
            <m:sty m:val="i"/>
          </m:rPr>
          <m:t>u</m:t>
        </m:r>
      </m:oMath>
      <w:r>
        <w:rPr>
          <w:rFonts w:eastAsia="Georgia" w:cs="Georgia" w:ascii="Georgia" w:hAnsi="Georgia"/>
        </w:rPr>
        <w:t xml:space="preserve"> désigne l'incertitude-type.</w:t>
      </w:r>
    </w:p>
    <w:p>
      <w:pPr>
        <w:numPr>
          <w:ilvl w:val="0"/>
          <w:numId w:val="2"/>
        </w:numPr>
        <w:spacing w:lineRule="auto"/>
      </w:pPr>
      <w:r>
        <w:rPr/>
        <w:t xml:space="preserve">incertitude-type pour une mesure analogique : </w:t>
      </w:r>
      <m:oMath>
        <m:r>
          <m:rPr>
            <m:sty m:val="i"/>
          </m:rPr>
          <m:t>u</m:t>
        </m:r>
        <m:r>
          <m:rPr>
            <m:sty m:val="p"/>
          </m:rPr>
          <m:t>=</m:t>
        </m:r>
        <m:f>
          <m:fPr>
            <m:ctrlPr>
              <w:rPr>
                <w:rFonts w:ascii="Cambria Math" w:hAnsi="Cambria Math"/>
              </w:rPr>
            </m:ctrlPr>
          </m:fPr>
          <m:num>
            <m:r>
              <m:rPr>
                <m:nor/>
              </m:rPr>
              <m:t> graduation </m:t>
            </m:r>
          </m:num>
          <m:den>
            <m:rad>
              <m:radPr>
                <m:degHide m:val="1"/>
                <m:ctrlPr>
                  <w:rPr>
                    <w:rFonts w:ascii="Cambria Math" w:hAnsi="Cambria Math"/>
                  </w:rPr>
                </m:ctrlPr>
              </m:radPr>
              <m:deg/>
              <m:e>
                <m:r>
                  <m:rPr>
                    <m:sty m:val="p"/>
                  </m:rPr>
                  <m:t>12</m:t>
                </m:r>
              </m:e>
            </m:rad>
          </m:den>
        </m:f>
      </m:oMath>
      <w:r>
        <w:rPr/>
        <w:t xml:space="preserve">;</w:t>
      </w:r>
    </w:p>
    <w:p>
      <w:pPr>
        <w:numPr>
          <w:ilvl w:val="0"/>
          <w:numId w:val="2"/>
        </w:numPr>
        <w:spacing w:lineRule="auto"/>
      </w:pPr>
      <w:r>
        <w:rPr>
          <w:rFonts w:eastAsia="Georgia" w:cs="Georgia" w:ascii="Georgia" w:hAnsi="Georgia"/>
        </w:rPr>
        <w:t xml:space="preserve">incertitude-type pour une mesure de précision ou tolérance </w:t>
      </w:r>
      <m:oMath>
        <m:r>
          <m:rPr>
            <m:sty m:val="i"/>
          </m:rPr>
          <m:t>p</m:t>
        </m:r>
        <m:r>
          <m:rPr>
            <m:sty m:val="p"/>
          </m:rPr>
          <m:t>:</m:t>
        </m:r>
        <m:r>
          <m:rPr>
            <m:sty m:val="i"/>
          </m:rPr>
          <m:t>u</m:t>
        </m:r>
        <m:r>
          <m:rPr>
            <m:sty m:val="p"/>
          </m:rPr>
          <m:t>=</m:t>
        </m:r>
        <m:f>
          <m:fPr>
            <m:ctrlPr>
              <w:rPr>
                <w:rFonts w:ascii="Cambria Math" w:hAnsi="Cambria Math"/>
              </w:rPr>
            </m:ctrlPr>
          </m:fPr>
          <m:num>
            <m:r>
              <m:rPr>
                <m:sty m:val="i"/>
              </m:rPr>
              <m:t>p</m:t>
            </m:r>
          </m:num>
          <m:den>
            <m:rad>
              <m:radPr>
                <m:degHide m:val="1"/>
                <m:ctrlPr>
                  <w:rPr>
                    <w:rFonts w:ascii="Cambria Math" w:hAnsi="Cambria Math"/>
                  </w:rPr>
                </m:ctrlPr>
              </m:radPr>
              <m:deg/>
              <m:e>
                <m:r>
                  <m:rPr>
                    <m:sty m:val="p"/>
                  </m:rPr>
                  <m:t>3</m:t>
                </m:r>
              </m:e>
            </m:rad>
          </m:den>
        </m:f>
      </m:oMath>
      <w:r>
        <w:rPr/>
        <w:t xml:space="preserve">.</w:t>
      </w:r>
    </w:p>
    <w:p>
      <w:pPr>
        <w:spacing w:line="271" w:before="330" w:lineRule="auto"/>
      </w:pPr>
      <w:r>
        <w:rPr>
          <w:b/>
          <w:sz w:val="42"/>
        </w:rPr>
        <w:t xml:space="preserve">Relation de propagation des incertitudes</w:t>
      </w:r>
    </w:p>
    <w:p>
      <w:pPr>
        <w:numPr>
          <w:ilvl w:val="0"/>
          <w:numId w:val="3"/>
        </w:numPr>
        <w:spacing w:lineRule="auto"/>
      </w:pPr>
      <w:r>
        <w:rPr/>
        <w:t xml:space="preserve">Pour une grandeur </w:t>
      </w:r>
      <m:oMath>
        <m:r>
          <m:rPr>
            <m:sty m:val="i"/>
          </m:rPr>
          <m:t>G</m:t>
        </m:r>
      </m:oMath>
      <w:r>
        <w:rPr/>
        <w:t xml:space="preserve"> de la forme </w:t>
      </w:r>
      <m:oMath>
        <m:r>
          <m:rPr>
            <m:sty m:val="i"/>
          </m:rPr>
          <m:t>G</m:t>
        </m:r>
        <m:r>
          <m:rPr>
            <m:sty m:val="p"/>
          </m:rPr>
          <m:t>=</m:t>
        </m:r>
        <m:r>
          <m:rPr>
            <m:sty m:val="i"/>
          </m:rPr>
          <m:t>k</m:t>
        </m:r>
        <m:r>
          <m:rPr>
            <m:sty m:val="p"/>
          </m:rPr>
          <m:t>(</m:t>
        </m:r>
        <m:r>
          <m:rPr>
            <m:sty m:val="i"/>
          </m:rPr>
          <m:t>α</m:t>
        </m:r>
        <m:r>
          <m:rPr>
            <m:sty m:val="i"/>
          </m:rPr>
          <m:t>a</m:t>
        </m:r>
        <m:r>
          <m:rPr>
            <m:sty m:val="p"/>
          </m:rPr>
          <m:t>+</m:t>
        </m:r>
        <m:r>
          <m:rPr>
            <m:sty m:val="i"/>
          </m:rPr>
          <m:t>β</m:t>
        </m:r>
        <m:r>
          <m:rPr>
            <m:sty m:val="i"/>
          </m:rPr>
          <m:t>b</m:t>
        </m:r>
        <m:r>
          <m:rPr>
            <m:sty m:val="p"/>
          </m:rPr>
          <m:t>)</m:t>
        </m:r>
      </m:oMath>
      <w:r>
        <w:rPr/>
        <w:t xml:space="preserve"> ( </w:t>
      </w:r>
      <m:oMath>
        <m:r>
          <m:rPr>
            <m:sty m:val="i"/>
          </m:rPr>
          <m:t>k</m:t>
        </m:r>
        <m:r>
          <m:rPr>
            <m:sty m:val="p"/>
          </m:rPr>
          <m:t>,</m:t>
        </m:r>
        <m:r>
          <m:rPr>
            <m:sty m:val="i"/>
          </m:rPr>
          <m:t>α</m:t>
        </m:r>
      </m:oMath>
      <w:r>
        <w:rPr/>
        <w:t xml:space="preserve"> et </w:t>
      </w:r>
      <m:oMath>
        <m:r>
          <m:rPr>
            <m:sty m:val="i"/>
          </m:rPr>
          <m:t>β</m:t>
        </m:r>
      </m:oMath>
      <w:r>
        <w:rPr/>
        <w:t xml:space="preserve"> sont des constantes), l'incertitude-type </w:t>
      </w:r>
      <m:oMath>
        <m:r>
          <m:rPr>
            <m:sty m:val="i"/>
          </m:rPr>
          <m:t>u</m:t>
        </m:r>
        <m:r>
          <m:rPr>
            <m:sty m:val="p"/>
          </m:rPr>
          <m:t>(</m:t>
        </m:r>
        <m:r>
          <m:rPr>
            <m:sty m:val="i"/>
          </m:rPr>
          <m:t>G</m:t>
        </m:r>
        <m:r>
          <m:rPr>
            <m:sty m:val="p"/>
          </m:rPr>
          <m:t>)</m:t>
        </m:r>
      </m:oMath>
      <w:r>
        <w:rPr>
          <w:rFonts w:eastAsia="Georgia" w:cs="Georgia" w:ascii="Georgia" w:hAnsi="Georgia"/>
        </w:rPr>
        <w:t xml:space="preserve"> est calculée ainsi : </w:t>
      </w:r>
      <m:oMath>
        <m:r>
          <m:rPr>
            <m:sty m:val="i"/>
          </m:rPr>
          <m:t>u</m:t>
        </m:r>
        <m:r>
          <m:rPr>
            <m:sty m:val="p"/>
          </m:rPr>
          <m:t>(</m:t>
        </m:r>
        <m:r>
          <m:rPr>
            <m:sty m:val="i"/>
          </m:rPr>
          <m:t>G</m:t>
        </m:r>
        <m:r>
          <m:rPr>
            <m:sty m:val="p"/>
          </m:rPr>
          <m:t>)</m:t>
        </m:r>
        <m:r>
          <m:rPr>
            <m:sty m:val="p"/>
          </m:rPr>
          <m:t>=</m:t>
        </m:r>
        <m:rad>
          <m:radPr>
            <m:degHide m:val="1"/>
            <m:ctrlPr>
              <w:rPr>
                <w:rFonts w:ascii="Cambria Math" w:hAnsi="Cambria Math"/>
              </w:rPr>
            </m:ctrlPr>
          </m:radPr>
          <m:deg/>
          <m:e>
            <m:r>
              <m:rPr>
                <m:sty m:val="p"/>
              </m:rPr>
              <m:t>(</m:t>
            </m:r>
            <m:r>
              <m:rPr>
                <m:sty m:val="i"/>
              </m:rPr>
              <m:t>α</m:t>
            </m:r>
            <m:r>
              <m:rPr>
                <m:sty m:val="i"/>
              </m:rPr>
              <m:t>u</m:t>
            </m:r>
            <m:r>
              <m:rPr>
                <m:sty m:val="p"/>
              </m:rPr>
              <m:t>(</m:t>
            </m:r>
            <m:r>
              <m:rPr>
                <m:sty m:val="i"/>
              </m:rPr>
              <m:t>a</m:t>
            </m:r>
            <m:r>
              <m:rPr>
                <m:sty m:val="p"/>
              </m:rPr>
              <m:t>)</m:t>
            </m:r>
            <m:sSup>
              <m:sSupPr/>
              <m:e>
                <m:r>
                  <m:rPr>
                    <m:sty m:val="p"/>
                  </m:rPr>
                  <m:t>)</m:t>
                </m:r>
              </m:e>
              <m:sup>
                <m:r>
                  <m:rPr>
                    <m:sty m:val="p"/>
                  </m:rPr>
                  <m:t>2</m:t>
                </m:r>
              </m:sup>
            </m:sSup>
            <m:r>
              <m:rPr>
                <m:sty m:val="p"/>
              </m:rPr>
              <m:t>+</m:t>
            </m:r>
            <m:r>
              <m:rPr>
                <m:sty m:val="p"/>
              </m:rPr>
              <m:t>(</m:t>
            </m:r>
            <m:r>
              <m:rPr>
                <m:sty m:val="i"/>
              </m:rPr>
              <m:t>β</m:t>
            </m:r>
            <m:r>
              <m:rPr>
                <m:sty m:val="i"/>
              </m:rPr>
              <m:t>u</m:t>
            </m:r>
            <m:r>
              <m:rPr>
                <m:sty m:val="p"/>
              </m:rPr>
              <m:t>(</m:t>
            </m:r>
            <m:r>
              <m:rPr>
                <m:sty m:val="i"/>
              </m:rPr>
              <m:t>b</m:t>
            </m:r>
            <m:r>
              <m:rPr>
                <m:sty m:val="p"/>
              </m:rPr>
              <m:t>)</m:t>
            </m:r>
            <m:sSup>
              <m:sSupPr/>
              <m:e>
                <m:r>
                  <m:rPr>
                    <m:sty m:val="p"/>
                  </m:rPr>
                  <m:t>)</m:t>
                </m:r>
              </m:e>
              <m:sup>
                <m:r>
                  <m:rPr>
                    <m:sty m:val="p"/>
                  </m:rPr>
                  <m:t>2</m:t>
                </m:r>
              </m:sup>
            </m:sSup>
          </m:e>
        </m:rad>
      </m:oMath>
      <w:r>
        <w:rPr/>
        <w:t xml:space="preserve">.</w:t>
      </w:r>
    </w:p>
    <w:p>
      <w:pPr>
        <w:numPr>
          <w:ilvl w:val="0"/>
          <w:numId w:val="3"/>
        </w:numPr>
        <w:spacing w:lineRule="auto"/>
      </w:pPr>
      <w:r>
        <w:rPr/>
        <w:t xml:space="preserve">Pour une grandeur </w:t>
      </w:r>
      <m:oMath>
        <m:r>
          <m:rPr>
            <m:sty m:val="i"/>
          </m:rPr>
          <m:t>G</m:t>
        </m:r>
      </m:oMath>
      <w:r>
        <w:rPr/>
        <w:t xml:space="preserve"> de la forme </w:t>
      </w:r>
      <m:oMath>
        <m:r>
          <m:rPr>
            <m:sty m:val="i"/>
          </m:rPr>
          <m:t>G</m:t>
        </m:r>
        <m:r>
          <m:rPr>
            <m:sty m:val="p"/>
          </m:rPr>
          <m:t>=</m:t>
        </m:r>
        <m:r>
          <m:rPr>
            <m:sty m:val="i"/>
          </m:rPr>
          <m:t>k</m:t>
        </m:r>
        <m:sSup>
          <m:sSupPr/>
          <m:e>
            <m:r>
              <m:rPr>
                <m:sty m:val="i"/>
              </m:rPr>
              <m:t>a</m:t>
            </m:r>
          </m:e>
          <m:sup>
            <m:r>
              <m:rPr>
                <m:sty m:val="i"/>
              </m:rPr>
              <m:t>α</m:t>
            </m:r>
          </m:sup>
        </m:sSup>
        <m:sSup>
          <m:sSupPr/>
          <m:e>
            <m:r>
              <m:rPr>
                <m:sty m:val="i"/>
              </m:rPr>
              <m:t>b</m:t>
            </m:r>
          </m:e>
          <m:sup>
            <m:r>
              <m:rPr>
                <m:sty m:val="i"/>
              </m:rPr>
              <m:t>β</m:t>
            </m:r>
          </m:sup>
        </m:sSup>
      </m:oMath>
      <w:r>
        <w:rPr/>
        <w:t xml:space="preserve"> ( </w:t>
      </w:r>
      <m:oMath>
        <m:r>
          <m:rPr>
            <m:sty m:val="i"/>
          </m:rPr>
          <m:t>k</m:t>
        </m:r>
        <m:r>
          <m:rPr>
            <m:sty m:val="p"/>
          </m:rPr>
          <m:t>,</m:t>
        </m:r>
        <m:r>
          <m:rPr>
            <m:sty m:val="i"/>
          </m:rPr>
          <m:t>α</m:t>
        </m:r>
      </m:oMath>
      <w:r>
        <w:rPr/>
        <w:t xml:space="preserve"> et </w:t>
      </w:r>
      <m:oMath>
        <m:r>
          <m:rPr>
            <m:sty m:val="i"/>
          </m:rPr>
          <m:t>β</m:t>
        </m:r>
      </m:oMath>
      <w:r>
        <w:rPr/>
        <w:t xml:space="preserve"> sont des constantes), l'incertitude-type </w:t>
      </w:r>
      <m:oMath>
        <m:r>
          <m:rPr>
            <m:sty m:val="i"/>
          </m:rPr>
          <m:t>u</m:t>
        </m:r>
        <m:r>
          <m:rPr>
            <m:sty m:val="p"/>
          </m:rPr>
          <m:t>(</m:t>
        </m:r>
        <m:r>
          <m:rPr>
            <m:sty m:val="i"/>
          </m:rPr>
          <m:t>G</m:t>
        </m:r>
        <m:r>
          <m:rPr>
            <m:sty m:val="p"/>
          </m:rPr>
          <m:t>)</m:t>
        </m:r>
      </m:oMath>
      <w:r>
        <w:rPr>
          <w:rFonts w:eastAsia="Georgia" w:cs="Georgia" w:ascii="Georgia" w:hAnsi="Georgia"/>
        </w:rPr>
        <w:t xml:space="preserve"> est calculée ainsi : </w:t>
      </w:r>
      <m:oMath>
        <m:r>
          <m:rPr>
            <m:sty m:val="i"/>
          </m:rPr>
          <m:t>u</m:t>
        </m:r>
        <m:r>
          <m:rPr>
            <m:sty m:val="p"/>
          </m:rPr>
          <m:t>(</m:t>
        </m:r>
        <m:r>
          <m:rPr>
            <m:sty m:val="i"/>
          </m:rPr>
          <m:t>G</m:t>
        </m:r>
        <m:r>
          <m:rPr>
            <m:sty m:val="p"/>
          </m:rPr>
          <m:t>)</m:t>
        </m:r>
        <m:r>
          <m:rPr>
            <m:sty m:val="p"/>
          </m:rPr>
          <m:t>=</m:t>
        </m:r>
        <m:r>
          <m:rPr>
            <m:sty m:val="i"/>
          </m:rPr>
          <m:t>G</m:t>
        </m:r>
        <m:rad>
          <m:radPr>
            <m:degHide m:val="1"/>
            <m:ctrlPr>
              <w:rPr>
                <w:rFonts w:ascii="Cambria Math" w:hAnsi="Cambria Math"/>
              </w:rPr>
            </m:ctrlPr>
          </m:radPr>
          <m:deg/>
          <m:e>
            <m:d>
              <m:dPr>
                <m:begChr m:val="("/>
                <m:endChr m:val=""/>
                <m:ctrlPr>
                  <w:rPr>
                    <w:rFonts w:ascii="Cambria Math" w:hAnsi="Cambria Math"/>
                  </w:rPr>
                </m:ctrlPr>
              </m:dPr>
              <m:e>
                <m:sSup>
                  <m:sSupPr/>
                  <m:e>
                    <m:d>
                      <m:dPr>
                        <m:begChr m:val="("/>
                        <m:endChr m:val=")"/>
                        <m:ctrlPr>
                          <w:rPr>
                            <w:rFonts w:ascii="Cambria Math" w:hAnsi="Cambria Math"/>
                          </w:rPr>
                        </m:ctrlPr>
                      </m:dPr>
                      <m:e>
                        <m:r>
                          <m:rPr>
                            <m:sty m:val="i"/>
                          </m:rPr>
                          <m:t>α</m:t>
                        </m:r>
                        <m:f>
                          <m:fPr>
                            <m:ctrlPr>
                              <w:rPr>
                                <w:rFonts w:ascii="Cambria Math" w:hAnsi="Cambria Math"/>
                              </w:rPr>
                            </m:ctrlPr>
                          </m:fPr>
                          <m:num>
                            <m:r>
                              <m:rPr>
                                <m:sty m:val="i"/>
                              </m:rPr>
                              <m:t>u</m:t>
                            </m:r>
                            <m:r>
                              <m:rPr>
                                <m:sty m:val="p"/>
                              </m:rPr>
                              <m:t>(</m:t>
                            </m:r>
                            <m:r>
                              <m:rPr>
                                <m:sty m:val="i"/>
                              </m:rPr>
                              <m:t>a</m:t>
                            </m:r>
                            <m:r>
                              <m:rPr>
                                <m:sty m:val="p"/>
                              </m:rPr>
                              <m:t>)</m:t>
                            </m:r>
                          </m:num>
                          <m:den>
                            <m:r>
                              <m:rPr>
                                <m:sty m:val="i"/>
                              </m:rPr>
                              <m:t>a</m:t>
                            </m:r>
                          </m:den>
                        </m:f>
                      </m:e>
                    </m:d>
                  </m:e>
                  <m:sup>
                    <m:r>
                      <m:rPr>
                        <m:sty m:val="p"/>
                      </m:rPr>
                      <m:t>2</m:t>
                    </m:r>
                  </m:sup>
                </m:sSup>
                <m:r>
                  <m:rPr>
                    <m:sty m:val="p"/>
                  </m:rPr>
                  <m:t>+</m:t>
                </m:r>
                <m:sSup>
                  <m:sSupPr/>
                  <m:e>
                    <m:d>
                      <m:dPr>
                        <m:begChr m:val="("/>
                        <m:endChr m:val=")"/>
                        <m:ctrlPr>
                          <w:rPr>
                            <w:rFonts w:ascii="Cambria Math" w:hAnsi="Cambria Math"/>
                          </w:rPr>
                        </m:ctrlPr>
                      </m:dPr>
                      <m:e>
                        <m:r>
                          <m:rPr>
                            <m:sty m:val="i"/>
                          </m:rPr>
                          <m:t>β</m:t>
                        </m:r>
                        <m:f>
                          <m:fPr>
                            <m:ctrlPr>
                              <w:rPr>
                                <w:rFonts w:ascii="Cambria Math" w:hAnsi="Cambria Math"/>
                              </w:rPr>
                            </m:ctrlPr>
                          </m:fPr>
                          <m:num>
                            <m:r>
                              <m:rPr>
                                <m:sty m:val="i"/>
                              </m:rPr>
                              <m:t>u</m:t>
                            </m:r>
                            <m:r>
                              <m:rPr>
                                <m:sty m:val="p"/>
                              </m:rPr>
                              <m:t>(</m:t>
                            </m:r>
                            <m:r>
                              <m:rPr>
                                <m:sty m:val="i"/>
                              </m:rPr>
                              <m:t>b</m:t>
                            </m:r>
                            <m:r>
                              <m:rPr>
                                <m:sty m:val="p"/>
                              </m:rPr>
                              <m:t>)</m:t>
                            </m:r>
                          </m:num>
                          <m:den>
                            <m:r>
                              <m:rPr>
                                <m:sty m:val="i"/>
                              </m:rPr>
                              <m:t>b</m:t>
                            </m:r>
                          </m:den>
                        </m:f>
                      </m:e>
                    </m:d>
                  </m:e>
                  <m:sup>
                    <m:r>
                      <m:rPr>
                        <m:sty m:val="p"/>
                      </m:rPr>
                      <m:t>2</m:t>
                    </m:r>
                  </m:sup>
                </m:sSup>
              </m:e>
            </m:d>
          </m:e>
        </m:rad>
      </m:oMath>
      <w:r>
        <w:rPr/>
        <w:t xml:space="preserve">.</w:t>
      </w:r>
    </w:p>
    <w:p>
      <w:pPr>
        <w:spacing w:line="271" w:before="330" w:lineRule="auto"/>
      </w:pPr>
      <w:r>
        <w:rPr>
          <w:rFonts w:eastAsia="Georgia" w:cs="Georgia" w:ascii="Georgia" w:hAnsi="Georgia"/>
          <w:b/>
          <w:sz w:val="42"/>
        </w:rPr>
        <w:t xml:space="preserve">Relations de passage pour le champ électrique</w:t>
      </w:r>
    </w:p>
    <w:p>
      <w:pPr>
        <w:spacing w:after="220" w:lineRule="auto"/>
      </w:pPr>
      <w:r>
        <w:rPr/>
        <w:t xml:space="preserve">En un point </w:t>
      </w:r>
      <m:oMath>
        <m:r>
          <m:rPr>
            <m:sty m:val="i"/>
          </m:rPr>
          <m:t>M</m:t>
        </m:r>
      </m:oMath>
      <w:r>
        <w:rPr/>
        <w:t xml:space="preserve"> :</w:t>
      </w:r>
    </w:p>
    <w:p>
      <w:pPr>
        <w:spacing w:after="220" w:lineRule="auto"/>
      </w:pPr>
      <m:oMathPara>
        <m:oMath>
          <m:acc>
            <m:accPr>
              <m:chr m:val="⃗"/>
            </m:accPr>
            <m:e>
              <m:r>
                <m:rPr>
                  <m:sty m:val="i"/>
                </m:rPr>
                <m:t>E</m:t>
              </m:r>
            </m:e>
          </m:acc>
          <m:d>
            <m:dPr>
              <m:begChr m:val="("/>
              <m:endChr m:val=")"/>
              <m:ctrlPr>
                <w:rPr>
                  <w:rFonts w:ascii="Cambria Math" w:hAnsi="Cambria Math"/>
                </w:rPr>
              </m:ctrlPr>
            </m:dPr>
            <m:e>
              <m:sSup>
                <m:sSupPr/>
                <m:e>
                  <m:r>
                    <m:rPr>
                      <m:sty m:val="i"/>
                    </m:rPr>
                    <m:t>M</m:t>
                  </m:r>
                </m:e>
                <m:sup>
                  <m:r>
                    <m:rPr>
                      <m:sty m:val="p"/>
                    </m:rPr>
                    <m:t>+</m:t>
                  </m:r>
                </m:sup>
              </m:sSup>
              <m:r>
                <m:rPr>
                  <m:sty m:val="p"/>
                </m:rPr>
                <m:t>,</m:t>
              </m:r>
              <m:r>
                <m:rPr>
                  <m:sty m:val="i"/>
                </m:rPr>
                <m:t>t</m:t>
              </m:r>
            </m:e>
          </m:d>
          <m:r>
            <m:rPr>
              <m:sty m:val="p"/>
            </m:rPr>
            <m:t>−</m:t>
          </m:r>
          <m:acc>
            <m:accPr>
              <m:chr m:val="⃗"/>
            </m:accPr>
            <m:e>
              <m:r>
                <m:rPr>
                  <m:sty m:val="i"/>
                </m:rPr>
                <m:t>E</m:t>
              </m:r>
            </m:e>
          </m:acc>
          <m:d>
            <m:dPr>
              <m:begChr m:val="("/>
              <m:endChr m:val=")"/>
              <m:ctrlPr>
                <w:rPr>
                  <w:rFonts w:ascii="Cambria Math" w:hAnsi="Cambria Math"/>
                </w:rPr>
              </m:ctrlPr>
            </m:dPr>
            <m:e>
              <m:sSup>
                <m:sSupPr/>
                <m:e>
                  <m:r>
                    <m:rPr>
                      <m:sty m:val="i"/>
                    </m:rPr>
                    <m:t>M</m:t>
                  </m:r>
                </m:e>
                <m:sup>
                  <m:r>
                    <m:rPr>
                      <m:sty m:val="p"/>
                    </m:rPr>
                    <m:t>−</m:t>
                  </m:r>
                </m:sup>
              </m:sSup>
              <m:r>
                <m:rPr>
                  <m:sty m:val="p"/>
                </m:rPr>
                <m:t>,</m:t>
              </m:r>
              <m:r>
                <m:rPr>
                  <m:sty m:val="i"/>
                </m:rPr>
                <m:t>t</m:t>
              </m:r>
            </m:e>
          </m:d>
          <m:r>
            <m:rPr>
              <m:sty m:val="p"/>
            </m:rPr>
            <m:t>=</m:t>
          </m:r>
          <m:f>
            <m:fPr>
              <m:ctrlPr>
                <w:rPr>
                  <w:rFonts w:ascii="Cambria Math" w:hAnsi="Cambria Math"/>
                </w:rPr>
              </m:ctrlPr>
            </m:fPr>
            <m:num>
              <m:r>
                <m:rPr>
                  <m:sty m:val="i"/>
                </m:rPr>
                <m:t>σ</m:t>
              </m:r>
              <m:r>
                <m:rPr>
                  <m:sty m:val="p"/>
                </m:rPr>
                <m:t>(</m:t>
              </m:r>
              <m:r>
                <m:rPr>
                  <m:sty m:val="i"/>
                </m:rPr>
                <m:t>M</m:t>
              </m:r>
              <m:r>
                <m:rPr>
                  <m:sty m:val="p"/>
                </m:rPr>
                <m:t>,</m:t>
              </m:r>
              <m:r>
                <m:rPr>
                  <m:sty m:val="i"/>
                </m:rPr>
                <m:t>t</m:t>
              </m:r>
              <m:r>
                <m:rPr>
                  <m:sty m:val="p"/>
                </m:rPr>
                <m:t>)</m:t>
              </m:r>
            </m:num>
            <m:den>
              <m:sSub>
                <m:sSubPr/>
                <m:e>
                  <m:r>
                    <m:rPr>
                      <m:sty m:val="i"/>
                    </m:rPr>
                    <m:t>ε</m:t>
                  </m:r>
                </m:e>
                <m:sub>
                  <m:r>
                    <m:rPr>
                      <m:sty m:val="p"/>
                    </m:rPr>
                    <m:t>0</m:t>
                  </m:r>
                </m:sub>
              </m:sSub>
            </m:den>
          </m:f>
          <m:sSub>
            <m:sSubPr/>
            <m:e>
              <m:acc>
                <m:accPr>
                  <m:chr m:val="⃗"/>
                </m:accPr>
                <m:e>
                  <m:r>
                    <m:rPr>
                      <m:sty m:val="i"/>
                    </m:rPr>
                    <m:t>n</m:t>
                  </m:r>
                </m:e>
              </m:acc>
            </m:e>
            <m:sub>
              <m:sSup>
                <m:sSupPr/>
                <m:e>
                  <m:r>
                    <m:rPr>
                      <m:sty m:val="i"/>
                    </m:rPr>
                    <m:t>M</m:t>
                  </m:r>
                </m:e>
                <m:sup>
                  <m:r>
                    <m:rPr>
                      <m:sty m:val="p"/>
                    </m:rPr>
                    <m:t>−</m:t>
                  </m:r>
                </m:sup>
              </m:sSup>
              <m:r>
                <m:rPr>
                  <m:sty m:val="p"/>
                </m:rPr>
                <m:t>→</m:t>
              </m:r>
              <m:sSup>
                <m:sSupPr/>
                <m:e>
                  <m:r>
                    <m:rPr>
                      <m:sty m:val="i"/>
                    </m:rPr>
                    <m:t>M</m:t>
                  </m:r>
                </m:e>
                <m:sup>
                  <m:r>
                    <m:rPr>
                      <m:sty m:val="p"/>
                    </m:rPr>
                    <m:t>+</m:t>
                  </m:r>
                </m:sup>
              </m:sSup>
            </m:sub>
          </m:sSub>
        </m:oMath>
      </m:oMathPara>
    </w:p>
    <w:p>
      <w:pPr>
        <w:spacing w:after="220" w:lineRule="auto"/>
      </w:pPr>
      <w:r>
        <w:rPr/>
        <w:t xml:space="preserve">avec </w:t>
      </w:r>
      <m:oMath>
        <m:r>
          <m:rPr>
            <m:sty m:val="i"/>
          </m:rPr>
          <m:t>σ</m:t>
        </m:r>
        <m:r>
          <m:rPr>
            <m:sty m:val="p"/>
          </m:rPr>
          <m:t>(</m:t>
        </m:r>
        <m:r>
          <m:rPr>
            <m:sty m:val="i"/>
          </m:rPr>
          <m:t>M</m:t>
        </m:r>
        <m:r>
          <m:rPr>
            <m:sty m:val="p"/>
          </m:rPr>
          <m:t>,</m:t>
        </m:r>
        <m:r>
          <m:rPr>
            <m:sty m:val="i"/>
          </m:rPr>
          <m:t>t</m:t>
        </m:r>
        <m:r>
          <m:rPr>
            <m:sty m:val="p"/>
          </m:rPr>
          <m:t>)</m:t>
        </m:r>
      </m:oMath>
      <w:r>
        <w:rPr/>
        <w:t xml:space="preserve"> la charge surfacique en </w:t>
      </w:r>
      <m:oMath>
        <m:r>
          <m:rPr>
            <m:sty m:val="i"/>
          </m:rPr>
          <m:t>M</m:t>
        </m:r>
      </m:oMath>
      <w:r>
        <w:rPr>
          <w:rFonts w:eastAsia="Georgia" w:cs="Georgia" w:ascii="Georgia" w:hAnsi="Georgia"/>
        </w:rPr>
        <w:t xml:space="preserve"> à l'instant </w:t>
      </w:r>
      <m:oMath>
        <m:r>
          <m:rPr>
            <m:sty m:val="i"/>
          </m:rPr>
          <m:t>t</m:t>
        </m:r>
      </m:oMath>
      <w:r>
        <w:rPr/>
        <w:t xml:space="preserve"> et </w:t>
      </w:r>
      <m:oMath>
        <m:sSub>
          <m:sSubPr/>
          <m:e>
            <m:acc>
              <m:accPr>
                <m:chr m:val="⃗"/>
              </m:accPr>
              <m:e>
                <m:r>
                  <m:rPr>
                    <m:sty m:val="i"/>
                  </m:rPr>
                  <m:t>n</m:t>
                </m:r>
              </m:e>
            </m:acc>
          </m:e>
          <m:sub>
            <m:sSup>
              <m:sSupPr/>
              <m:e>
                <m:r>
                  <m:rPr>
                    <m:sty m:val="i"/>
                  </m:rPr>
                  <m:t>M</m:t>
                </m:r>
              </m:e>
              <m:sup>
                <m:r>
                  <m:rPr>
                    <m:sty m:val="p"/>
                  </m:rPr>
                  <m:t>−</m:t>
                </m:r>
              </m:sup>
            </m:sSup>
            <m:r>
              <m:rPr>
                <m:sty m:val="p"/>
              </m:rPr>
              <m:t>→</m:t>
            </m:r>
            <m:sSup>
              <m:sSupPr/>
              <m:e>
                <m:r>
                  <m:rPr>
                    <m:sty m:val="i"/>
                  </m:rPr>
                  <m:t>M</m:t>
                </m:r>
              </m:e>
              <m:sup>
                <m:r>
                  <m:rPr>
                    <m:sty m:val="p"/>
                  </m:rPr>
                  <m:t>+</m:t>
                </m:r>
              </m:sup>
            </m:sSup>
          </m:sub>
        </m:sSub>
      </m:oMath>
      <w:r>
        <w:rPr>
          <w:rFonts w:eastAsia="Georgia" w:cs="Georgia" w:ascii="Georgia" w:hAnsi="Georgia"/>
        </w:rPr>
        <w:t xml:space="preserve">un vecteur unitaire orienté de </w:t>
      </w:r>
      <m:oMath>
        <m:sSup>
          <m:sSupPr/>
          <m:e>
            <m:r>
              <m:rPr>
                <m:sty m:val="i"/>
              </m:rPr>
              <m:t>M</m:t>
            </m:r>
          </m:e>
          <m:sup>
            <m:r>
              <m:rPr>
                <m:sty m:val="p"/>
              </m:rPr>
              <m:t>−</m:t>
            </m:r>
          </m:sup>
        </m:sSup>
      </m:oMath>
      <w:r>
        <w:rPr/>
        <w:t xml:space="preserve">vers </w:t>
      </w:r>
      <m:oMath>
        <m:sSup>
          <m:sSupPr/>
          <m:e>
            <m:r>
              <m:rPr>
                <m:sty m:val="i"/>
              </m:rPr>
              <m:t>M</m:t>
            </m:r>
          </m:e>
          <m:sup>
            <m:r>
              <m:rPr>
                <m:sty m:val="p"/>
              </m:rPr>
              <m:t>+</m:t>
            </m:r>
          </m:sup>
        </m:sSup>
      </m:oMath>
      <w:r>
        <w:rPr/>
        <w:t xml:space="preserve">.</w:t>
      </w:r>
    </w:p>
    <w:p>
      <w:pPr>
        <w:spacing w:line="271" w:before="330" w:lineRule="auto"/>
      </w:pPr>
      <w:r>
        <w:rPr>
          <w:b/>
          <w:sz w:val="42"/>
        </w:rPr>
        <w:t xml:space="preserve">Analyse vectorielle</w:t>
      </w:r>
    </w:p>
    <w:p>
      <w:pPr>
        <w:spacing w:after="220" w:lineRule="auto"/>
      </w:pPr>
      <m:oMathPara>
        <m:oMath>
          <m:acc>
            <m:accPr>
              <m:chr m:val="⃗"/>
            </m:accPr>
            <m:e>
              <m:r>
                <m:rPr>
                  <m:sty m:val="p"/>
                </m:rPr>
                <m:t>rot</m:t>
              </m:r>
            </m:e>
          </m:acc>
          <m:r>
            <m:rPr>
              <m:sty m:val="p"/>
            </m:rPr>
            <m:t>(</m:t>
          </m:r>
          <m:acc>
            <m:accPr>
              <m:chr m:val="⃗"/>
            </m:accPr>
            <m:e>
              <m:r>
                <m:rPr>
                  <m:sty m:val="p"/>
                </m:rPr>
                <m:t>rot</m:t>
              </m:r>
            </m:e>
          </m:acc>
          <m:r>
            <m:rPr>
              <m:sty m:val="p"/>
            </m:rPr>
            <m:t>(</m:t>
          </m:r>
          <m:acc>
            <m:accPr>
              <m:chr m:val="⃗"/>
            </m:accPr>
            <m:e>
              <m:r>
                <m:rPr>
                  <m:sty m:val="i"/>
                </m:rPr>
                <m:t>A</m:t>
              </m:r>
            </m:e>
          </m:acc>
          <m:r>
            <m:rPr>
              <m:sty m:val="p"/>
            </m:rPr>
            <m:t>)</m:t>
          </m:r>
          <m:r>
            <m:rPr>
              <m:sty m:val="p"/>
            </m:rPr>
            <m:t>)</m:t>
          </m:r>
          <m:r>
            <m:rPr>
              <m:sty m:val="p"/>
            </m:rPr>
            <m:t>=</m:t>
          </m:r>
          <m:acc>
            <m:accPr>
              <m:chr m:val="⃗"/>
            </m:accPr>
            <m:e>
              <m:r>
                <m:rPr>
                  <m:sty m:val="p"/>
                </m:rPr>
                <m:t>grad</m:t>
              </m:r>
            </m:e>
          </m:acc>
          <m:r>
            <m:rPr>
              <m:sty m:val="p"/>
            </m:rPr>
            <m:t>(</m:t>
          </m:r>
          <m:r>
            <m:rPr>
              <m:sty m:val="p"/>
            </m:rPr>
            <m:t>div</m:t>
          </m:r>
          <m:r>
            <m:rPr>
              <m:sty m:val="p"/>
            </m:rPr>
            <m:t>(</m:t>
          </m:r>
          <m:acc>
            <m:accPr>
              <m:chr m:val="⃗"/>
            </m:accPr>
            <m:e>
              <m:r>
                <m:rPr>
                  <m:sty m:val="p"/>
                </m:rPr>
                <m:t>A</m:t>
              </m:r>
            </m:e>
          </m:acc>
          <m:r>
            <m:rPr>
              <m:sty m:val="p"/>
            </m:rPr>
            <m:t>)</m:t>
          </m:r>
          <m:r>
            <m:rPr>
              <m:sty m:val="p"/>
            </m:rPr>
            <m:t>)</m:t>
          </m:r>
          <m:r>
            <m:rPr>
              <m:sty m:val="p"/>
            </m:rPr>
            <m:t>−</m:t>
          </m:r>
          <m:r>
            <m:rPr>
              <m:sty m:val="p"/>
            </m:rPr>
            <m:t>Δ</m:t>
          </m:r>
          <m:acc>
            <m:accPr>
              <m:chr m:val="⃗"/>
            </m:accPr>
            <m:e>
              <m:r>
                <m:rPr>
                  <m:sty m:val="p"/>
                </m:rPr>
                <m:t>A</m:t>
              </m:r>
            </m:e>
          </m:acc>
          <m:r>
            <m:rPr>
              <m:sty m:val="p"/>
            </m:rPr>
            <m:t>.</m:t>
          </m:r>
        </m:oMath>
      </m:oMathPara>
    </w:p>
    <w:p>
      <w:pPr>
        <w:spacing w:after="220" w:lineRule="auto"/>
      </w:pPr>
      <w:r>
        <w:rPr>
          <w:rFonts w:eastAsia="Georgia" w:cs="Georgia" w:ascii="Georgia" w:hAnsi="Georgia"/>
        </w:rPr>
        <w:t xml:space="preserve">Correspondance note-fréquence fondamentale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Note \ octave</w:t>
            </w: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do</w:t>
            </w:r>
          </w:p>
        </w:tc>
        <w:tc>
          <w:tcPr>
            <w:tcBorders>
              <w:bottom w:val="single" w:sz="8" w:space="0" w:color="000000"/>
              <w:right w:val="single" w:sz="8" w:space="0" w:color="000000"/>
            </w:tcBorders>
            <w:vAlign w:val="center"/>
          </w:tcPr>
          <w:p>
            <w:pPr>
              <w:spacing w:lineRule="auto"/>
              <w:jc w:val="left"/>
            </w:pPr>
            <w:r>
              <w:rPr/>
              <w:t xml:space="preserve">65,41</w:t>
            </w:r>
          </w:p>
        </w:tc>
        <w:tc>
          <w:tcPr>
            <w:tcBorders>
              <w:bottom w:val="single" w:sz="8" w:space="0" w:color="000000"/>
              <w:right w:val="single" w:sz="8" w:space="0" w:color="000000"/>
            </w:tcBorders>
            <w:vAlign w:val="center"/>
          </w:tcPr>
          <w:p>
            <w:pPr>
              <w:spacing w:lineRule="auto"/>
              <w:jc w:val="left"/>
            </w:pPr>
            <w:r>
              <w:rPr/>
              <w:t xml:space="preserve">130,81</w:t>
            </w:r>
          </w:p>
        </w:tc>
        <w:tc>
          <w:tcPr>
            <w:tcBorders>
              <w:bottom w:val="single" w:sz="8" w:space="0" w:color="000000"/>
              <w:right w:val="single" w:sz="8" w:space="0" w:color="000000"/>
            </w:tcBorders>
            <w:vAlign w:val="center"/>
          </w:tcPr>
          <w:p>
            <w:pPr>
              <w:spacing w:lineRule="auto"/>
              <w:jc w:val="left"/>
            </w:pPr>
            <w:r>
              <w:rPr/>
              <w:t xml:space="preserve">261,63</w:t>
            </w:r>
          </w:p>
        </w:tc>
        <w:tc>
          <w:tcPr>
            <w:tcBorders>
              <w:bottom w:val="single" w:sz="8" w:space="0" w:color="000000"/>
              <w:right w:val="single" w:sz="8" w:space="0" w:color="000000"/>
            </w:tcBorders>
            <w:vAlign w:val="center"/>
          </w:tcPr>
          <w:p>
            <w:pPr>
              <w:spacing w:lineRule="auto"/>
              <w:jc w:val="left"/>
            </w:pPr>
            <w:r>
              <w:rPr/>
              <w:t xml:space="preserve">523,25</w:t>
            </w:r>
          </w:p>
        </w:tc>
        <w:tc>
          <w:tcPr>
            <w:tcBorders>
              <w:bottom w:val="single" w:sz="8" w:space="0" w:color="000000"/>
              <w:right w:val="single" w:sz="8" w:space="0" w:color="000000"/>
            </w:tcBorders>
            <w:vAlign w:val="center"/>
          </w:tcPr>
          <w:p>
            <w:pPr>
              <w:spacing w:lineRule="auto"/>
              <w:jc w:val="left"/>
            </w:pPr>
            <w:r>
              <w:rPr/>
              <w:t xml:space="preserve">1046,5</w:t>
            </w:r>
          </w:p>
        </w:tc>
        <w:tc>
          <w:tcPr>
            <w:tcBorders>
              <w:bottom w:val="single" w:sz="8" w:space="0" w:color="000000"/>
              <w:right w:val="single" w:sz="8" w:space="0" w:color="000000"/>
            </w:tcBorders>
            <w:vAlign w:val="center"/>
          </w:tcPr>
          <w:p>
            <w:pPr>
              <w:spacing w:lineRule="auto"/>
              <w:jc w:val="left"/>
            </w:pPr>
            <w:r>
              <w:rPr/>
              <w:t xml:space="preserve">2093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do#</w:t>
            </w:r>
          </w:p>
        </w:tc>
        <w:tc>
          <w:tcPr>
            <w:tcBorders>
              <w:bottom w:val="single" w:sz="8" w:space="0" w:color="000000"/>
              <w:right w:val="single" w:sz="8" w:space="0" w:color="000000"/>
            </w:tcBorders>
            <w:vAlign w:val="center"/>
          </w:tcPr>
          <w:p>
            <w:pPr>
              <w:spacing w:lineRule="auto"/>
              <w:jc w:val="left"/>
            </w:pPr>
            <w:r>
              <w:rPr/>
              <w:t xml:space="preserve">69,3</w:t>
            </w:r>
          </w:p>
        </w:tc>
        <w:tc>
          <w:tcPr>
            <w:tcBorders>
              <w:bottom w:val="single" w:sz="8" w:space="0" w:color="000000"/>
              <w:right w:val="single" w:sz="8" w:space="0" w:color="000000"/>
            </w:tcBorders>
            <w:vAlign w:val="center"/>
          </w:tcPr>
          <w:p>
            <w:pPr>
              <w:spacing w:lineRule="auto"/>
              <w:jc w:val="left"/>
            </w:pPr>
            <w:r>
              <w:rPr/>
              <w:t xml:space="preserve">138,59</w:t>
            </w:r>
          </w:p>
        </w:tc>
        <w:tc>
          <w:tcPr>
            <w:tcBorders>
              <w:bottom w:val="single" w:sz="8" w:space="0" w:color="000000"/>
              <w:right w:val="single" w:sz="8" w:space="0" w:color="000000"/>
            </w:tcBorders>
            <w:vAlign w:val="center"/>
          </w:tcPr>
          <w:p>
            <w:pPr>
              <w:spacing w:lineRule="auto"/>
              <w:jc w:val="left"/>
            </w:pPr>
            <w:r>
              <w:rPr/>
              <w:t xml:space="preserve">277,18</w:t>
            </w:r>
          </w:p>
        </w:tc>
        <w:tc>
          <w:tcPr>
            <w:tcBorders>
              <w:bottom w:val="single" w:sz="8" w:space="0" w:color="000000"/>
              <w:right w:val="single" w:sz="8" w:space="0" w:color="000000"/>
            </w:tcBorders>
            <w:vAlign w:val="center"/>
          </w:tcPr>
          <w:p>
            <w:pPr>
              <w:spacing w:lineRule="auto"/>
              <w:jc w:val="left"/>
            </w:pPr>
            <w:r>
              <w:rPr/>
              <w:t xml:space="preserve">554,37</w:t>
            </w:r>
          </w:p>
        </w:tc>
        <w:tc>
          <w:tcPr>
            <w:tcBorders>
              <w:bottom w:val="single" w:sz="8" w:space="0" w:color="000000"/>
              <w:right w:val="single" w:sz="8" w:space="0" w:color="000000"/>
            </w:tcBorders>
            <w:vAlign w:val="center"/>
          </w:tcPr>
          <w:p>
            <w:pPr>
              <w:spacing w:lineRule="auto"/>
              <w:jc w:val="left"/>
            </w:pPr>
            <w:r>
              <w:rPr/>
              <w:t xml:space="preserve">1108,73</w:t>
            </w:r>
          </w:p>
        </w:tc>
        <w:tc>
          <w:tcPr>
            <w:tcBorders>
              <w:bottom w:val="single" w:sz="8" w:space="0" w:color="000000"/>
              <w:right w:val="single" w:sz="8" w:space="0" w:color="000000"/>
            </w:tcBorders>
            <w:vAlign w:val="center"/>
          </w:tcPr>
          <w:p>
            <w:pPr>
              <w:spacing w:lineRule="auto"/>
              <w:jc w:val="left"/>
            </w:pPr>
            <w:r>
              <w:rPr/>
              <w:t xml:space="preserve">2217,46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w:t>
            </w:r>
          </w:p>
        </w:tc>
        <w:tc>
          <w:tcPr>
            <w:tcBorders>
              <w:bottom w:val="single" w:sz="8" w:space="0" w:color="000000"/>
              <w:right w:val="single" w:sz="8" w:space="0" w:color="000000"/>
            </w:tcBorders>
            <w:vAlign w:val="center"/>
          </w:tcPr>
          <w:p>
            <w:pPr>
              <w:spacing w:lineRule="auto"/>
              <w:jc w:val="left"/>
            </w:pPr>
            <w:r>
              <w:rPr/>
              <w:t xml:space="preserve">73,42</w:t>
            </w:r>
          </w:p>
        </w:tc>
        <w:tc>
          <w:tcPr>
            <w:tcBorders>
              <w:bottom w:val="single" w:sz="8" w:space="0" w:color="000000"/>
              <w:right w:val="single" w:sz="8" w:space="0" w:color="000000"/>
            </w:tcBorders>
            <w:vAlign w:val="center"/>
          </w:tcPr>
          <w:p>
            <w:pPr>
              <w:spacing w:lineRule="auto"/>
              <w:jc w:val="left"/>
            </w:pPr>
            <w:r>
              <w:rPr/>
              <w:t xml:space="preserve">146,83</w:t>
            </w:r>
          </w:p>
        </w:tc>
        <w:tc>
          <w:tcPr>
            <w:tcBorders>
              <w:bottom w:val="single" w:sz="8" w:space="0" w:color="000000"/>
              <w:right w:val="single" w:sz="8" w:space="0" w:color="000000"/>
            </w:tcBorders>
            <w:vAlign w:val="center"/>
          </w:tcPr>
          <w:p>
            <w:pPr>
              <w:spacing w:lineRule="auto"/>
              <w:jc w:val="left"/>
            </w:pPr>
            <w:r>
              <w:rPr/>
              <w:t xml:space="preserve">293,66</w:t>
            </w:r>
          </w:p>
        </w:tc>
        <w:tc>
          <w:tcPr>
            <w:tcBorders>
              <w:bottom w:val="single" w:sz="8" w:space="0" w:color="000000"/>
              <w:right w:val="single" w:sz="8" w:space="0" w:color="000000"/>
            </w:tcBorders>
            <w:vAlign w:val="center"/>
          </w:tcPr>
          <w:p>
            <w:pPr>
              <w:spacing w:lineRule="auto"/>
              <w:jc w:val="left"/>
            </w:pPr>
            <w:r>
              <w:rPr/>
              <w:t xml:space="preserve">587,33</w:t>
            </w:r>
          </w:p>
        </w:tc>
        <w:tc>
          <w:tcPr>
            <w:tcBorders>
              <w:bottom w:val="single" w:sz="8" w:space="0" w:color="000000"/>
              <w:right w:val="single" w:sz="8" w:space="0" w:color="000000"/>
            </w:tcBorders>
            <w:vAlign w:val="center"/>
          </w:tcPr>
          <w:p>
            <w:pPr>
              <w:spacing w:lineRule="auto"/>
              <w:jc w:val="left"/>
            </w:pPr>
            <w:r>
              <w:rPr/>
              <w:t xml:space="preserve">1174,66</w:t>
            </w:r>
          </w:p>
        </w:tc>
        <w:tc>
          <w:tcPr>
            <w:tcBorders>
              <w:bottom w:val="single" w:sz="8" w:space="0" w:color="000000"/>
              <w:right w:val="single" w:sz="8" w:space="0" w:color="000000"/>
            </w:tcBorders>
            <w:vAlign w:val="center"/>
          </w:tcPr>
          <w:p>
            <w:pPr>
              <w:spacing w:lineRule="auto"/>
              <w:jc w:val="left"/>
            </w:pPr>
            <w:r>
              <w:rPr/>
              <w:t xml:space="preserve">2349,32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ré#</w:t>
            </w:r>
          </w:p>
        </w:tc>
        <w:tc>
          <w:tcPr>
            <w:tcBorders>
              <w:bottom w:val="single" w:sz="8" w:space="0" w:color="000000"/>
              <w:right w:val="single" w:sz="8" w:space="0" w:color="000000"/>
            </w:tcBorders>
            <w:vAlign w:val="center"/>
          </w:tcPr>
          <w:p>
            <w:pPr>
              <w:spacing w:lineRule="auto"/>
              <w:jc w:val="left"/>
            </w:pPr>
            <w:r>
              <w:rPr/>
              <w:t xml:space="preserve">77,78</w:t>
            </w:r>
          </w:p>
        </w:tc>
        <w:tc>
          <w:tcPr>
            <w:tcBorders>
              <w:bottom w:val="single" w:sz="8" w:space="0" w:color="000000"/>
              <w:right w:val="single" w:sz="8" w:space="0" w:color="000000"/>
            </w:tcBorders>
            <w:vAlign w:val="center"/>
          </w:tcPr>
          <w:p>
            <w:pPr>
              <w:spacing w:lineRule="auto"/>
              <w:jc w:val="left"/>
            </w:pPr>
            <w:r>
              <w:rPr/>
              <w:t xml:space="preserve">155,56</w:t>
            </w:r>
          </w:p>
        </w:tc>
        <w:tc>
          <w:tcPr>
            <w:tcBorders>
              <w:bottom w:val="single" w:sz="8" w:space="0" w:color="000000"/>
              <w:right w:val="single" w:sz="8" w:space="0" w:color="000000"/>
            </w:tcBorders>
            <w:vAlign w:val="center"/>
          </w:tcPr>
          <w:p>
            <w:pPr>
              <w:spacing w:lineRule="auto"/>
              <w:jc w:val="left"/>
            </w:pPr>
            <w:r>
              <w:rPr/>
              <w:t xml:space="preserve">311,13</w:t>
            </w:r>
          </w:p>
        </w:tc>
        <w:tc>
          <w:tcPr>
            <w:tcBorders>
              <w:bottom w:val="single" w:sz="8" w:space="0" w:color="000000"/>
              <w:right w:val="single" w:sz="8" w:space="0" w:color="000000"/>
            </w:tcBorders>
            <w:vAlign w:val="center"/>
          </w:tcPr>
          <w:p>
            <w:pPr>
              <w:spacing w:lineRule="auto"/>
              <w:jc w:val="left"/>
            </w:pPr>
            <w:r>
              <w:rPr/>
              <w:t xml:space="preserve">622,25</w:t>
            </w:r>
          </w:p>
        </w:tc>
        <w:tc>
          <w:tcPr>
            <w:tcBorders>
              <w:bottom w:val="single" w:sz="8" w:space="0" w:color="000000"/>
              <w:right w:val="single" w:sz="8" w:space="0" w:color="000000"/>
            </w:tcBorders>
            <w:vAlign w:val="center"/>
          </w:tcPr>
          <w:p>
            <w:pPr>
              <w:spacing w:lineRule="auto"/>
              <w:jc w:val="left"/>
            </w:pPr>
            <w:r>
              <w:rPr/>
              <w:t xml:space="preserve">1244,51</w:t>
            </w:r>
          </w:p>
        </w:tc>
        <w:tc>
          <w:tcPr>
            <w:tcBorders>
              <w:bottom w:val="single" w:sz="8" w:space="0" w:color="000000"/>
              <w:right w:val="single" w:sz="8" w:space="0" w:color="000000"/>
            </w:tcBorders>
            <w:vAlign w:val="center"/>
          </w:tcPr>
          <w:p>
            <w:pPr>
              <w:spacing w:lineRule="auto"/>
              <w:jc w:val="left"/>
            </w:pPr>
            <w:r>
              <w:rPr/>
              <w:t xml:space="preserve">2489,02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mi</w:t>
            </w:r>
          </w:p>
        </w:tc>
        <w:tc>
          <w:tcPr>
            <w:tcBorders>
              <w:bottom w:val="single" w:sz="8" w:space="0" w:color="000000"/>
              <w:right w:val="single" w:sz="8" w:space="0" w:color="000000"/>
            </w:tcBorders>
            <w:vAlign w:val="center"/>
          </w:tcPr>
          <w:p>
            <w:pPr>
              <w:spacing w:lineRule="auto"/>
              <w:jc w:val="left"/>
            </w:pPr>
            <w:r>
              <w:rPr/>
              <w:t xml:space="preserve">82,41</w:t>
            </w:r>
          </w:p>
        </w:tc>
        <w:tc>
          <w:tcPr>
            <w:tcBorders>
              <w:bottom w:val="single" w:sz="8" w:space="0" w:color="000000"/>
              <w:right w:val="single" w:sz="8" w:space="0" w:color="000000"/>
            </w:tcBorders>
            <w:vAlign w:val="center"/>
          </w:tcPr>
          <w:p>
            <w:pPr>
              <w:spacing w:lineRule="auto"/>
              <w:jc w:val="left"/>
            </w:pPr>
            <w:r>
              <w:rPr/>
              <w:t xml:space="preserve">164,81</w:t>
            </w:r>
          </w:p>
        </w:tc>
        <w:tc>
          <w:tcPr>
            <w:tcBorders>
              <w:bottom w:val="single" w:sz="8" w:space="0" w:color="000000"/>
              <w:right w:val="single" w:sz="8" w:space="0" w:color="000000"/>
            </w:tcBorders>
            <w:vAlign w:val="center"/>
          </w:tcPr>
          <w:p>
            <w:pPr>
              <w:spacing w:lineRule="auto"/>
              <w:jc w:val="left"/>
            </w:pPr>
            <w:r>
              <w:rPr/>
              <w:t xml:space="preserve">329,63</w:t>
            </w:r>
          </w:p>
        </w:tc>
        <w:tc>
          <w:tcPr>
            <w:tcBorders>
              <w:bottom w:val="single" w:sz="8" w:space="0" w:color="000000"/>
              <w:right w:val="single" w:sz="8" w:space="0" w:color="000000"/>
            </w:tcBorders>
            <w:vAlign w:val="center"/>
          </w:tcPr>
          <w:p>
            <w:pPr>
              <w:spacing w:lineRule="auto"/>
              <w:jc w:val="left"/>
            </w:pPr>
            <w:r>
              <w:rPr/>
              <w:t xml:space="preserve">659,26</w:t>
            </w:r>
          </w:p>
        </w:tc>
        <w:tc>
          <w:tcPr>
            <w:tcBorders>
              <w:bottom w:val="single" w:sz="8" w:space="0" w:color="000000"/>
              <w:right w:val="single" w:sz="8" w:space="0" w:color="000000"/>
            </w:tcBorders>
            <w:vAlign w:val="center"/>
          </w:tcPr>
          <w:p>
            <w:pPr>
              <w:spacing w:lineRule="auto"/>
              <w:jc w:val="left"/>
            </w:pPr>
            <w:r>
              <w:rPr/>
              <w:t xml:space="preserve">1318,51</w:t>
            </w:r>
          </w:p>
        </w:tc>
        <w:tc>
          <w:tcPr>
            <w:tcBorders>
              <w:bottom w:val="single" w:sz="8" w:space="0" w:color="000000"/>
              <w:right w:val="single" w:sz="8" w:space="0" w:color="000000"/>
            </w:tcBorders>
            <w:vAlign w:val="center"/>
          </w:tcPr>
          <w:p>
            <w:pPr>
              <w:spacing w:lineRule="auto"/>
              <w:jc w:val="left"/>
            </w:pPr>
            <w:r>
              <w:rPr/>
              <w:t xml:space="preserve">2637,02</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fa</w:t>
            </w:r>
          </w:p>
        </w:tc>
        <w:tc>
          <w:tcPr>
            <w:tcBorders>
              <w:bottom w:val="single" w:sz="8" w:space="0" w:color="000000"/>
              <w:right w:val="single" w:sz="8" w:space="0" w:color="000000"/>
            </w:tcBorders>
            <w:vAlign w:val="center"/>
          </w:tcPr>
          <w:p>
            <w:pPr>
              <w:spacing w:lineRule="auto"/>
              <w:jc w:val="left"/>
            </w:pPr>
            <w:r>
              <w:rPr/>
              <w:t xml:space="preserve">87,31</w:t>
            </w:r>
          </w:p>
        </w:tc>
        <w:tc>
          <w:tcPr>
            <w:tcBorders>
              <w:bottom w:val="single" w:sz="8" w:space="0" w:color="000000"/>
              <w:right w:val="single" w:sz="8" w:space="0" w:color="000000"/>
            </w:tcBorders>
            <w:vAlign w:val="center"/>
          </w:tcPr>
          <w:p>
            <w:pPr>
              <w:spacing w:lineRule="auto"/>
              <w:jc w:val="left"/>
            </w:pPr>
            <w:r>
              <w:rPr/>
              <w:t xml:space="preserve">174,61</w:t>
            </w:r>
          </w:p>
        </w:tc>
        <w:tc>
          <w:tcPr>
            <w:tcBorders>
              <w:bottom w:val="single" w:sz="8" w:space="0" w:color="000000"/>
              <w:right w:val="single" w:sz="8" w:space="0" w:color="000000"/>
            </w:tcBorders>
            <w:vAlign w:val="center"/>
          </w:tcPr>
          <w:p>
            <w:pPr>
              <w:spacing w:lineRule="auto"/>
              <w:jc w:val="left"/>
            </w:pPr>
            <w:r>
              <w:rPr/>
              <w:t xml:space="preserve">349,23</w:t>
            </w:r>
          </w:p>
        </w:tc>
        <w:tc>
          <w:tcPr>
            <w:tcBorders>
              <w:bottom w:val="single" w:sz="8" w:space="0" w:color="000000"/>
              <w:right w:val="single" w:sz="8" w:space="0" w:color="000000"/>
            </w:tcBorders>
            <w:vAlign w:val="center"/>
          </w:tcPr>
          <w:p>
            <w:pPr>
              <w:spacing w:lineRule="auto"/>
              <w:jc w:val="left"/>
            </w:pPr>
            <w:r>
              <w:rPr/>
              <w:t xml:space="preserve">698,46</w:t>
            </w:r>
          </w:p>
        </w:tc>
        <w:tc>
          <w:tcPr>
            <w:tcBorders>
              <w:bottom w:val="single" w:sz="8" w:space="0" w:color="000000"/>
              <w:right w:val="single" w:sz="8" w:space="0" w:color="000000"/>
            </w:tcBorders>
            <w:vAlign w:val="center"/>
          </w:tcPr>
          <w:p>
            <w:pPr>
              <w:spacing w:lineRule="auto"/>
              <w:jc w:val="left"/>
            </w:pPr>
            <w:r>
              <w:rPr/>
              <w:t xml:space="preserve">1396,91</w:t>
            </w:r>
          </w:p>
        </w:tc>
        <w:tc>
          <w:tcPr>
            <w:tcBorders>
              <w:bottom w:val="single" w:sz="8" w:space="0" w:color="000000"/>
              <w:right w:val="single" w:sz="8" w:space="0" w:color="000000"/>
            </w:tcBorders>
            <w:vAlign w:val="center"/>
          </w:tcPr>
          <w:p>
            <w:pPr>
              <w:spacing w:lineRule="auto"/>
              <w:jc w:val="left"/>
            </w:pPr>
            <w:r>
              <w:rPr/>
              <w:t xml:space="preserve">2793,83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fa#</w:t>
            </w:r>
          </w:p>
        </w:tc>
        <w:tc>
          <w:tcPr>
            <w:tcBorders>
              <w:bottom w:val="single" w:sz="8" w:space="0" w:color="000000"/>
              <w:right w:val="single" w:sz="8" w:space="0" w:color="000000"/>
            </w:tcBorders>
            <w:vAlign w:val="center"/>
          </w:tcPr>
          <w:p>
            <w:pPr>
              <w:spacing w:lineRule="auto"/>
              <w:jc w:val="left"/>
            </w:pPr>
            <w:r>
              <w:rPr/>
              <w:t xml:space="preserve">92,5</w:t>
            </w:r>
          </w:p>
        </w:tc>
        <w:tc>
          <w:tcPr>
            <w:tcBorders>
              <w:bottom w:val="single" w:sz="8" w:space="0" w:color="000000"/>
              <w:right w:val="single" w:sz="8" w:space="0" w:color="000000"/>
            </w:tcBorders>
            <w:vAlign w:val="center"/>
          </w:tcPr>
          <w:p>
            <w:pPr>
              <w:spacing w:lineRule="auto"/>
              <w:jc w:val="left"/>
            </w:pPr>
            <w:r>
              <w:rPr/>
              <w:t xml:space="preserve">185</w:t>
            </w:r>
          </w:p>
        </w:tc>
        <w:tc>
          <w:tcPr>
            <w:tcBorders>
              <w:bottom w:val="single" w:sz="8" w:space="0" w:color="000000"/>
              <w:right w:val="single" w:sz="8" w:space="0" w:color="000000"/>
            </w:tcBorders>
            <w:vAlign w:val="center"/>
          </w:tcPr>
          <w:p>
            <w:pPr>
              <w:spacing w:lineRule="auto"/>
              <w:jc w:val="left"/>
            </w:pPr>
            <w:r>
              <w:rPr/>
              <w:t xml:space="preserve">369,99</w:t>
            </w:r>
          </w:p>
        </w:tc>
        <w:tc>
          <w:tcPr>
            <w:tcBorders>
              <w:bottom w:val="single" w:sz="8" w:space="0" w:color="000000"/>
              <w:right w:val="single" w:sz="8" w:space="0" w:color="000000"/>
            </w:tcBorders>
            <w:vAlign w:val="center"/>
          </w:tcPr>
          <w:p>
            <w:pPr>
              <w:spacing w:lineRule="auto"/>
              <w:jc w:val="left"/>
            </w:pPr>
            <w:r>
              <w:rPr/>
              <w:t xml:space="preserve">739,99</w:t>
            </w:r>
          </w:p>
        </w:tc>
        <w:tc>
          <w:tcPr>
            <w:tcBorders>
              <w:bottom w:val="single" w:sz="8" w:space="0" w:color="000000"/>
              <w:right w:val="single" w:sz="8" w:space="0" w:color="000000"/>
            </w:tcBorders>
            <w:vAlign w:val="center"/>
          </w:tcPr>
          <w:p>
            <w:pPr>
              <w:spacing w:lineRule="auto"/>
              <w:jc w:val="left"/>
            </w:pPr>
            <w:r>
              <w:rPr/>
              <w:t xml:space="preserve">1479,98</w:t>
            </w:r>
          </w:p>
        </w:tc>
        <w:tc>
          <w:tcPr>
            <w:tcBorders>
              <w:bottom w:val="single" w:sz="8" w:space="0" w:color="000000"/>
              <w:right w:val="single" w:sz="8" w:space="0" w:color="000000"/>
            </w:tcBorders>
            <w:vAlign w:val="center"/>
          </w:tcPr>
          <w:p>
            <w:pPr>
              <w:spacing w:lineRule="auto"/>
              <w:jc w:val="left"/>
            </w:pPr>
            <w:r>
              <w:rPr/>
              <w:t xml:space="preserve">2959,96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sol</w:t>
            </w:r>
          </w:p>
        </w:tc>
        <w:tc>
          <w:tcPr>
            <w:tcBorders>
              <w:bottom w:val="single" w:sz="8" w:space="0" w:color="000000"/>
              <w:right w:val="single" w:sz="8" w:space="0" w:color="000000"/>
            </w:tcBorders>
            <w:vAlign w:val="center"/>
          </w:tcPr>
          <w:p>
            <w:pPr>
              <w:spacing w:lineRule="auto"/>
              <w:jc w:val="left"/>
            </w:pPr>
            <w:r>
              <w:rPr/>
              <w:t xml:space="preserve">98</w:t>
            </w:r>
          </w:p>
        </w:tc>
        <w:tc>
          <w:tcPr>
            <w:tcBorders>
              <w:bottom w:val="single" w:sz="8" w:space="0" w:color="000000"/>
              <w:right w:val="single" w:sz="8" w:space="0" w:color="000000"/>
            </w:tcBorders>
            <w:vAlign w:val="center"/>
          </w:tcPr>
          <w:p>
            <w:pPr>
              <w:spacing w:lineRule="auto"/>
              <w:jc w:val="left"/>
            </w:pPr>
            <w:r>
              <w:rPr/>
              <w:t xml:space="preserve">196</w:t>
            </w:r>
          </w:p>
        </w:tc>
        <w:tc>
          <w:tcPr>
            <w:tcBorders>
              <w:bottom w:val="single" w:sz="8" w:space="0" w:color="000000"/>
              <w:right w:val="single" w:sz="8" w:space="0" w:color="000000"/>
            </w:tcBorders>
            <w:vAlign w:val="center"/>
          </w:tcPr>
          <w:p>
            <w:pPr>
              <w:spacing w:lineRule="auto"/>
              <w:jc w:val="left"/>
            </w:pPr>
            <w:r>
              <w:rPr/>
              <w:t xml:space="preserve">392</w:t>
            </w:r>
          </w:p>
        </w:tc>
        <w:tc>
          <w:tcPr>
            <w:tcBorders>
              <w:bottom w:val="single" w:sz="8" w:space="0" w:color="000000"/>
              <w:right w:val="single" w:sz="8" w:space="0" w:color="000000"/>
            </w:tcBorders>
            <w:vAlign w:val="center"/>
          </w:tcPr>
          <w:p>
            <w:pPr>
              <w:spacing w:lineRule="auto"/>
              <w:jc w:val="left"/>
            </w:pPr>
            <w:r>
              <w:rPr/>
              <w:t xml:space="preserve">783,99</w:t>
            </w:r>
          </w:p>
        </w:tc>
        <w:tc>
          <w:tcPr>
            <w:tcBorders>
              <w:bottom w:val="single" w:sz="8" w:space="0" w:color="000000"/>
              <w:right w:val="single" w:sz="8" w:space="0" w:color="000000"/>
            </w:tcBorders>
            <w:vAlign w:val="center"/>
          </w:tcPr>
          <w:p>
            <w:pPr>
              <w:spacing w:lineRule="auto"/>
              <w:jc w:val="left"/>
            </w:pPr>
            <w:r>
              <w:rPr/>
              <w:t xml:space="preserve">1567,98</w:t>
            </w:r>
          </w:p>
        </w:tc>
        <w:tc>
          <w:tcPr>
            <w:tcBorders>
              <w:bottom w:val="single" w:sz="8" w:space="0" w:color="000000"/>
              <w:right w:val="single" w:sz="8" w:space="0" w:color="000000"/>
            </w:tcBorders>
            <w:vAlign w:val="center"/>
          </w:tcPr>
          <w:p>
            <w:pPr>
              <w:spacing w:lineRule="auto"/>
              <w:jc w:val="left"/>
            </w:pPr>
            <w:r>
              <w:rPr/>
              <w:t xml:space="preserve">3135,96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sol#</w:t>
            </w:r>
          </w:p>
        </w:tc>
        <w:tc>
          <w:tcPr>
            <w:tcBorders>
              <w:bottom w:val="single" w:sz="8" w:space="0" w:color="000000"/>
              <w:right w:val="single" w:sz="8" w:space="0" w:color="000000"/>
            </w:tcBorders>
            <w:vAlign w:val="center"/>
          </w:tcPr>
          <w:p>
            <w:pPr>
              <w:spacing w:lineRule="auto"/>
              <w:jc w:val="left"/>
            </w:pPr>
            <w:r>
              <w:rPr/>
              <w:t xml:space="preserve">103,83</w:t>
            </w:r>
          </w:p>
        </w:tc>
        <w:tc>
          <w:tcPr>
            <w:tcBorders>
              <w:bottom w:val="single" w:sz="8" w:space="0" w:color="000000"/>
              <w:right w:val="single" w:sz="8" w:space="0" w:color="000000"/>
            </w:tcBorders>
            <w:vAlign w:val="center"/>
          </w:tcPr>
          <w:p>
            <w:pPr>
              <w:spacing w:lineRule="auto"/>
              <w:jc w:val="left"/>
            </w:pPr>
            <w:r>
              <w:rPr/>
              <w:t xml:space="preserve">207,65</w:t>
            </w:r>
          </w:p>
        </w:tc>
        <w:tc>
          <w:tcPr>
            <w:tcBorders>
              <w:bottom w:val="single" w:sz="8" w:space="0" w:color="000000"/>
              <w:right w:val="single" w:sz="8" w:space="0" w:color="000000"/>
            </w:tcBorders>
            <w:vAlign w:val="center"/>
          </w:tcPr>
          <w:p>
            <w:pPr>
              <w:spacing w:lineRule="auto"/>
              <w:jc w:val="left"/>
            </w:pPr>
            <w:r>
              <w:rPr/>
              <w:t xml:space="preserve">415,3</w:t>
            </w:r>
          </w:p>
        </w:tc>
        <w:tc>
          <w:tcPr>
            <w:tcBorders>
              <w:bottom w:val="single" w:sz="8" w:space="0" w:color="000000"/>
              <w:right w:val="single" w:sz="8" w:space="0" w:color="000000"/>
            </w:tcBorders>
            <w:vAlign w:val="center"/>
          </w:tcPr>
          <w:p>
            <w:pPr>
              <w:spacing w:lineRule="auto"/>
              <w:jc w:val="left"/>
            </w:pPr>
            <w:r>
              <w:rPr/>
              <w:t xml:space="preserve">830,61</w:t>
            </w:r>
          </w:p>
        </w:tc>
        <w:tc>
          <w:tcPr>
            <w:tcBorders>
              <w:bottom w:val="single" w:sz="8" w:space="0" w:color="000000"/>
              <w:right w:val="single" w:sz="8" w:space="0" w:color="000000"/>
            </w:tcBorders>
            <w:vAlign w:val="center"/>
          </w:tcPr>
          <w:p>
            <w:pPr>
              <w:spacing w:lineRule="auto"/>
              <w:jc w:val="left"/>
            </w:pPr>
            <w:r>
              <w:rPr/>
              <w:t xml:space="preserve">1661,22</w:t>
            </w:r>
          </w:p>
        </w:tc>
        <w:tc>
          <w:tcPr>
            <w:tcBorders>
              <w:bottom w:val="single" w:sz="8" w:space="0" w:color="000000"/>
              <w:right w:val="single" w:sz="8" w:space="0" w:color="000000"/>
            </w:tcBorders>
            <w:vAlign w:val="center"/>
          </w:tcPr>
          <w:p>
            <w:pPr>
              <w:spacing w:lineRule="auto"/>
              <w:jc w:val="left"/>
            </w:pPr>
            <w:r>
              <w:rPr/>
              <w:t xml:space="preserve">3322,44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la</w:t>
            </w:r>
          </w:p>
        </w:tc>
        <w:tc>
          <w:tcPr>
            <w:tcBorders>
              <w:bottom w:val="single" w:sz="8" w:space="0" w:color="000000"/>
              <w:right w:val="single" w:sz="8" w:space="0" w:color="000000"/>
            </w:tcBorders>
            <w:vAlign w:val="center"/>
          </w:tcPr>
          <w:p>
            <w:pPr>
              <w:spacing w:lineRule="auto"/>
              <w:jc w:val="left"/>
            </w:pPr>
            <w:r>
              <w:rPr/>
              <w:t xml:space="preserve">110</w:t>
            </w:r>
          </w:p>
        </w:tc>
        <w:tc>
          <w:tcPr>
            <w:tcBorders>
              <w:bottom w:val="single" w:sz="8" w:space="0" w:color="000000"/>
              <w:right w:val="single" w:sz="8" w:space="0" w:color="000000"/>
            </w:tcBorders>
            <w:vAlign w:val="center"/>
          </w:tcPr>
          <w:p>
            <w:pPr>
              <w:spacing w:lineRule="auto"/>
              <w:jc w:val="left"/>
            </w:pPr>
            <w:r>
              <w:rPr/>
              <w:t xml:space="preserve">220</w:t>
            </w:r>
          </w:p>
        </w:tc>
        <w:tc>
          <w:tcPr>
            <w:tcBorders>
              <w:bottom w:val="single" w:sz="8" w:space="0" w:color="000000"/>
              <w:right w:val="single" w:sz="8" w:space="0" w:color="000000"/>
            </w:tcBorders>
            <w:vAlign w:val="center"/>
          </w:tcPr>
          <w:p>
            <w:pPr>
              <w:spacing w:lineRule="auto"/>
              <w:jc w:val="left"/>
            </w:pPr>
            <w:r>
              <w:rPr/>
              <w:t xml:space="preserve">440</w:t>
            </w:r>
          </w:p>
        </w:tc>
        <w:tc>
          <w:tcPr>
            <w:tcBorders>
              <w:bottom w:val="single" w:sz="8" w:space="0" w:color="000000"/>
              <w:right w:val="single" w:sz="8" w:space="0" w:color="000000"/>
            </w:tcBorders>
            <w:vAlign w:val="center"/>
          </w:tcPr>
          <w:p>
            <w:pPr>
              <w:spacing w:lineRule="auto"/>
              <w:jc w:val="left"/>
            </w:pPr>
            <w:r>
              <w:rPr/>
              <w:t xml:space="preserve">880</w:t>
            </w:r>
          </w:p>
        </w:tc>
        <w:tc>
          <w:tcPr>
            <w:tcBorders>
              <w:bottom w:val="single" w:sz="8" w:space="0" w:color="000000"/>
              <w:right w:val="single" w:sz="8" w:space="0" w:color="000000"/>
            </w:tcBorders>
            <w:vAlign w:val="center"/>
          </w:tcPr>
          <w:p>
            <w:pPr>
              <w:spacing w:lineRule="auto"/>
              <w:jc w:val="left"/>
            </w:pPr>
            <w:r>
              <w:rPr/>
              <w:t xml:space="preserve">1760</w:t>
            </w:r>
          </w:p>
        </w:tc>
        <w:tc>
          <w:tcPr>
            <w:tcBorders>
              <w:bottom w:val="single" w:sz="8" w:space="0" w:color="000000"/>
              <w:right w:val="single" w:sz="8" w:space="0" w:color="000000"/>
            </w:tcBorders>
            <w:vAlign w:val="center"/>
          </w:tcPr>
          <w:p>
            <w:pPr>
              <w:spacing w:lineRule="auto"/>
              <w:jc w:val="left"/>
            </w:pPr>
            <w:r>
              <w:rPr/>
              <w:t xml:space="preserve">3520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la#</w:t>
            </w:r>
          </w:p>
        </w:tc>
        <w:tc>
          <w:tcPr>
            <w:tcBorders>
              <w:bottom w:val="single" w:sz="8" w:space="0" w:color="000000"/>
              <w:right w:val="single" w:sz="8" w:space="0" w:color="000000"/>
            </w:tcBorders>
            <w:vAlign w:val="center"/>
          </w:tcPr>
          <w:p>
            <w:pPr>
              <w:spacing w:lineRule="auto"/>
              <w:jc w:val="left"/>
            </w:pPr>
            <w:r>
              <w:rPr/>
              <w:t xml:space="preserve">116,54</w:t>
            </w:r>
          </w:p>
        </w:tc>
        <w:tc>
          <w:tcPr>
            <w:tcBorders>
              <w:bottom w:val="single" w:sz="8" w:space="0" w:color="000000"/>
              <w:right w:val="single" w:sz="8" w:space="0" w:color="000000"/>
            </w:tcBorders>
            <w:vAlign w:val="center"/>
          </w:tcPr>
          <w:p>
            <w:pPr>
              <w:spacing w:lineRule="auto"/>
              <w:jc w:val="left"/>
            </w:pPr>
            <w:r>
              <w:rPr/>
              <w:t xml:space="preserve">233,08</w:t>
            </w:r>
          </w:p>
        </w:tc>
        <w:tc>
          <w:tcPr>
            <w:tcBorders>
              <w:bottom w:val="single" w:sz="8" w:space="0" w:color="000000"/>
              <w:right w:val="single" w:sz="8" w:space="0" w:color="000000"/>
            </w:tcBorders>
            <w:vAlign w:val="center"/>
          </w:tcPr>
          <w:p>
            <w:pPr>
              <w:spacing w:lineRule="auto"/>
              <w:jc w:val="left"/>
            </w:pPr>
            <w:r>
              <w:rPr/>
              <w:t xml:space="preserve">466,16</w:t>
            </w:r>
          </w:p>
        </w:tc>
        <w:tc>
          <w:tcPr>
            <w:tcBorders>
              <w:bottom w:val="single" w:sz="8" w:space="0" w:color="000000"/>
              <w:right w:val="single" w:sz="8" w:space="0" w:color="000000"/>
            </w:tcBorders>
            <w:vAlign w:val="center"/>
          </w:tcPr>
          <w:p>
            <w:pPr>
              <w:spacing w:lineRule="auto"/>
              <w:jc w:val="left"/>
            </w:pPr>
            <w:r>
              <w:rPr/>
              <w:t xml:space="preserve">932,33</w:t>
            </w:r>
          </w:p>
        </w:tc>
        <w:tc>
          <w:tcPr>
            <w:tcBorders>
              <w:bottom w:val="single" w:sz="8" w:space="0" w:color="000000"/>
              <w:right w:val="single" w:sz="8" w:space="0" w:color="000000"/>
            </w:tcBorders>
            <w:vAlign w:val="center"/>
          </w:tcPr>
          <w:p>
            <w:pPr>
              <w:spacing w:lineRule="auto"/>
              <w:jc w:val="left"/>
            </w:pPr>
            <w:r>
              <w:rPr/>
              <w:t xml:space="preserve">1864,66</w:t>
            </w:r>
          </w:p>
        </w:tc>
        <w:tc>
          <w:tcPr>
            <w:tcBorders>
              <w:bottom w:val="single" w:sz="8" w:space="0" w:color="000000"/>
              <w:right w:val="single" w:sz="8" w:space="0" w:color="000000"/>
            </w:tcBorders>
            <w:vAlign w:val="center"/>
          </w:tcPr>
          <w:p>
            <w:pPr>
              <w:spacing w:lineRule="auto"/>
              <w:jc w:val="left"/>
            </w:pPr>
            <w:r>
              <w:rPr/>
              <w:t xml:space="preserve">3729,31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si</w:t>
            </w:r>
          </w:p>
        </w:tc>
        <w:tc>
          <w:tcPr>
            <w:tcBorders>
              <w:bottom w:val="single" w:sz="8" w:space="0" w:color="000000"/>
              <w:right w:val="single" w:sz="8" w:space="0" w:color="000000"/>
            </w:tcBorders>
            <w:vAlign w:val="center"/>
          </w:tcPr>
          <w:p>
            <w:pPr>
              <w:spacing w:lineRule="auto"/>
              <w:jc w:val="left"/>
            </w:pPr>
            <w:r>
              <w:rPr/>
              <w:t xml:space="preserve">123,47</w:t>
            </w:r>
          </w:p>
        </w:tc>
        <w:tc>
          <w:tcPr>
            <w:tcBorders>
              <w:bottom w:val="single" w:sz="8" w:space="0" w:color="000000"/>
              <w:right w:val="single" w:sz="8" w:space="0" w:color="000000"/>
            </w:tcBorders>
            <w:vAlign w:val="center"/>
          </w:tcPr>
          <w:p>
            <w:pPr>
              <w:spacing w:lineRule="auto"/>
              <w:jc w:val="left"/>
            </w:pPr>
            <w:r>
              <w:rPr/>
              <w:t xml:space="preserve">246,94</w:t>
            </w:r>
          </w:p>
        </w:tc>
        <w:tc>
          <w:tcPr>
            <w:tcBorders>
              <w:bottom w:val="single" w:sz="8" w:space="0" w:color="000000"/>
              <w:right w:val="single" w:sz="8" w:space="0" w:color="000000"/>
            </w:tcBorders>
            <w:vAlign w:val="center"/>
          </w:tcPr>
          <w:p>
            <w:pPr>
              <w:spacing w:lineRule="auto"/>
              <w:jc w:val="left"/>
            </w:pPr>
            <w:r>
              <w:rPr/>
              <w:t xml:space="preserve">493,88</w:t>
            </w:r>
          </w:p>
        </w:tc>
        <w:tc>
          <w:tcPr>
            <w:tcBorders>
              <w:bottom w:val="single" w:sz="8" w:space="0" w:color="000000"/>
              <w:right w:val="single" w:sz="8" w:space="0" w:color="000000"/>
            </w:tcBorders>
            <w:vAlign w:val="center"/>
          </w:tcPr>
          <w:p>
            <w:pPr>
              <w:spacing w:lineRule="auto"/>
              <w:jc w:val="left"/>
            </w:pPr>
            <w:r>
              <w:rPr/>
              <w:t xml:space="preserve">987,77</w:t>
            </w:r>
          </w:p>
        </w:tc>
        <w:tc>
          <w:tcPr>
            <w:tcBorders>
              <w:bottom w:val="single" w:sz="8" w:space="0" w:color="000000"/>
              <w:right w:val="single" w:sz="8" w:space="0" w:color="000000"/>
            </w:tcBorders>
            <w:vAlign w:val="center"/>
          </w:tcPr>
          <w:p>
            <w:pPr>
              <w:spacing w:lineRule="auto"/>
              <w:jc w:val="left"/>
            </w:pPr>
            <w:r>
              <w:rPr/>
              <w:t xml:space="preserve">1975,53</w:t>
            </w:r>
          </w:p>
        </w:tc>
        <w:tc>
          <w:tcPr>
            <w:tcBorders>
              <w:bottom w:val="single" w:sz="8" w:space="0" w:color="000000"/>
              <w:right w:val="single" w:sz="8" w:space="0" w:color="000000"/>
            </w:tcBorders>
            <w:vAlign w:val="center"/>
          </w:tcPr>
          <w:p>
            <w:pPr>
              <w:spacing w:lineRule="auto"/>
              <w:jc w:val="left"/>
            </w:pPr>
            <w:r>
              <w:rPr/>
              <w:t xml:space="preserve">3951,07</w:t>
            </w:r>
          </w:p>
        </w:tc>
      </w:tr>
    </w:tbl>
    <w:p>
      <w:pPr>
        <w:spacing w:lineRule="auto"/>
      </w:pPr>
    </w:p>
    <w:p>
      <w:pPr>
        <w:spacing w:lineRule="auto"/>
      </w:pPr>
      <w:r>
        <w:rPr>
          <w:rFonts w:eastAsia="Georgia" w:cs="Georgia" w:ascii="Georgia" w:hAnsi="Georgia"/>
        </w:rPr>
        <w:t xml:space="preserve">Figure 20 Fréquences des notes (en Hz) dans la gamme tempérée. On rappelle que la note d'un son musical est donnée par la fréquence fondamentale de l'onde émise. (source : https ://fr.wikipedia.org/wiki/Note de musique)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f2a7574d4b2539e9faca21d8dadc68669c3c4003.jpg" TargetMode="Internal"/><Relationship Id="rId6" Type="http://schemas.openxmlformats.org/officeDocument/2006/relationships/image" Target="media/image-4fcc8772fc139c5ed84a818f1f7c4af92d2d0e6c.jpg" TargetMode="Internal"/><Relationship Id="rId7" Type="http://schemas.openxmlformats.org/officeDocument/2006/relationships/image" Target="media/image-3b16bbfaabd312ea73f55630f673af3d62f6ee28.jpg" TargetMode="Internal"/><Relationship Id="rId8" Type="http://schemas.openxmlformats.org/officeDocument/2006/relationships/image" Target="media/image-a13fc78f5082385aa18bfe258ab292399688df2a.jpg" TargetMode="Internal"/><Relationship Id="rId9" Type="http://schemas.openxmlformats.org/officeDocument/2006/relationships/image" Target="media/image-71e11ce0d22843d749d1a814d35bf2b4581efcd7.jpg" TargetMode="Internal"/><Relationship Id="rId10" Type="http://schemas.openxmlformats.org/officeDocument/2006/relationships/image" Target="media/image-4e77981816a90d674e159dafa8be26531b525531.jpg" TargetMode="Internal"/><Relationship Id="rId11" Type="http://schemas.openxmlformats.org/officeDocument/2006/relationships/image" Target="media/image-14cfb03182ee17cf463eb79339abd8238ddcea64.jpg" TargetMode="Internal"/><Relationship Id="rId12" Type="http://schemas.openxmlformats.org/officeDocument/2006/relationships/image" Target="media/image-f8e0d34200d0c2c46a4391a416ae1b64b25029c4.jpg" TargetMode="Internal"/><Relationship Id="rId13" Type="http://schemas.openxmlformats.org/officeDocument/2006/relationships/image" Target="media/image-d80f52d91f51bffef9b6b7d9a7cd92aaebe79c42.jpg" TargetMode="Internal"/><Relationship Id="rId14" Type="http://schemas.openxmlformats.org/officeDocument/2006/relationships/image" Target="media/image-b618e0043d5cf39b7fb7d0d861bbbbf5d93ffb19.jpg" TargetMode="Internal"/><Relationship Id="rId15" Type="http://schemas.openxmlformats.org/officeDocument/2006/relationships/image" Target="media/image-0b0583f4686cc4b8eb5022de2aff0dc48a7e7795.jpg" TargetMode="Internal"/><Relationship Id="rId16" Type="http://schemas.openxmlformats.org/officeDocument/2006/relationships/image" Target="media/image-4932fbc5a5a4b03e500d660023ad48d351fdf370.jpg" TargetMode="Internal"/><Relationship Id="rId17" Type="http://schemas.openxmlformats.org/officeDocument/2006/relationships/image" Target="media/image-2e63e5e70175974c0edee852fffb2ec6cd8a9d32.jpg" TargetMode="Internal"/><Relationship Id="rId18" Type="http://schemas.openxmlformats.org/officeDocument/2006/relationships/image" Target="media/image-d631c12ce9712b741f2de3c657c94003996fd4cf.jpg" TargetMode="Internal"/><Relationship Id="rId19" Type="http://schemas.openxmlformats.org/officeDocument/2006/relationships/image" Target="media/image-4856d22043b7c5b8d5aaee8ed13d86340149abc9.jpg" TargetMode="Internal"/><Relationship Id="rId20" Type="http://schemas.openxmlformats.org/officeDocument/2006/relationships/image" Target="media/image-b19ff39cfe6edf2297bc482359c93fac63ea50ac.jpg" TargetMode="Internal"/><Relationship Id="rId21" Type="http://schemas.openxmlformats.org/officeDocument/2006/relationships/image" Target="media/image-c550f0fbea9d704643e1b47508b376f2e85f426f.jpg" TargetMode="Internal"/><Relationship Id="rId22" Type="http://schemas.openxmlformats.org/officeDocument/2006/relationships/image" Target="media/image-b8fa8a183b57c39fed45d483c264367268481fc2.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2025-09-04T21:33:42.247Z</dcterms:created>
  <dcterms:modified xsi:type="dcterms:W3CDTF">2025-09-04T21:33:42.247Z</dcterms:modified>
</cp:coreProperties>
</file>