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Le Blue Fire</w:t>
      </w:r>
    </w:p>
    <w:p>
      <w:pPr>
        <w:spacing w:after="220" w:lineRule="auto"/>
      </w:pPr>
      <w:r>
        <w:rPr>
          <w:rFonts w:eastAsia="Georgia" w:cs="Georgia" w:ascii="Georgia" w:hAnsi="Georgia"/>
        </w:rPr>
        <w:t xml:space="preserve">Le Blue Fire est l'une des montagnes russes du parc d'attraction Europa-Park, situé à Rust, en Allemagne. Elle est en service depuis le 4 avril 2009. Le nom de l'attraction a été choisi en référence à la couleur de la flamme émise par la combustion du gaz naturel, vecteur énergétique important.</w:t>
      </w:r>
    </w:p>
    <w:p>
      <w:pPr>
        <w:spacing w:lineRule="auto"/>
        <w:jc w:val="center"/>
      </w:pPr>
      <w:r>
        <w:rPr/>
        <w:drawing>
          <wp:inline distB="0" distL="0" distR="0" distT="0">
            <wp:extent cx="5486400" cy="3666767"/>
            <wp:effectExtent b="0" l="0" r="0" t="0"/>
            <wp:docPr id="1" name="image-448a1b6257dbd8f1c45be59a05ed78f9fc0dbb30.jpg"/>
            <a:graphic>
              <a:graphicData uri="http://schemas.openxmlformats.org/drawingml/2006/picture">
                <pic:pic>
                  <pic:nvPicPr>
                    <pic:cNvPr id="1" name="image-448a1b6257dbd8f1c45be59a05ed78f9fc0dbb30.jpg" descr=""/>
                    <pic:cNvPicPr/>
                  </pic:nvPicPr>
                  <pic:blipFill>
                    <a:blip r:embed="rId5" cstate="print"/>
                    <a:srcRect b="0" l="0" r="0" t="0"/>
                    <a:stretch>
                      <a:fillRect/>
                    </a:stretch>
                  </pic:blipFill>
                  <pic:spPr>
                    <a:xfrm>
                      <a:off x="0" y="0"/>
                      <a:ext cx="5486400" cy="3666767"/>
                    </a:xfrm>
                    <a:prstGeom prst="rect"/>
                  </pic:spPr>
                </pic:pic>
              </a:graphicData>
            </a:graphic>
          </wp:inline>
        </w:drawing>
      </w:r>
    </w:p>
    <w:p>
      <w:pPr>
        <w:spacing w:lineRule="auto"/>
      </w:pPr>
      <w:r>
        <w:rPr/>
        <w:t xml:space="preserve">Figure 1 - Vue d'ensemble du Blue Fire</w:t>
      </w:r>
    </w:p>
    <w:p>
      <w:pPr>
        <w:spacing w:after="220" w:lineRule="auto"/>
      </w:pPr>
      <w:r>
        <w:rPr>
          <w:rFonts w:eastAsia="Georgia" w:cs="Georgia" w:ascii="Georgia" w:hAnsi="Georgia"/>
        </w:rPr>
        <w:t xml:space="preserve">Cette montagne russe fait partie de la famille des montagnes russes lancées (launched coaster) : en effet, l'accélération principale du train a lieu dans la zone de départ, à l'aide d'une longue zone accélératrice rectiligne.</w:t>
      </w:r>
      <w:r>
        <w:rPr/>
        <w:br w:type="textWrapping"/>
      </w:r>
      <w:r>
        <w:rPr>
          <w:rFonts w:eastAsia="Georgia" w:cs="Georgia" w:ascii="Georgia" w:hAnsi="Georgia"/>
        </w:rPr>
        <w:t xml:space="preserve">Ce sujet propose de suivre pas à pas le trajet d'un passager du Blue Fire pour étudier quelques aspects physiques et chimiques liés à cette attraction. Il comporte 4 parties indépendantes. Des données numériques utiles ainsi que quelques formules sont regroupées en fin d'énoncé, quand elles ne sont pas redonnées directement dans le texte.</w:t>
      </w:r>
      <w:r>
        <w:rPr/>
        <w:br w:type="textWrapping"/>
      </w:r>
      <w:r>
        <w:rPr>
          <w:rFonts w:eastAsia="Georgia" w:cs="Georgia" w:ascii="Georgia" w:hAnsi="Georgia"/>
        </w:rPr>
        <w:t xml:space="preserve">Certaines questions, moins guidées, sont repérées par leur numéro souligné. Elles ne sont pas a priori plus difficiles que les autres, mais demandent de prendre plus d'initiatives. Pour ces questions, ce sont ces initiatives et leur pertinence qui sont évaluées plus que le résultat final. Le barème leur accordera un poids significatif.</w:t>
      </w:r>
    </w:p>
    <w:p>
      <w:pPr>
        <w:spacing w:line="271" w:before="330" w:lineRule="auto"/>
      </w:pPr>
      <w:r>
        <w:rPr>
          <w:b/>
          <w:sz w:val="42"/>
        </w:rPr>
        <w:t xml:space="preserve">Partie A - Origines du Blue Fire</w:t>
      </w:r>
    </w:p>
    <w:p>
      <w:pPr>
        <w:spacing w:line="271" w:before="330" w:lineRule="auto"/>
      </w:pPr>
      <w:r>
        <w:rPr>
          <w:b/>
          <w:sz w:val="42"/>
        </w:rPr>
        <w:t xml:space="preserve">I - Gaz naturel</w:t>
      </w:r>
    </w:p>
    <w:p>
      <w:pPr>
        <w:spacing w:after="220" w:lineRule="auto"/>
      </w:pPr>
      <w:r>
        <w:rPr>
          <w:rFonts w:eastAsia="Georgia" w:cs="Georgia" w:ascii="Georgia" w:hAnsi="Georgia"/>
        </w:rPr>
        <w:t xml:space="preserve">Le gaz naturel est un combustible fossile présent naturellement dans les roches poreuses du sous-sol, exploité par l'Homme pour répondre à une partie de ses besoins énergétiques. Il est principalement utilisé pour la production d'électricité, le chauffage, et comme carburant.</w:t>
      </w:r>
      <w:r>
        <w:rPr/>
        <w:br w:type="textWrapping"/>
      </w:r>
      <w:r>
        <w:rPr>
          <w:rFonts w:eastAsia="Georgia" w:cs="Georgia" w:ascii="Georgia" w:hAnsi="Georgia"/>
        </w:rPr>
        <w:t xml:space="preserve">Le terme «gaz naturel» fait spécifiquement référence à un mélange d'hydrocarbures gazeux principalement composé de méthane ( </w:t>
      </w:r>
      <m:oMath>
        <m:sSub>
          <m:sSubPr/>
          <m:e>
            <m:r>
              <m:rPr>
                <m:sty m:val="p"/>
              </m:rPr>
              <m:t>CH</m:t>
            </m:r>
          </m:e>
          <m:sub>
            <m:r>
              <m:rPr>
                <m:sty m:val="p"/>
              </m:rPr>
              <m:t>4</m:t>
            </m:r>
          </m:sub>
        </m:sSub>
      </m:oMath>
      <w:r>
        <w:rPr/>
        <w:t xml:space="preserve"> ) mais contenant aussi d'autre alcanes (butane, propane...), et parfois un faible pourcentage de dioxyde de carbone </w:t>
      </w:r>
      <m:oMath>
        <m:d>
          <m:dPr>
            <m:begChr m:val="("/>
            <m:endChr m:val=")"/>
            <m:ctrlPr>
              <w:rPr>
                <w:rFonts w:ascii="Cambria Math" w:hAnsi="Cambria Math"/>
              </w:rPr>
            </m:ctrlPr>
          </m:dPr>
          <m:e>
            <m:sSub>
              <m:sSubPr/>
              <m:e>
                <m:r>
                  <m:rPr>
                    <m:sty m:val="p"/>
                  </m:rPr>
                  <m:t>CO</m:t>
                </m:r>
              </m:e>
              <m:sub>
                <m:r>
                  <m:rPr>
                    <m:sty m:val="p"/>
                  </m:rPr>
                  <m:t>2</m:t>
                </m:r>
              </m:sub>
            </m:sSub>
          </m:e>
        </m:d>
      </m:oMath>
      <w:r>
        <w:rPr/>
        <w:t xml:space="preserve">, de diazote </w:t>
      </w:r>
      <m:oMath>
        <m:d>
          <m:dPr>
            <m:begChr m:val="("/>
            <m:endChr m:val=")"/>
            <m:ctrlPr>
              <w:rPr>
                <w:rFonts w:ascii="Cambria Math" w:hAnsi="Cambria Math"/>
              </w:rPr>
            </m:ctrlPr>
          </m:dPr>
          <m:e>
            <m:sSub>
              <m:sSubPr/>
              <m:e>
                <m:r>
                  <m:rPr>
                    <m:sty m:val="p"/>
                  </m:rPr>
                  <m:t>N</m:t>
                </m:r>
              </m:e>
              <m:sub>
                <m:r>
                  <m:rPr>
                    <m:sty m:val="p"/>
                  </m:rPr>
                  <m:t>2</m:t>
                </m:r>
              </m:sub>
            </m:sSub>
          </m:e>
        </m:d>
      </m:oMath>
      <w:r>
        <w:rPr>
          <w:rFonts w:eastAsia="Georgia" w:cs="Georgia" w:ascii="Georgia" w:hAnsi="Georgia"/>
        </w:rPr>
        <w:t xml:space="preserve">, de sulfure d'hydrogène </w:t>
      </w:r>
      <m:oMath>
        <m:d>
          <m:dPr>
            <m:begChr m:val="("/>
            <m:endChr m:val=")"/>
            <m:ctrlPr>
              <w:rPr>
                <w:rFonts w:ascii="Cambria Math" w:hAnsi="Cambria Math"/>
              </w:rPr>
            </m:ctrlPr>
          </m:dPr>
          <m:e>
            <m:sSub>
              <m:sSubPr/>
              <m:e>
                <m:r>
                  <m:rPr>
                    <m:sty m:val="p"/>
                  </m:rPr>
                  <m:t>H</m:t>
                </m:r>
              </m:e>
              <m:sub>
                <m:r>
                  <m:rPr>
                    <m:sty m:val="p"/>
                  </m:rPr>
                  <m:t>2</m:t>
                </m:r>
              </m:sub>
            </m:sSub>
            <m:r>
              <m:rPr>
                <m:nor/>
              </m:rPr>
              <m:t xml:space="preserve"> </m:t>
            </m:r>
            <m:r>
              <m:rPr>
                <m:sty m:val="p"/>
              </m:rPr>
              <m:t>S</m:t>
            </m:r>
          </m:e>
        </m:d>
      </m:oMath>
      <w:r>
        <w:rPr>
          <w:rFonts w:eastAsia="Georgia" w:cs="Georgia" w:ascii="Georgia" w:hAnsi="Georgia"/>
        </w:rPr>
        <w:t xml:space="preserve"> ou d'hélium </w:t>
      </w:r>
      <m:oMath>
        <m:r>
          <m:rPr>
            <m:sty m:val="p"/>
          </m:rPr>
          <m:t>(</m:t>
        </m:r>
        <m:r>
          <m:rPr>
            <m:sty m:val="p"/>
          </m:rPr>
          <m:t>He</m:t>
        </m:r>
        <m:r>
          <m:rPr>
            <m:sty m:val="p"/>
          </m:rPr>
          <m:t>)</m:t>
        </m:r>
      </m:oMath>
      <w:r>
        <w:rPr/>
        <w:t xml:space="preserve">.</w:t>
      </w:r>
    </w:p>
    <w:p>
      <w:pPr>
        <w:spacing w:after="220" w:lineRule="auto"/>
      </w:pPr>
      <w:r>
        <w:rPr>
          <w:rFonts w:eastAsia="Georgia" w:cs="Georgia" w:ascii="Georgia" w:hAnsi="Georgia"/>
        </w:rPr>
        <w:t xml:space="preserve">Q1. Donner les formules de Lewis de la molécule de méthane, de la molécule de diazote et de la molécule de dioxyde de carbone.</w:t>
      </w:r>
    </w:p>
    <w:p>
      <w:pPr>
        <w:spacing w:after="220" w:lineRule="auto"/>
      </w:pPr>
      <w:r>
        <w:rPr>
          <w:rFonts w:eastAsia="Georgia" w:cs="Georgia" w:ascii="Georgia" w:hAnsi="Georgia"/>
        </w:rPr>
        <w:t xml:space="preserve">Dans la suite, pour simplifier, on pourra assimiler le «gaz naturel » à du méthane pur. Au cours de la combustion du méthane, celui-ci réagit avec le dioxygène de l'air pour former de l'eau et du dioxyde de carbone, supposés à l'état de vapeur.</w:t>
      </w:r>
    </w:p>
    <w:p>
      <w:pPr>
        <w:spacing w:after="220" w:lineRule="auto"/>
      </w:pPr>
      <w:r>
        <w:rPr>
          <w:rFonts w:eastAsia="Georgia" w:cs="Georgia" w:ascii="Georgia" w:hAnsi="Georgia"/>
        </w:rPr>
        <w:t xml:space="preserve">Q2. Établir l'équation de réaction modélisant la combustion du méthane.</w:t>
      </w:r>
      <w:r>
        <w:rPr/>
        <w:br w:type="textWrapping"/>
      </w:r>
      <w:r>
        <w:rPr>
          <w:rFonts w:eastAsia="Georgia" w:cs="Georgia" w:ascii="Georgia" w:hAnsi="Georgia"/>
        </w:rPr>
        <w:t xml:space="preserve">Q3. Déterminer la valeur de l'enthalpie standard de réaction de cette réaction, et commenter son signe.</w:t>
      </w:r>
      <w:r>
        <w:rPr/>
        <w:br w:type="textWrapping"/>
      </w:r>
      <w:r>
        <w:rPr>
          <w:rFonts w:eastAsia="Georgia" w:cs="Georgia" w:ascii="Georgia" w:hAnsi="Georgia"/>
        </w:rPr>
        <w:t xml:space="preserve">Q4. Déterminer la valeur de l'énergie thermique libérée par la combustion complète d'un mètre cube de méthane pur assimilé à un gaz parfait, à la température initiale </w:t>
      </w:r>
      <m:oMath>
        <m:r>
          <m:rPr>
            <m:sty m:val="i"/>
          </m:rPr>
          <m:t>T</m:t>
        </m:r>
        <m:r>
          <m:rPr>
            <m:sty m:val="p"/>
          </m:rPr>
          <m:t>=</m:t>
        </m:r>
        <m:sSup>
          <m:sSupPr/>
          <m:e>
            <m:r>
              <m:rPr>
                <m:sty m:val="p"/>
              </m:rPr>
              <m:t>0</m:t>
            </m:r>
          </m:e>
          <m:sup>
            <m:r>
              <m:rPr>
                <m:sty m:val="p"/>
              </m:rPr>
              <m:t>∘</m:t>
            </m:r>
          </m:sup>
        </m:sSup>
        <m:r>
          <m:rPr>
            <m:sty m:val="p"/>
          </m:rPr>
          <m:t>C</m:t>
        </m:r>
      </m:oMath>
      <w:r>
        <w:rPr>
          <w:rFonts w:eastAsia="Georgia" w:cs="Georgia" w:ascii="Georgia" w:hAnsi="Georgia"/>
        </w:rPr>
        <w:t xml:space="preserve"> sous une pression fixée de 1,013 bar. Cette quantité est nommée pouvoir calorifique inférieur (ou PCI). Comparer à sa valeur tabulée pour le gaz naturel commercial, comprise entre 9,2 et </w:t>
      </w:r>
      <m:oMath>
        <m:r>
          <m:rPr>
            <m:sty m:val="p"/>
          </m:rPr>
          <m:t>10</m:t>
        </m:r>
        <m:r>
          <m:rPr>
            <m:sty m:val="p"/>
          </m:rPr>
          <m:t>,</m:t>
        </m:r>
        <m:r>
          <m:rPr>
            <m:sty m:val="p"/>
          </m:rPr>
          <m:t>2</m:t>
        </m:r>
        <m:r>
          <m:rPr>
            <m:nor/>
          </m:rPr>
          <m:t xml:space="preserve"> </m:t>
        </m:r>
        <m:r>
          <m:rPr>
            <m:sty m:val="p"/>
          </m:rPr>
          <m:t>kW</m:t>
        </m:r>
        <m:r>
          <m:rPr>
            <m:sty m:val="p"/>
          </m:rPr>
          <m:t>⋅</m:t>
        </m:r>
        <m:r>
          <m:rPr>
            <m:nor/>
          </m:rPr>
          <m:t xml:space="preserve"> </m:t>
        </m:r>
        <m:r>
          <m:rPr>
            <m:sty m:val="p"/>
          </m:rPr>
          <m:t>h</m:t>
        </m:r>
        <m:r>
          <m:rPr>
            <m:sty m:val="p"/>
          </m:rPr>
          <m:t>⋅</m:t>
        </m:r>
        <m:sSup>
          <m:sSupPr/>
          <m:e>
            <m:r>
              <m:rPr>
                <m:nor/>
              </m:rPr>
              <m:t xml:space="preserve"> </m:t>
            </m:r>
            <m:r>
              <m:rPr>
                <m:sty m:val="p"/>
              </m:rPr>
              <m:t>m</m:t>
            </m:r>
          </m:e>
          <m:sup>
            <m:r>
              <m:rPr>
                <m:sty m:val="p"/>
              </m:rPr>
              <m:t>−</m:t>
            </m:r>
            <m:r>
              <m:rPr>
                <m:sty m:val="p"/>
              </m:rPr>
              <m:t>3</m:t>
            </m:r>
          </m:sup>
        </m:sSup>
      </m:oMath>
      <w:r>
        <w:rPr/>
        <w:t xml:space="preserve"> suivant le type de gaz et l'altitude.</w:t>
      </w:r>
    </w:p>
    <w:p>
      <w:pPr>
        <w:spacing w:after="220" w:lineRule="auto"/>
      </w:pPr>
      <w:r>
        <w:rPr>
          <w:rFonts w:eastAsia="Georgia" w:cs="Georgia" w:ascii="Georgia" w:hAnsi="Georgia"/>
        </w:rPr>
        <w:t xml:space="preserve">En 2023, la France a consommé 33,9 milliards de </w:t>
      </w:r>
      <m:oMath>
        <m:sSup>
          <m:sSupPr/>
          <m:e>
            <m:r>
              <m:rPr>
                <m:sty m:val="p"/>
              </m:rPr>
              <m:t>m</m:t>
            </m:r>
          </m:e>
          <m:sup>
            <m:r>
              <m:rPr>
                <m:sty m:val="p"/>
              </m:rPr>
              <m:t>3</m:t>
            </m:r>
          </m:sup>
        </m:sSup>
      </m:oMath>
      <w:r>
        <w:rPr>
          <w:rFonts w:eastAsia="Georgia" w:cs="Georgia" w:ascii="Georgia" w:hAnsi="Georgia"/>
        </w:rPr>
        <w:t xml:space="preserve"> de gaz naturel tous usages confondus - volume calculé dans les conditions de la question Q4 - la quasi-totalité étant importée. Par ailleurs, son empreinte carbone totale est estimée pour 2023 par l'INSEE à 644 millions de tonnes équivalent </w:t>
      </w:r>
      <m:oMath>
        <m:sSub>
          <m:sSubPr/>
          <m:e>
            <m:r>
              <m:rPr>
                <m:sty m:val="p"/>
              </m:rPr>
              <m:t>CO</m:t>
            </m:r>
          </m:e>
          <m:sub>
            <m:r>
              <m:rPr>
                <m:sty m:val="p"/>
              </m:rPr>
              <m:t>2</m:t>
            </m:r>
          </m:sub>
        </m:sSub>
      </m:oMath>
      <w:r>
        <w:rPr>
          <w:rFonts w:eastAsia="Georgia" w:cs="Georgia" w:ascii="Georgia" w:hAnsi="Georgia"/>
        </w:rPr>
        <w:t xml:space="preserve">. L'empreinte carbone de la France représente la quantité de gaz à effet de serre (GES) induite par la demande finale intérieure d'un pays.</w:t>
      </w:r>
    </w:p>
    <w:p>
      <w:pPr>
        <w:spacing w:after="220" w:lineRule="auto"/>
      </w:pPr>
      <w:r>
        <w:rPr>
          <w:rFonts w:eastAsia="Georgia" w:cs="Georgia" w:ascii="Georgia" w:hAnsi="Georgia"/>
        </w:rPr>
        <w:t xml:space="preserve">Q5. Estimer la proportion due à la consommation de gaz naturel dans l'empreinte carbone totale de la France en 2023.</w:t>
      </w:r>
    </w:p>
    <w:p>
      <w:pPr>
        <w:spacing w:after="220" w:lineRule="auto"/>
      </w:pPr>
      <w:r>
        <w:rPr>
          <w:rFonts w:eastAsia="Georgia" w:cs="Georgia" w:ascii="Georgia" w:hAnsi="Georgia"/>
        </w:rPr>
        <w:t xml:space="preserve">On cherche maintenant à estimer la température dans la flamme bleue produite par la combustion du méthane qui a donné son nom au Blue Fire. Celle-ci peut être modélisée en première approche comme un réacteur adiabatique fermé dans laquelle se déroule la transformation. Ce réacteur est constitué initialement d'air d'une part - de composition molaire de </w:t>
      </w:r>
      <m:oMath>
        <m:r>
          <m:rPr>
            <m:sty m:val="p"/>
          </m:rPr>
          <m:t>80</m:t>
        </m:r>
        <m:r>
          <m:rPr>
            <m:sty m:val="p"/>
          </m:rPr>
          <m:t>%</m:t>
        </m:r>
      </m:oMath>
      <w:r>
        <w:rPr/>
        <w:t xml:space="preserve"> de </w:t>
      </w:r>
      <m:oMath>
        <m:sSub>
          <m:sSubPr/>
          <m:e>
            <m:r>
              <m:rPr>
                <m:sty m:val="p"/>
              </m:rPr>
              <m:t>N</m:t>
            </m:r>
          </m:e>
          <m:sub>
            <m:r>
              <m:rPr>
                <m:sty m:val="p"/>
              </m:rPr>
              <m:t>2</m:t>
            </m:r>
          </m:sub>
        </m:sSub>
      </m:oMath>
      <w:r>
        <w:rPr/>
        <w:t xml:space="preserve"> et </w:t>
      </w:r>
      <m:oMath>
        <m:r>
          <m:rPr>
            <m:sty m:val="p"/>
          </m:rPr>
          <m:t>20</m:t>
        </m:r>
        <m:r>
          <m:rPr>
            <m:sty m:val="p"/>
          </m:rPr>
          <m:t>%</m:t>
        </m:r>
      </m:oMath>
      <w:r>
        <w:rPr/>
        <w:t xml:space="preserve"> de </w:t>
      </w:r>
      <m:oMath>
        <m:sSub>
          <m:sSubPr/>
          <m:e>
            <m:r>
              <m:rPr>
                <m:sty m:val="p"/>
              </m:rPr>
              <m:t>O</m:t>
            </m:r>
          </m:e>
          <m:sub>
            <m:r>
              <m:rPr>
                <m:sty m:val="p"/>
              </m:rPr>
              <m:t>2</m:t>
            </m:r>
          </m:sub>
        </m:sSub>
      </m:oMath>
      <w:r>
        <w:rPr>
          <w:rFonts w:eastAsia="Georgia" w:cs="Georgia" w:ascii="Georgia" w:hAnsi="Georgia"/>
        </w:rPr>
        <w:t xml:space="preserve"> - et de méthane d'autre part. Les réactifs sont supposés en proportions stoechiométriques dans ce réacteur, et le mélange gazeux avant combustion est initialement à la température de </w:t>
      </w:r>
      <m:oMath>
        <m:sSub>
          <m:sSubPr/>
          <m:e>
            <m:r>
              <m:rPr>
                <m:sty m:val="i"/>
              </m:rPr>
              <m:t>T</m:t>
            </m:r>
          </m:e>
          <m:sub>
            <m:r>
              <m:rPr>
                <m:sty m:val="i"/>
              </m:rPr>
              <m:t>i</m:t>
            </m:r>
          </m:sub>
        </m:sSub>
        <m:r>
          <m:rPr>
            <m:sty m:val="p"/>
          </m:rPr>
          <m:t>=</m:t>
        </m:r>
        <m:sSup>
          <m:sSupPr/>
          <m:e>
            <m:r>
              <m:rPr>
                <m:sty m:val="p"/>
              </m:rPr>
              <m:t>20</m:t>
            </m:r>
          </m:e>
          <m:sup>
            <m:r>
              <m:rPr>
                <m:sty m:val="p"/>
              </m:rPr>
              <m:t>∘</m:t>
            </m:r>
          </m:sup>
        </m:sSup>
        <m:r>
          <m:rPr>
            <m:sty m:val="p"/>
          </m:rPr>
          <m:t>C</m:t>
        </m:r>
      </m:oMath>
      <w:r>
        <w:rPr>
          <w:rFonts w:eastAsia="Georgia" w:cs="Georgia" w:ascii="Georgia" w:hAnsi="Georgia"/>
        </w:rPr>
        <w:t xml:space="preserve">. Les capacités thermiques à pression constante des différents gaz seront supposées indépendantes de </w:t>
      </w:r>
      <m:oMath>
        <m:r>
          <m:rPr>
            <m:sty m:val="i"/>
          </m:rPr>
          <m:t>T</m:t>
        </m:r>
      </m:oMath>
      <w:r>
        <w:rPr>
          <w:rFonts w:eastAsia="Georgia" w:cs="Georgia" w:ascii="Georgia" w:hAnsi="Georgia"/>
        </w:rPr>
        <w:t xml:space="preserve">, de valeurs précisées dans les données numériques.</w:t>
      </w:r>
    </w:p>
    <w:p>
      <w:pPr>
        <w:spacing w:after="220" w:lineRule="auto"/>
      </w:pPr>
      <w:r>
        <w:rPr>
          <w:rFonts w:eastAsia="Georgia" w:cs="Georgia" w:ascii="Georgia" w:hAnsi="Georgia"/>
        </w:rPr>
        <w:t xml:space="preserve">Q6. Proposer une estimation numérique de la température de la flamme bleue en détaillant la démarche.</w:t>
      </w:r>
    </w:p>
    <w:p>
      <w:pPr>
        <w:spacing w:line="271" w:before="330" w:lineRule="auto"/>
      </w:pPr>
      <w:r>
        <w:rPr>
          <w:b/>
          <w:sz w:val="42"/>
        </w:rPr>
        <w:t xml:space="preserve">II - Le Power to Gas</w:t>
      </w:r>
    </w:p>
    <w:p>
      <w:pPr>
        <w:spacing w:after="220" w:lineRule="auto"/>
      </w:pPr>
      <w:r>
        <w:rPr>
          <w:rFonts w:eastAsia="Georgia" w:cs="Georgia" w:ascii="Georgia" w:hAnsi="Georgia"/>
        </w:rPr>
        <w:t xml:space="preserve">Le power to gas est une technologie qui permet de convertir l'électricité excédentaire, souvent issue de sources renouvelables comme l'éolien ou le solaire, en gaz. Ce procédé se déroule en plusieurs étapes :</w:t>
      </w:r>
    </w:p>
    <w:p>
      <w:pPr>
        <w:numPr>
          <w:ilvl w:val="0"/>
          <w:numId w:val="1"/>
        </w:numPr>
        <w:spacing w:lineRule="auto"/>
      </w:pPr>
      <w:r>
        <w:rPr>
          <w:rFonts w:eastAsia="Georgia" w:cs="Georgia" w:ascii="Georgia" w:hAnsi="Georgia"/>
        </w:rPr>
        <w:t xml:space="preserve">Électrolyse de l'eau : L'électricité est utilisée pour décomposer l'eau en dihydrogène et en dioxygène.</w:t>
      </w:r>
    </w:p>
    <w:p>
      <w:pPr>
        <w:numPr>
          <w:ilvl w:val="0"/>
          <w:numId w:val="1"/>
        </w:numPr>
        <w:spacing w:lineRule="auto"/>
      </w:pPr>
      <w:r>
        <w:rPr>
          <w:rFonts w:eastAsia="Georgia" w:cs="Georgia" w:ascii="Georgia" w:hAnsi="Georgia"/>
        </w:rPr>
        <w:t xml:space="preserve">Méthanation : L'hydrogène produit est ensuite combiné avec du dioxyde de carbone pour produire du méthane.</w:t>
      </w:r>
      <w:r>
        <w:rPr/>
        <w:br w:type="textWrapping"/>
      </w:r>
      <w:r>
        <w:rPr>
          <w:rFonts w:eastAsia="Georgia" w:cs="Georgia" w:ascii="Georgia" w:hAnsi="Georgia"/>
        </w:rPr>
        <w:t xml:space="preserve">La réaction modélisant la transformation ayant lieu au cours de la méthanation est la réaction de Sabatier :</w:t>
      </w:r>
    </w:p>
    <w:p>
      <w:pPr>
        <w:spacing w:after="220" w:lineRule="auto"/>
      </w:pPr>
      <m:oMathPara>
        <m:oMath>
          <m:sSub>
            <m:sSubPr/>
            <m:e>
              <m:r>
                <m:rPr>
                  <m:sty m:val="p"/>
                </m:rPr>
                <m:t>CO</m:t>
              </m:r>
            </m:e>
            <m:sub>
              <m:r>
                <m:rPr>
                  <m:sty m:val="p"/>
                </m:rPr>
                <m:t>2</m:t>
              </m:r>
            </m:sub>
          </m:sSub>
          <m:r>
            <m:rPr>
              <m:sty m:val="p"/>
            </m:rPr>
            <m:t>(</m:t>
          </m:r>
          <m:r>
            <m:rPr>
              <m:nor/>
            </m:rPr>
            <m:t xml:space="preserve"> </m:t>
          </m:r>
          <m:r>
            <m:rPr>
              <m:sty m:val="p"/>
            </m:rPr>
            <m:t>g</m:t>
          </m:r>
          <m:r>
            <m:rPr>
              <m:sty m:val="p"/>
            </m:rPr>
            <m:t>)</m:t>
          </m:r>
          <m:r>
            <m:rPr>
              <m:sty m:val="p"/>
            </m:rPr>
            <m:t>+</m:t>
          </m:r>
          <m:r>
            <m:rPr>
              <m:sty m:val="p"/>
            </m:rPr>
            <m:t>4</m:t>
          </m:r>
          <m:sSub>
            <m:sSubPr/>
            <m:e>
              <m:r>
                <m:rPr>
                  <m:sty m:val="p"/>
                </m:rPr>
                <m:t>H</m:t>
              </m:r>
            </m:e>
            <m:sub>
              <m:r>
                <m:rPr>
                  <m:sty m:val="p"/>
                </m:rPr>
                <m:t>2</m:t>
              </m:r>
            </m:sub>
          </m:sSub>
          <m:r>
            <m:rPr>
              <m:sty m:val="p"/>
            </m:rPr>
            <m:t>(</m:t>
          </m:r>
          <m:r>
            <m:rPr>
              <m:nor/>
            </m:rPr>
            <m:t xml:space="preserve"> </m:t>
          </m:r>
          <m:r>
            <m:rPr>
              <m:sty m:val="p"/>
            </m:rPr>
            <m:t>g</m:t>
          </m:r>
          <m:r>
            <m:rPr>
              <m:sty m:val="p"/>
            </m:rPr>
            <m:t>)</m:t>
          </m:r>
          <m:r>
            <m:rPr>
              <m:sty m:val="p"/>
            </m:rPr>
            <m:t>=</m:t>
          </m:r>
          <m:sSub>
            <m:sSubPr/>
            <m:e>
              <m:r>
                <m:rPr>
                  <m:sty m:val="p"/>
                </m:rPr>
                <m:t>CH</m:t>
              </m:r>
            </m:e>
            <m:sub>
              <m:r>
                <m:rPr>
                  <m:sty m:val="p"/>
                </m:rPr>
                <m:t>4</m:t>
              </m:r>
            </m:sub>
          </m:sSub>
          <m:r>
            <m:rPr>
              <m:sty m:val="p"/>
            </m:rPr>
            <m:t>(</m:t>
          </m:r>
          <m:r>
            <m:rPr>
              <m:nor/>
            </m:rPr>
            <m:t xml:space="preserve"> </m:t>
          </m:r>
          <m:r>
            <m:rPr>
              <m:sty m:val="p"/>
            </m:rPr>
            <m:t>g</m:t>
          </m:r>
          <m:r>
            <m:rPr>
              <m:sty m:val="p"/>
            </m:rPr>
            <m:t>)</m:t>
          </m:r>
          <m:r>
            <m:rPr>
              <m:sty m:val="p"/>
            </m:rPr>
            <m:t>+</m:t>
          </m:r>
          <m:r>
            <m:rPr>
              <m:sty m:val="p"/>
            </m:rPr>
            <m:t>2</m:t>
          </m:r>
          <m:sSub>
            <m:sSubPr/>
            <m:e>
              <m:r>
                <m:rPr>
                  <m:sty m:val="p"/>
                </m:rPr>
                <m:t>H</m:t>
              </m:r>
            </m:e>
            <m:sub>
              <m:r>
                <m:rPr>
                  <m:sty m:val="p"/>
                </m:rPr>
                <m:t>2</m:t>
              </m:r>
            </m:sub>
          </m:sSub>
          <m:r>
            <m:rPr>
              <m:sty m:val="p"/>
            </m:rPr>
            <m:t>O</m:t>
          </m:r>
          <m:r>
            <m:rPr>
              <m:sty m:val="p"/>
            </m:rPr>
            <m:t>(</m:t>
          </m:r>
          <m:r>
            <m:rPr>
              <m:nor/>
            </m:rPr>
            <m:t xml:space="preserve"> </m:t>
          </m:r>
          <m:r>
            <m:rPr>
              <m:sty m:val="p"/>
            </m:rPr>
            <m:t>g</m:t>
          </m:r>
          <m:r>
            <m:rPr>
              <m:sty m:val="p"/>
            </m:rPr>
            <m:t>)</m:t>
          </m:r>
        </m:oMath>
      </m:oMathPara>
    </w:p>
    <w:p>
      <w:pPr>
        <w:spacing w:after="220" w:lineRule="auto"/>
      </w:pPr>
      <w:r>
        <w:rPr>
          <w:rFonts w:eastAsia="Georgia" w:cs="Georgia" w:ascii="Georgia" w:hAnsi="Georgia"/>
        </w:rPr>
        <w:t xml:space="preserve">Les conditions opératoires pour la méthanation sont cruciales pour optimiser le rendement de la réaction. Généralement, la réaction se déroule à des températures entre </w:t>
      </w:r>
      <m:oMath>
        <m:sSup>
          <m:sSupPr/>
          <m:e>
            <m:r>
              <m:rPr>
                <m:sty m:val="p"/>
              </m:rPr>
              <m:t>200</m:t>
            </m:r>
          </m:e>
          <m:sup>
            <m:r>
              <m:rPr>
                <m:sty m:val="p"/>
              </m:rPr>
              <m:t>∘</m:t>
            </m:r>
          </m:sup>
        </m:sSup>
        <m:r>
          <m:rPr>
            <m:sty m:val="p"/>
          </m:rPr>
          <m:t>C</m:t>
        </m:r>
      </m:oMath>
      <w:r>
        <w:rPr/>
        <w:t xml:space="preserve"> et </w:t>
      </w:r>
      <m:oMath>
        <m:sSup>
          <m:sSupPr/>
          <m:e>
            <m:r>
              <m:rPr>
                <m:sty m:val="p"/>
              </m:rPr>
              <m:t>400</m:t>
            </m:r>
          </m:e>
          <m:sup>
            <m:r>
              <m:rPr>
                <m:sty m:val="p"/>
              </m:rPr>
              <m:t>∘</m:t>
            </m:r>
          </m:sup>
        </m:sSup>
        <m:r>
          <m:rPr>
            <m:sty m:val="p"/>
          </m:rPr>
          <m:t>C</m:t>
        </m:r>
      </m:oMath>
      <w:r>
        <w:rPr/>
        <w:t xml:space="preserve">, et sous une pression comprise entre 20 et 30 bars.</w:t>
      </w:r>
      <w:r>
        <w:rPr/>
        <w:br w:type="textWrapping"/>
      </w:r>
      <w:r>
        <w:rPr>
          <w:rFonts w:eastAsia="Georgia" w:cs="Georgia" w:ascii="Georgia" w:hAnsi="Georgia"/>
        </w:rPr>
        <w:t xml:space="preserve">Le power to gas présente plusieurs avantages, tant sur le plan industriel qu'environnemental :</w:t>
      </w:r>
    </w:p>
    <w:p>
      <w:pPr>
        <w:numPr>
          <w:ilvl w:val="0"/>
          <w:numId w:val="2"/>
        </w:numPr>
        <w:spacing w:lineRule="auto"/>
      </w:pPr>
      <w:r>
        <w:rPr>
          <w:rFonts w:eastAsia="Georgia" w:cs="Georgia" w:ascii="Georgia" w:hAnsi="Georgia"/>
        </w:rPr>
        <w:t xml:space="preserve">Stockage de l'énergie : Il permet de stocker l'électricité excédentaire sous forme de gaz, qui peut être utilisé ultérieurement pour produire de l'électricité ou comme carburant.</w:t>
      </w:r>
    </w:p>
    <w:p>
      <w:pPr>
        <w:numPr>
          <w:ilvl w:val="0"/>
          <w:numId w:val="2"/>
        </w:numPr>
        <w:spacing w:lineRule="auto"/>
      </w:pPr>
      <w:r>
        <w:rPr>
          <w:rFonts w:eastAsia="Georgia" w:cs="Georgia" w:ascii="Georgia" w:hAnsi="Georgia"/>
        </w:rPr>
        <w:t xml:space="preserve">Réduction des émissions de </w:t>
      </w:r>
      <m:oMath>
        <m:sSub>
          <m:sSubPr/>
          <m:e>
            <m:r>
              <m:rPr>
                <m:sty m:val="b"/>
              </m:rPr>
              <m:t>C</m:t>
            </m:r>
            <m:r>
              <m:rPr>
                <m:sty m:val="b"/>
              </m:rPr>
              <m:t>O</m:t>
            </m:r>
          </m:e>
          <m:sub>
            <m:r>
              <m:rPr>
                <m:sty m:val="b"/>
              </m:rPr>
              <m:t>2</m:t>
            </m:r>
          </m:sub>
        </m:sSub>
      </m:oMath>
      <w:r>
        <w:rPr/>
        <w:t xml:space="preserve"> : En utilisant le </w:t>
      </w:r>
      <m:oMath>
        <m:sSub>
          <m:sSubPr/>
          <m:e>
            <m:r>
              <m:rPr>
                <m:sty m:val="p"/>
              </m:rPr>
              <m:t>CO</m:t>
            </m:r>
          </m:e>
          <m:sub>
            <m:r>
              <m:rPr>
                <m:sty m:val="p"/>
              </m:rPr>
              <m:t>2</m:t>
            </m:r>
          </m:sub>
        </m:sSub>
      </m:oMath>
      <w:r>
        <w:rPr>
          <w:rFonts w:eastAsia="Georgia" w:cs="Georgia" w:ascii="Georgia" w:hAnsi="Georgia"/>
        </w:rPr>
        <w:t xml:space="preserve"> capturé dans l'atmosphère ou issu de procédés industriels, le power to gas contribue à la réduction des émissions de gaz à effet de serre.</w:t>
      </w:r>
    </w:p>
    <w:p>
      <w:pPr>
        <w:numPr>
          <w:ilvl w:val="0"/>
          <w:numId w:val="2"/>
        </w:numPr>
        <w:spacing w:lineRule="auto"/>
      </w:pPr>
      <w:r>
        <w:rPr>
          <w:rFonts w:eastAsia="Georgia" w:cs="Georgia" w:ascii="Georgia" w:hAnsi="Georgia"/>
        </w:rPr>
        <w:t xml:space="preserve">Intégration des énergies renouvelables : Cette technologie facilite l'intégration des énergies renouvelables intermittentes (éolien, solaire) dans le réseau électrique, en offrant une solution de stockage flexible.</w:t>
      </w:r>
    </w:p>
    <w:p>
      <w:pPr>
        <w:numPr>
          <w:ilvl w:val="0"/>
          <w:numId w:val="2"/>
        </w:numPr>
        <w:spacing w:lineRule="auto"/>
      </w:pPr>
      <w:r>
        <w:rPr>
          <w:rFonts w:eastAsia="Georgia" w:cs="Georgia" w:ascii="Georgia" w:hAnsi="Georgia"/>
        </w:rPr>
        <w:t xml:space="preserve">Diversification des sources énergétiques : Le méthane produit peut être injecté dans le réseau de gaz naturel existant, diversifiant ainsi les sources d'approvisionnement en énergie.</w:t>
      </w:r>
    </w:p>
    <w:p>
      <w:pPr>
        <w:spacing w:after="220" w:lineRule="auto"/>
      </w:pPr>
      <w:r>
        <w:rPr>
          <w:rFonts w:eastAsia="Georgia" w:cs="Georgia" w:ascii="Georgia" w:hAnsi="Georgia"/>
        </w:rPr>
        <w:t xml:space="preserve">Q7. Déterminer les valeurs de l'enthalpie standard de réaction et l'entropie standard de réaction pour la réaction de Sabatier à 298 K .</w:t>
      </w:r>
    </w:p>
    <w:p>
      <w:pPr>
        <w:spacing w:after="220" w:lineRule="auto"/>
      </w:pPr>
      <w:r>
        <w:rPr>
          <w:rFonts w:eastAsia="Georgia" w:cs="Georgia" w:ascii="Georgia" w:hAnsi="Georgia"/>
        </w:rPr>
        <w:t xml:space="preserve">Q8. On suppose les enthalpies et entropies standard de réaction indépendantes de la température. Déterminer la valeur de la constante d'équilibre de cette réaction à </w:t>
      </w:r>
      <m:oMath>
        <m:r>
          <m:rPr>
            <m:sty m:val="i"/>
          </m:rPr>
          <m:t>T</m:t>
        </m:r>
        <m:r>
          <m:rPr>
            <m:sty m:val="p"/>
          </m:rPr>
          <m:t>=</m:t>
        </m:r>
        <m:sSup>
          <m:sSupPr/>
          <m:e>
            <m:r>
              <m:rPr>
                <m:sty m:val="p"/>
              </m:rPr>
              <m:t>400</m:t>
            </m:r>
          </m:e>
          <m:sup>
            <m:r>
              <m:rPr>
                <m:sty m:val="p"/>
              </m:rPr>
              <m:t>∘</m:t>
            </m:r>
          </m:sup>
        </m:sSup>
        <m:r>
          <m:rPr>
            <m:sty m:val="p"/>
          </m:rPr>
          <m:t>C</m:t>
        </m:r>
      </m:oMath>
      <w:r>
        <w:rPr/>
        <w:t xml:space="preserve">. Commenter.</w:t>
      </w:r>
    </w:p>
    <w:p>
      <w:pPr>
        <w:spacing w:after="220" w:lineRule="auto"/>
      </w:pPr>
      <w:r>
        <w:rPr>
          <w:rFonts w:eastAsia="Georgia" w:cs="Georgia" w:ascii="Georgia" w:hAnsi="Georgia"/>
        </w:rPr>
        <w:t xml:space="preserve">Q9. En s'appuyant sur la loi de van't Hoff fournie dans les données, déterminer si une augmentation de température favorise ou défavorise le rendement de cette réaction. En déduire que le choix de la température du milieu réactionnel résulte d'un compromis que l'on précisera.</w:t>
      </w:r>
    </w:p>
    <w:p>
      <w:pPr>
        <w:spacing w:after="220" w:lineRule="auto"/>
      </w:pPr>
      <w:r>
        <w:rPr/>
        <w:t xml:space="preserve">Q10. En notant </w:t>
      </w:r>
      <m:oMath>
        <m:r>
          <m:rPr>
            <m:sty m:val="i"/>
          </m:rPr>
          <m:t>p</m:t>
        </m:r>
      </m:oMath>
      <w:r>
        <w:rPr>
          <w:rFonts w:eastAsia="Georgia" w:cs="Georgia" w:ascii="Georgia" w:hAnsi="Georgia"/>
        </w:rPr>
        <w:t xml:space="preserve"> la pression du milieu, établir l'expression du quotient réactionnel </w:t>
      </w:r>
      <m:oMath>
        <m:sSub>
          <m:sSubPr/>
          <m:e>
            <m:r>
              <m:rPr>
                <m:sty m:val="i"/>
              </m:rPr>
              <m:t>Q</m:t>
            </m:r>
          </m:e>
          <m:sub>
            <m:r>
              <m:rPr>
                <m:sty m:val="i"/>
              </m:rPr>
              <m:t>r</m:t>
            </m:r>
          </m:sub>
        </m:sSub>
      </m:oMath>
      <w:r>
        <w:rPr>
          <w:rFonts w:eastAsia="Georgia" w:cs="Georgia" w:ascii="Georgia" w:hAnsi="Georgia"/>
        </w:rPr>
        <w:t xml:space="preserve"> en fonction des quantités de matière en chaque gaz, de la pression </w:t>
      </w:r>
      <m:oMath>
        <m:r>
          <m:rPr>
            <m:sty m:val="i"/>
          </m:rPr>
          <m:t>p</m:t>
        </m:r>
      </m:oMath>
      <w:r>
        <w:rPr/>
        <w:t xml:space="preserve"> et de la pression standard </w:t>
      </w:r>
      <m:oMath>
        <m:sSup>
          <m:sSupPr/>
          <m:e>
            <m:r>
              <m:rPr>
                <m:sty m:val="i"/>
              </m:rPr>
              <m:t>p</m:t>
            </m:r>
          </m:e>
          <m:sup>
            <m:r>
              <m:rPr>
                <m:sty m:val="p"/>
              </m:rPr>
              <m:t>∘</m:t>
            </m:r>
          </m:sup>
        </m:sSup>
      </m:oMath>
      <w:r>
        <w:rPr/>
        <w:t xml:space="preserve">.</w:t>
      </w:r>
    </w:p>
    <w:p>
      <w:pPr>
        <w:spacing w:after="220" w:lineRule="auto"/>
      </w:pPr>
      <w:r>
        <w:rPr>
          <w:rFonts w:eastAsia="Georgia" w:cs="Georgia" w:ascii="Georgia" w:hAnsi="Georgia"/>
        </w:rPr>
        <w:t xml:space="preserve">Q11. En déduire l'effet d'une augmentation de la pression du milieu sur le rendement de cette réaction. Commenter le résultat obtenu.</w:t>
      </w:r>
    </w:p>
    <w:p>
      <w:pPr>
        <w:spacing w:line="271" w:before="330" w:lineRule="auto"/>
      </w:pPr>
      <w:r>
        <w:rPr>
          <w:rFonts w:eastAsia="Georgia" w:cs="Georgia" w:ascii="Georgia" w:hAnsi="Georgia"/>
          <w:b/>
          <w:sz w:val="42"/>
        </w:rPr>
        <w:t xml:space="preserve">Partie B - Avant le départ</w:t>
      </w:r>
    </w:p>
    <w:p>
      <w:pPr>
        <w:spacing w:after="220" w:lineRule="auto"/>
      </w:pPr>
      <w:r>
        <w:rPr>
          <w:rFonts w:eastAsia="Georgia" w:cs="Georgia" w:ascii="Georgia" w:hAnsi="Georgia"/>
        </w:rPr>
        <w:t xml:space="preserve">Une fois le train parti de la plateforme d'embarquement, il roule lentement vers la zone de départ, puis s'immobilise. Une mise en scène a alors lieu avec effets visuels et sonores pour faire «monter la pression » chez les passagers. En particulier, au cours de cette mise en scène, un panneau «DANGER » clignote en rouge (voir figure 2), accompagné d'un signal sonore synchronisé avec ce clignotement, juste avant le départ du train. Le but de cette partie est de proposer un modèle de circuit électronique pouvant contrôler le phénomène de clignotement des ampoules situées dans ces panneaux.</w:t>
      </w:r>
    </w:p>
    <w:p>
      <w:pPr>
        <w:spacing w:lineRule="auto"/>
        <w:jc w:val="center"/>
      </w:pPr>
      <w:r>
        <w:rPr/>
        <w:drawing>
          <wp:inline distB="0" distL="0" distR="0" distT="0">
            <wp:extent cx="5486400" cy="2685907"/>
            <wp:effectExtent b="0" l="0" r="0" t="0"/>
            <wp:docPr id="2" name="image-bf26cc1032adacfb6af3c6380c187e00d7f8e5a2.jpg"/>
            <a:graphic>
              <a:graphicData uri="http://schemas.openxmlformats.org/drawingml/2006/picture">
                <pic:pic>
                  <pic:nvPicPr>
                    <pic:cNvPr id="2" name="image-bf26cc1032adacfb6af3c6380c187e00d7f8e5a2.jpg" descr=""/>
                    <pic:cNvPicPr/>
                  </pic:nvPicPr>
                  <pic:blipFill>
                    <a:blip r:embed="rId6" cstate="print"/>
                    <a:srcRect b="0" l="0" r="0" t="0"/>
                    <a:stretch>
                      <a:fillRect/>
                    </a:stretch>
                  </pic:blipFill>
                  <pic:spPr>
                    <a:xfrm>
                      <a:off x="0" y="0"/>
                      <a:ext cx="5486400" cy="2685907"/>
                    </a:xfrm>
                    <a:prstGeom prst="rect"/>
                  </pic:spPr>
                </pic:pic>
              </a:graphicData>
            </a:graphic>
          </wp:inline>
        </w:drawing>
      </w:r>
    </w:p>
    <w:p>
      <w:pPr>
        <w:spacing w:lineRule="auto"/>
      </w:pPr>
      <w:r>
        <w:rPr>
          <w:rFonts w:eastAsia="Georgia" w:cs="Georgia" w:ascii="Georgia" w:hAnsi="Georgia"/>
        </w:rPr>
        <w:t xml:space="preserve">Figure 2 - Le panneau danger en fonctionnement juste avant le départ du train.</w:t>
      </w:r>
    </w:p>
    <w:p>
      <w:pPr>
        <w:spacing w:after="220" w:lineRule="auto"/>
      </w:pPr>
      <w:r>
        <w:rPr>
          <w:rFonts w:eastAsia="Georgia" w:cs="Georgia" w:ascii="Georgia" w:hAnsi="Georgia"/>
        </w:rPr>
        <w:t xml:space="preserve">On considère le circuit électronique représenté sur la figure 3 :</w:t>
      </w:r>
    </w:p>
    <w:p>
      <w:pPr>
        <w:spacing w:lineRule="auto"/>
        <w:jc w:val="center"/>
      </w:pPr>
      <w:r>
        <w:rPr/>
        <w:drawing>
          <wp:inline distB="0" distL="0" distR="0" distT="0">
            <wp:extent cx="5486400" cy="3042706"/>
            <wp:effectExtent b="0" l="0" r="0" t="0"/>
            <wp:docPr id="3" name="image-f3ecb53b267fa3a3a3c3962b1ca16370bb6f4b91.jpg"/>
            <a:graphic>
              <a:graphicData uri="http://schemas.openxmlformats.org/drawingml/2006/picture">
                <pic:pic>
                  <pic:nvPicPr>
                    <pic:cNvPr id="3" name="image-f3ecb53b267fa3a3a3c3962b1ca16370bb6f4b91.jpg" descr=""/>
                    <pic:cNvPicPr/>
                  </pic:nvPicPr>
                  <pic:blipFill>
                    <a:blip r:embed="rId7" cstate="print"/>
                    <a:srcRect b="0" l="0" r="0" t="0"/>
                    <a:stretch>
                      <a:fillRect/>
                    </a:stretch>
                  </pic:blipFill>
                  <pic:spPr>
                    <a:xfrm>
                      <a:off x="0" y="0"/>
                      <a:ext cx="5486400" cy="3042706"/>
                    </a:xfrm>
                    <a:prstGeom prst="rect"/>
                  </pic:spPr>
                </pic:pic>
              </a:graphicData>
            </a:graphic>
          </wp:inline>
        </w:drawing>
      </w:r>
    </w:p>
    <w:p>
      <w:pPr>
        <w:spacing w:lineRule="auto"/>
      </w:pPr>
      <w:r>
        <w:rPr>
          <w:rFonts w:eastAsia="Georgia" w:cs="Georgia" w:ascii="Georgia" w:hAnsi="Georgia"/>
        </w:rPr>
        <w:t xml:space="preserve">Figure 3 - Le circuit proposé pour l'alimentation de la LED du panneau DANGER</w:t>
      </w:r>
    </w:p>
    <w:p>
      <w:pPr>
        <w:spacing w:after="220" w:lineRule="auto"/>
      </w:pPr>
      <w:r>
        <w:rPr/>
        <w:t xml:space="preserve">On note </w:t>
      </w:r>
      <m:oMath>
        <m:sSub>
          <m:sSubPr/>
          <m:e>
            <m:r>
              <m:rPr>
                <m:sty m:val="i"/>
              </m:rPr>
              <m:t>V</m:t>
            </m:r>
          </m:e>
          <m:sub>
            <m:r>
              <m:rPr>
                <m:sty m:val="p"/>
              </m:rPr>
              <m:t>+</m:t>
            </m:r>
          </m:sub>
        </m:sSub>
      </m:oMath>
      <w:r>
        <w:rPr>
          <w:rFonts w:eastAsia="Georgia" w:cs="Georgia" w:ascii="Georgia" w:hAnsi="Georgia"/>
        </w:rPr>
        <w:t xml:space="preserve">le potentiel électrique à l'entrée non-inverseuse, et </w:t>
      </w:r>
      <m:oMath>
        <m:sSub>
          <m:sSubPr/>
          <m:e>
            <m:r>
              <m:rPr>
                <m:sty m:val="i"/>
              </m:rPr>
              <m:t>V</m:t>
            </m:r>
          </m:e>
          <m:sub>
            <m:r>
              <m:rPr>
                <m:sty m:val="p"/>
              </m:rPr>
              <m:t>−</m:t>
            </m:r>
          </m:sub>
        </m:sSub>
      </m:oMath>
      <w:r>
        <w:rPr>
          <w:rFonts w:eastAsia="Georgia" w:cs="Georgia" w:ascii="Georgia" w:hAnsi="Georgia"/>
        </w:rPr>
        <w:t xml:space="preserve">le potentiel électrique à l'entrée inverseuse.</w:t>
      </w:r>
      <w:r>
        <w:rPr/>
        <w:br w:type="textWrapping"/>
      </w:r>
      <w:r>
        <w:rPr>
          <w:rFonts w:eastAsia="Georgia" w:cs="Georgia" w:ascii="Georgia" w:hAnsi="Georgia"/>
        </w:rPr>
        <w:t xml:space="preserve">Q12. Rappeler ce qui caractérise un ALI idéal de gain infini, et tracer l'allure de la caractéristique </w:t>
      </w:r>
      <m:oMath>
        <m:sSub>
          <m:sSubPr/>
          <m:e>
            <m:r>
              <m:rPr>
                <m:sty m:val="i"/>
              </m:rPr>
              <m:t>V</m:t>
            </m:r>
          </m:e>
          <m:sub>
            <m:r>
              <m:rPr>
                <m:sty m:val="i"/>
              </m:rPr>
              <m:t>s</m:t>
            </m:r>
          </m:sub>
        </m:sSub>
        <m:r>
          <m:rPr>
            <m:sty m:val="p"/>
          </m:rPr>
          <m:t>=</m:t>
        </m:r>
        <m:r>
          <m:rPr>
            <m:sty m:val="i"/>
          </m:rPr>
          <m:t>f</m:t>
        </m:r>
        <m:d>
          <m:dPr>
            <m:begChr m:val="("/>
            <m:endChr m:val=")"/>
            <m:ctrlPr>
              <w:rPr>
                <w:rFonts w:ascii="Cambria Math" w:hAnsi="Cambria Math"/>
              </w:rPr>
            </m:ctrlPr>
          </m:dPr>
          <m:e>
            <m:sSub>
              <m:sSubPr/>
              <m:e>
                <m:r>
                  <m:rPr>
                    <m:sty m:val="i"/>
                  </m:rPr>
                  <m:t>V</m:t>
                </m:r>
              </m:e>
              <m:sub>
                <m:r>
                  <m:rPr>
                    <m:sty m:val="p"/>
                  </m:rPr>
                  <m:t>+</m:t>
                </m:r>
              </m:sub>
            </m:sSub>
            <m:r>
              <m:rPr>
                <m:sty m:val="p"/>
              </m:rPr>
              <m:t>−</m:t>
            </m:r>
            <m:sSub>
              <m:sSubPr/>
              <m:e>
                <m:r>
                  <m:rPr>
                    <m:sty m:val="i"/>
                  </m:rPr>
                  <m:t>V</m:t>
                </m:r>
              </m:e>
              <m:sub>
                <m:r>
                  <m:rPr>
                    <m:sty m:val="p"/>
                  </m:rPr>
                  <m:t>−</m:t>
                </m:r>
              </m:sub>
            </m:sSub>
          </m:e>
        </m:d>
      </m:oMath>
      <w:r>
        <w:rPr>
          <w:rFonts w:eastAsia="Georgia" w:cs="Georgia" w:ascii="Georgia" w:hAnsi="Georgia"/>
        </w:rPr>
        <w:t xml:space="preserve"> sous ces hypothèses.</w:t>
      </w:r>
    </w:p>
    <w:p>
      <w:pPr>
        <w:spacing w:after="220" w:lineRule="auto"/>
      </w:pPr>
      <w:r>
        <w:rPr>
          <w:rFonts w:eastAsia="Georgia" w:cs="Georgia" w:ascii="Georgia" w:hAnsi="Georgia"/>
        </w:rPr>
        <w:t xml:space="preserve">Dans la suite, on supposera l'ALI idéal de gain infini. À </w:t>
      </w:r>
      <m:oMath>
        <m:r>
          <m:rPr>
            <m:sty m:val="i"/>
          </m:rPr>
          <m:t>t</m:t>
        </m:r>
        <m:r>
          <m:rPr>
            <m:sty m:val="p"/>
          </m:rPr>
          <m:t>=</m:t>
        </m:r>
        <m:r>
          <m:rPr>
            <m:sty m:val="p"/>
          </m:rPr>
          <m:t>0</m:t>
        </m:r>
      </m:oMath>
      <w:r>
        <w:rPr>
          <w:rFonts w:eastAsia="Georgia" w:cs="Georgia" w:ascii="Georgia" w:hAnsi="Georgia"/>
        </w:rPr>
        <w:t xml:space="preserve">, le condensateur est déchargé et on ferme l'interrupteur </w:t>
      </w:r>
      <m:oMath>
        <m:r>
          <m:rPr>
            <m:sty m:val="i"/>
          </m:rPr>
          <m:t>K</m:t>
        </m:r>
      </m:oMath>
      <w:r>
        <w:rPr/>
        <w:t xml:space="preserve">. La tension de sortie </w:t>
      </w:r>
      <m:oMath>
        <m:sSub>
          <m:sSubPr/>
          <m:e>
            <m:r>
              <m:rPr>
                <m:sty m:val="i"/>
              </m:rPr>
              <m:t>V</m:t>
            </m:r>
          </m:e>
          <m:sub>
            <m:r>
              <m:rPr>
                <m:sty m:val="i"/>
              </m:rPr>
              <m:t>s</m:t>
            </m:r>
          </m:sub>
        </m:sSub>
        <m:d>
          <m:dPr>
            <m:begChr m:val="("/>
            <m:endChr m:val=")"/>
            <m:ctrlPr>
              <w:rPr>
                <w:rFonts w:ascii="Cambria Math" w:hAnsi="Cambria Math"/>
              </w:rPr>
            </m:ctrlPr>
          </m:dPr>
          <m:e>
            <m:r>
              <m:rPr>
                <m:sty m:val="i"/>
              </m:rPr>
              <m:t>t</m:t>
            </m:r>
            <m:r>
              <m:rPr>
                <m:sty m:val="p"/>
              </m:rPr>
              <m:t>=</m:t>
            </m:r>
            <m:sSup>
              <m:sSupPr/>
              <m:e>
                <m:r>
                  <m:rPr>
                    <m:sty m:val="p"/>
                  </m:rPr>
                  <m:t>0</m:t>
                </m:r>
              </m:e>
              <m:sup>
                <m:r>
                  <m:rPr>
                    <m:sty m:val="p"/>
                  </m:rPr>
                  <m:t>+</m:t>
                </m:r>
              </m:sup>
            </m:sSup>
          </m:e>
        </m:d>
      </m:oMath>
      <w:r>
        <w:rPr/>
        <w:t xml:space="preserve">vaut alors </w:t>
      </w:r>
      <m:oMath>
        <m:r>
          <m:rPr>
            <m:sty m:val="p"/>
          </m:rPr>
          <m:t>+</m:t>
        </m:r>
        <m:sSub>
          <m:sSubPr/>
          <m:e>
            <m:r>
              <m:rPr>
                <m:sty m:val="i"/>
              </m:rPr>
              <m:t>V</m:t>
            </m:r>
          </m:e>
          <m:sub>
            <m:r>
              <m:rPr>
                <m:nor/>
              </m:rPr>
              <m:t>sat </m:t>
            </m:r>
          </m:sub>
        </m:sSub>
      </m:oMath>
      <w:r>
        <w:rPr>
          <w:rFonts w:eastAsia="Georgia" w:cs="Georgia" w:ascii="Georgia" w:hAnsi="Georgia"/>
        </w:rPr>
        <w:t xml:space="preserve"> juste après la fermeture de </w:t>
      </w:r>
      <m:oMath>
        <m:r>
          <m:rPr>
            <m:sty m:val="i"/>
          </m:rPr>
          <m:t>K</m:t>
        </m:r>
      </m:oMath>
      <w:r>
        <w:rPr>
          <w:rFonts w:eastAsia="Georgia" w:cs="Georgia" w:ascii="Georgia" w:hAnsi="Georgia"/>
        </w:rPr>
        <w:t xml:space="preserve">. L'ALI fonctionne en régime saturé.</w:t>
      </w:r>
    </w:p>
    <w:p>
      <w:pPr>
        <w:spacing w:after="220" w:lineRule="auto"/>
      </w:pPr>
      <w:r>
        <w:rPr>
          <w:rFonts w:eastAsia="Georgia" w:cs="Georgia" w:ascii="Georgia" w:hAnsi="Georgia"/>
        </w:rPr>
        <w:t xml:space="preserve">Q13. Déterminer l'équation différentielle vérifiée par </w:t>
      </w:r>
      <m:oMath>
        <m:sSub>
          <m:sSubPr/>
          <m:e>
            <m:r>
              <m:rPr>
                <m:sty m:val="i"/>
              </m:rPr>
              <m:t>u</m:t>
            </m:r>
          </m:e>
          <m:sub>
            <m:r>
              <m:rPr>
                <m:sty m:val="i"/>
              </m:rPr>
              <m:t>c</m:t>
            </m:r>
          </m:sub>
        </m:sSub>
        <m:r>
          <m:rPr>
            <m:sty m:val="p"/>
          </m:rPr>
          <m:t>(</m:t>
        </m:r>
        <m:r>
          <m:rPr>
            <m:sty m:val="i"/>
          </m:rPr>
          <m:t>t</m:t>
        </m:r>
        <m:r>
          <m:rPr>
            <m:sty m:val="p"/>
          </m:rPr>
          <m:t>)</m:t>
        </m:r>
      </m:oMath>
      <w:r>
        <w:rPr>
          <w:rFonts w:eastAsia="Georgia" w:cs="Georgia" w:ascii="Georgia" w:hAnsi="Georgia"/>
        </w:rPr>
        <w:t xml:space="preserve"> après la fermeture de l'interrupteur.</w:t>
      </w:r>
      <w:r>
        <w:rPr/>
        <w:br w:type="textWrapping"/>
      </w:r>
      <w:r>
        <w:rPr>
          <w:rFonts w:eastAsia="Georgia" w:cs="Georgia" w:ascii="Georgia" w:hAnsi="Georgia"/>
        </w:rPr>
        <w:t xml:space="preserve">Q14. Montrer qu'à un instant </w:t>
      </w:r>
      <m:oMath>
        <m:sSub>
          <m:sSubPr/>
          <m:e>
            <m:r>
              <m:rPr>
                <m:sty m:val="i"/>
              </m:rPr>
              <m:t>t</m:t>
            </m:r>
          </m:e>
          <m:sub>
            <m:r>
              <m:rPr>
                <m:sty m:val="p"/>
              </m:rPr>
              <m:t>1</m:t>
            </m:r>
          </m:sub>
        </m:sSub>
      </m:oMath>
      <w:r>
        <w:rPr>
          <w:rFonts w:eastAsia="Georgia" w:cs="Georgia" w:ascii="Georgia" w:hAnsi="Georgia"/>
        </w:rPr>
        <w:t xml:space="preserve"> à exprimer en fonction de </w:t>
      </w:r>
      <m:oMath>
        <m:sSub>
          <m:sSubPr/>
          <m:e>
            <m:r>
              <m:rPr>
                <m:sty m:val="i"/>
              </m:rPr>
              <m:t>R</m:t>
            </m:r>
          </m:e>
          <m:sub>
            <m:r>
              <m:rPr>
                <m:sty m:val="p"/>
              </m:rPr>
              <m:t>1</m:t>
            </m:r>
          </m:sub>
        </m:sSub>
        <m:r>
          <m:rPr>
            <m:sty m:val="p"/>
          </m:rPr>
          <m:t>,</m:t>
        </m:r>
        <m:sSub>
          <m:sSubPr/>
          <m:e>
            <m:r>
              <m:rPr>
                <m:sty m:val="i"/>
              </m:rPr>
              <m:t>R</m:t>
            </m:r>
          </m:e>
          <m:sub>
            <m:r>
              <m:rPr>
                <m:sty m:val="p"/>
              </m:rPr>
              <m:t>2</m:t>
            </m:r>
          </m:sub>
        </m:sSub>
      </m:oMath>
      <w:r>
        <w:rPr/>
        <w:t xml:space="preserve">, et </w:t>
      </w:r>
      <m:oMath>
        <m:r>
          <m:rPr>
            <m:sty m:val="i"/>
          </m:rPr>
          <m:t>R</m:t>
        </m:r>
      </m:oMath>
      <w:r>
        <w:rPr/>
        <w:t xml:space="preserve"> et </w:t>
      </w:r>
      <m:oMath>
        <m:r>
          <m:rPr>
            <m:sty m:val="i"/>
          </m:rPr>
          <m:t>C</m:t>
        </m:r>
      </m:oMath>
      <w:r>
        <w:rPr/>
        <w:t xml:space="preserve">, la tension </w:t>
      </w:r>
      <m:oMath>
        <m:sSub>
          <m:sSubPr/>
          <m:e>
            <m:r>
              <m:rPr>
                <m:sty m:val="i"/>
              </m:rPr>
              <m:t>V</m:t>
            </m:r>
          </m:e>
          <m:sub>
            <m:r>
              <m:rPr>
                <m:sty m:val="i"/>
              </m:rPr>
              <m:t>s</m:t>
            </m:r>
          </m:sub>
        </m:sSub>
      </m:oMath>
      <w:r>
        <w:rPr/>
        <w:t xml:space="preserve"> bascule de </w:t>
      </w:r>
      <m:oMath>
        <m:r>
          <m:rPr>
            <m:sty m:val="p"/>
          </m:rPr>
          <m:t>+</m:t>
        </m:r>
        <m:sSub>
          <m:sSubPr/>
          <m:e>
            <m:r>
              <m:rPr>
                <m:sty m:val="i"/>
              </m:rPr>
              <m:t>V</m:t>
            </m:r>
          </m:e>
          <m:sub>
            <m:r>
              <m:rPr>
                <m:nor/>
              </m:rPr>
              <m:t>sat </m:t>
            </m:r>
          </m:sub>
        </m:sSub>
      </m:oMath>
      <w:r>
        <w:rPr>
          <w:rFonts w:eastAsia="Georgia" w:cs="Georgia" w:ascii="Georgia" w:hAnsi="Georgia"/>
        </w:rPr>
        <w:t xml:space="preserve"> à </w:t>
      </w:r>
      <m:oMath>
        <m:r>
          <m:rPr>
            <m:sty m:val="p"/>
          </m:rPr>
          <m:t>−</m:t>
        </m:r>
        <m:sSub>
          <m:sSubPr/>
          <m:e>
            <m:r>
              <m:rPr>
                <m:sty m:val="i"/>
              </m:rPr>
              <m:t>V</m:t>
            </m:r>
          </m:e>
          <m:sub>
            <m:r>
              <m:rPr>
                <m:nor/>
              </m:rPr>
              <m:t>sat </m:t>
            </m:r>
          </m:sub>
        </m:sSub>
      </m:oMath>
      <w:r>
        <w:rPr/>
        <w:t xml:space="preserve">.</w:t>
      </w:r>
      <w:r>
        <w:rPr/>
        <w:br w:type="textWrapping"/>
      </w:r>
      <w:r>
        <w:rPr/>
        <w:t xml:space="preserve">Q15. Montrer que la sortie va basculer de nouveau de </w:t>
      </w:r>
      <m:oMath>
        <m:r>
          <m:rPr>
            <m:sty m:val="p"/>
          </m:rPr>
          <m:t>−</m:t>
        </m:r>
        <m:sSub>
          <m:sSubPr/>
          <m:e>
            <m:r>
              <m:rPr>
                <m:sty m:val="i"/>
              </m:rPr>
              <m:t>V</m:t>
            </m:r>
          </m:e>
          <m:sub>
            <m:r>
              <m:rPr>
                <m:nor/>
              </m:rPr>
              <m:t>sat </m:t>
            </m:r>
          </m:sub>
        </m:sSub>
      </m:oMath>
      <w:r>
        <w:rPr>
          <w:rFonts w:eastAsia="Georgia" w:cs="Georgia" w:ascii="Georgia" w:hAnsi="Georgia"/>
        </w:rPr>
        <w:t xml:space="preserve"> à </w:t>
      </w:r>
      <m:oMath>
        <m:r>
          <m:rPr>
            <m:sty m:val="p"/>
          </m:rPr>
          <m:t>+</m:t>
        </m:r>
        <m:sSub>
          <m:sSubPr/>
          <m:e>
            <m:r>
              <m:rPr>
                <m:sty m:val="i"/>
              </m:rPr>
              <m:t>V</m:t>
            </m:r>
          </m:e>
          <m:sub>
            <m:r>
              <m:rPr>
                <m:nor/>
              </m:rPr>
              <m:t>sat </m:t>
            </m:r>
          </m:sub>
        </m:sSub>
      </m:oMath>
      <w:r>
        <w:rPr>
          <w:rFonts w:eastAsia="Georgia" w:cs="Georgia" w:ascii="Georgia" w:hAnsi="Georgia"/>
        </w:rPr>
        <w:t xml:space="preserve"> à l'instant </w:t>
      </w:r>
      <m:oMath>
        <m:sSub>
          <m:sSubPr/>
          <m:e>
            <m:r>
              <m:rPr>
                <m:sty m:val="i"/>
              </m:rPr>
              <m:t>t</m:t>
            </m:r>
          </m:e>
          <m:sub>
            <m:r>
              <m:rPr>
                <m:sty m:val="p"/>
              </m:rPr>
              <m:t>2</m:t>
            </m:r>
          </m:sub>
        </m:sSub>
      </m:oMath>
      <w:r>
        <w:rPr/>
        <w:t xml:space="preserve"> tel que :</w:t>
      </w:r>
    </w:p>
    <w:p>
      <w:pPr>
        <w:spacing w:after="220" w:lineRule="auto"/>
      </w:pPr>
      <m:oMathPara>
        <m:oMath>
          <m:sSub>
            <m:sSubPr/>
            <m:e>
              <m:r>
                <m:rPr>
                  <m:sty m:val="i"/>
                </m:rPr>
                <m:t>t</m:t>
              </m:r>
            </m:e>
            <m:sub>
              <m:r>
                <m:rPr>
                  <m:sty m:val="p"/>
                </m:rPr>
                <m:t>2</m:t>
              </m:r>
            </m:sub>
          </m:sSub>
          <m:r>
            <m:rPr>
              <m:sty m:val="p"/>
            </m:rPr>
            <m:t>=</m:t>
          </m:r>
          <m:sSub>
            <m:sSubPr/>
            <m:e>
              <m:r>
                <m:rPr>
                  <m:sty m:val="i"/>
                </m:rPr>
                <m:t>t</m:t>
              </m:r>
            </m:e>
            <m:sub>
              <m:r>
                <m:rPr>
                  <m:sty m:val="p"/>
                </m:rPr>
                <m:t>1</m:t>
              </m:r>
            </m:sub>
          </m:sSub>
          <m:r>
            <m:rPr>
              <m:sty m:val="p"/>
            </m:rPr>
            <m:t>+</m:t>
          </m:r>
          <m:r>
            <m:rPr>
              <m:sty m:val="i"/>
            </m:rPr>
            <m:t>R</m:t>
          </m:r>
          <m:r>
            <m:rPr>
              <m:sty m:val="i"/>
            </m:rPr>
            <m:t>C</m:t>
          </m:r>
          <m:r>
            <m:rPr>
              <m:sty m:val="p"/>
            </m:rPr>
            <m:t>ln</m:t>
          </m:r>
          <m:r>
            <m:rPr>
              <m:sty m:val="p"/>
            </m:rPr>
            <m:t>⁡</m:t>
          </m:r>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p"/>
                    </m:rPr>
                    <m:t>2</m:t>
                  </m:r>
                  <m:sSub>
                    <m:sSubPr/>
                    <m:e>
                      <m:r>
                        <m:rPr>
                          <m:sty m:val="i"/>
                        </m:rPr>
                        <m:t>R</m:t>
                      </m:r>
                    </m:e>
                    <m:sub>
                      <m:r>
                        <m:rPr>
                          <m:sty m:val="p"/>
                        </m:rPr>
                        <m:t>2</m:t>
                      </m:r>
                    </m:sub>
                  </m:sSub>
                </m:num>
                <m:den>
                  <m:sSub>
                    <m:sSubPr/>
                    <m:e>
                      <m:r>
                        <m:rPr>
                          <m:sty m:val="i"/>
                        </m:rPr>
                        <m:t>R</m:t>
                      </m:r>
                    </m:e>
                    <m:sub>
                      <m:r>
                        <m:rPr>
                          <m:sty m:val="p"/>
                        </m:rPr>
                        <m:t>1</m:t>
                      </m:r>
                    </m:sub>
                  </m:sSub>
                </m:den>
              </m:f>
            </m:e>
          </m:d>
        </m:oMath>
      </m:oMathPara>
    </w:p>
    <w:p>
      <w:pPr>
        <w:spacing w:after="220" w:lineRule="auto"/>
      </w:pPr>
      <w:r>
        <w:rPr>
          <w:rFonts w:eastAsia="Georgia" w:cs="Georgia" w:ascii="Georgia" w:hAnsi="Georgia"/>
        </w:rPr>
        <w:t xml:space="preserve">Par une méthode similaire, on peut montrer que la sortie va basculer à nouveau de </w:t>
      </w:r>
      <m:oMath>
        <m:r>
          <m:rPr>
            <m:sty m:val="p"/>
          </m:rPr>
          <m:t>+</m:t>
        </m:r>
        <m:sSub>
          <m:sSubPr/>
          <m:e>
            <m:r>
              <m:rPr>
                <m:sty m:val="i"/>
              </m:rPr>
              <m:t>V</m:t>
            </m:r>
          </m:e>
          <m:sub>
            <m:r>
              <m:rPr>
                <m:nor/>
              </m:rPr>
              <m:t>sat </m:t>
            </m:r>
          </m:sub>
        </m:sSub>
      </m:oMath>
      <w:r>
        <w:rPr>
          <w:rFonts w:eastAsia="Georgia" w:cs="Georgia" w:ascii="Georgia" w:hAnsi="Georgia"/>
        </w:rPr>
        <w:t xml:space="preserve"> à </w:t>
      </w:r>
      <m:oMath>
        <m:r>
          <m:rPr>
            <m:sty m:val="p"/>
          </m:rPr>
          <m:t>−</m:t>
        </m:r>
        <m:sSub>
          <m:sSubPr/>
          <m:e>
            <m:r>
              <m:rPr>
                <m:sty m:val="i"/>
              </m:rPr>
              <m:t>V</m:t>
            </m:r>
          </m:e>
          <m:sub>
            <m:r>
              <m:rPr>
                <m:nor/>
              </m:rPr>
              <m:t>sat </m:t>
            </m:r>
          </m:sub>
        </m:sSub>
      </m:oMath>
      <w:r>
        <w:rPr>
          <w:rFonts w:eastAsia="Georgia" w:cs="Georgia" w:ascii="Georgia" w:hAnsi="Georgia"/>
        </w:rPr>
        <w:t xml:space="preserve"> à l'instant </w:t>
      </w:r>
      <m:oMath>
        <m:sSub>
          <m:sSubPr/>
          <m:e>
            <m:r>
              <m:rPr>
                <m:sty m:val="i"/>
              </m:rPr>
              <m:t>t</m:t>
            </m:r>
          </m:e>
          <m:sub>
            <m:r>
              <m:rPr>
                <m:sty m:val="p"/>
              </m:rPr>
              <m:t>3</m:t>
            </m:r>
          </m:sub>
        </m:sSub>
      </m:oMath>
      <w:r>
        <w:rPr/>
        <w:t xml:space="preserve"> tel que </w:t>
      </w:r>
      <m:oMath>
        <m:sSub>
          <m:sSubPr/>
          <m:e>
            <m:r>
              <m:rPr>
                <m:sty m:val="i"/>
              </m:rPr>
              <m:t>t</m:t>
            </m:r>
          </m:e>
          <m:sub>
            <m:r>
              <m:rPr>
                <m:sty m:val="p"/>
              </m:rPr>
              <m:t>3</m:t>
            </m:r>
          </m:sub>
        </m:sSub>
        <m:r>
          <m:rPr>
            <m:sty m:val="p"/>
          </m:rPr>
          <m:t>−</m:t>
        </m:r>
        <m:sSub>
          <m:sSubPr/>
          <m:e>
            <m:r>
              <m:rPr>
                <m:sty m:val="i"/>
              </m:rPr>
              <m:t>t</m:t>
            </m:r>
          </m:e>
          <m:sub>
            <m:r>
              <m:rPr>
                <m:sty m:val="p"/>
              </m:rPr>
              <m:t>2</m:t>
            </m:r>
          </m:sub>
        </m:sSub>
        <m:r>
          <m:rPr>
            <m:sty m:val="p"/>
          </m:rPr>
          <m:t>=</m:t>
        </m:r>
        <m:sSub>
          <m:sSubPr/>
          <m:e>
            <m:r>
              <m:rPr>
                <m:sty m:val="i"/>
              </m:rPr>
              <m:t>t</m:t>
            </m:r>
          </m:e>
          <m:sub>
            <m:r>
              <m:rPr>
                <m:sty m:val="p"/>
              </m:rPr>
              <m:t>2</m:t>
            </m:r>
          </m:sub>
        </m:sSub>
        <m:r>
          <m:rPr>
            <m:sty m:val="p"/>
          </m:rPr>
          <m:t>−</m:t>
        </m:r>
        <m:sSub>
          <m:sSubPr/>
          <m:e>
            <m:r>
              <m:rPr>
                <m:sty m:val="i"/>
              </m:rPr>
              <m:t>t</m:t>
            </m:r>
          </m:e>
          <m:sub>
            <m:r>
              <m:rPr>
                <m:sty m:val="p"/>
              </m:rPr>
              <m:t>1</m:t>
            </m:r>
          </m:sub>
        </m:sSub>
      </m:oMath>
      <w:r>
        <w:rPr/>
        <w:t xml:space="preserve">, ce que l'on pourra admettre dans la suite.</w:t>
      </w:r>
    </w:p>
    <w:p>
      <w:pPr>
        <w:spacing w:after="220" w:lineRule="auto"/>
      </w:pPr>
      <w:r>
        <w:rPr>
          <w:rFonts w:eastAsia="Georgia" w:cs="Georgia" w:ascii="Georgia" w:hAnsi="Georgia"/>
        </w:rPr>
        <w:t xml:space="preserve">Q16. Représenter sur un même graphique les évolutions temporelles de </w:t>
      </w:r>
      <m:oMath>
        <m:sSub>
          <m:sSubPr/>
          <m:e>
            <m:r>
              <m:rPr>
                <m:sty m:val="i"/>
              </m:rPr>
              <m:t>u</m:t>
            </m:r>
          </m:e>
          <m:sub>
            <m:r>
              <m:rPr>
                <m:sty m:val="i"/>
              </m:rPr>
              <m:t>c</m:t>
            </m:r>
          </m:sub>
        </m:sSub>
        <m:r>
          <m:rPr>
            <m:sty m:val="p"/>
          </m:rPr>
          <m:t>(</m:t>
        </m:r>
        <m:r>
          <m:rPr>
            <m:sty m:val="i"/>
          </m:rPr>
          <m:t>t</m:t>
        </m:r>
        <m:r>
          <m:rPr>
            <m:sty m:val="p"/>
          </m:rPr>
          <m:t>)</m:t>
        </m:r>
        <m:r>
          <m:rPr>
            <m:sty m:val="p"/>
          </m:rPr>
          <m:t>,</m:t>
        </m:r>
        <m:sSub>
          <m:sSubPr/>
          <m:e>
            <m:r>
              <m:rPr>
                <m:sty m:val="i"/>
              </m:rPr>
              <m:t>V</m:t>
            </m:r>
          </m:e>
          <m:sub>
            <m:r>
              <m:rPr>
                <m:sty m:val="p"/>
              </m:rPr>
              <m:t>+</m:t>
            </m:r>
          </m:sub>
        </m:sSub>
        <m:r>
          <m:rPr>
            <m:sty m:val="p"/>
          </m:rPr>
          <m:t>(</m:t>
        </m:r>
        <m:r>
          <m:rPr>
            <m:sty m:val="i"/>
          </m:rPr>
          <m:t>t</m:t>
        </m:r>
        <m:r>
          <m:rPr>
            <m:sty m:val="p"/>
          </m:rPr>
          <m:t>)</m:t>
        </m:r>
      </m:oMath>
      <w:r>
        <w:rPr/>
        <w:t xml:space="preserve"> et </w:t>
      </w:r>
      <m:oMath>
        <m:sSub>
          <m:sSubPr/>
          <m:e>
            <m:r>
              <m:rPr>
                <m:sty m:val="i"/>
              </m:rPr>
              <m:t>V</m:t>
            </m:r>
          </m:e>
          <m:sub>
            <m:r>
              <m:rPr>
                <m:sty m:val="i"/>
              </m:rPr>
              <m:t>s</m:t>
            </m:r>
          </m:sub>
        </m:sSub>
        <m:r>
          <m:rPr>
            <m:sty m:val="p"/>
          </m:rPr>
          <m:t>(</m:t>
        </m:r>
        <m:r>
          <m:rPr>
            <m:sty m:val="i"/>
          </m:rPr>
          <m:t>t</m:t>
        </m:r>
        <m:r>
          <m:rPr>
            <m:sty m:val="p"/>
          </m:rPr>
          <m:t>)</m:t>
        </m:r>
      </m:oMath>
      <w:r>
        <w:rPr/>
        <w:t xml:space="preserve"> entre </w:t>
      </w:r>
      <m:oMath>
        <m:r>
          <m:rPr>
            <m:sty m:val="i"/>
          </m:rPr>
          <m:t>t</m:t>
        </m:r>
        <m:r>
          <m:rPr>
            <m:sty m:val="p"/>
          </m:rPr>
          <m:t>=</m:t>
        </m:r>
        <m:r>
          <m:rPr>
            <m:sty m:val="p"/>
          </m:rPr>
          <m:t>0</m:t>
        </m:r>
      </m:oMath>
      <w:r>
        <w:rPr/>
        <w:t xml:space="preserve"> et </w:t>
      </w:r>
      <m:oMath>
        <m:r>
          <m:rPr>
            <m:sty m:val="i"/>
          </m:rPr>
          <m:t>t</m:t>
        </m:r>
        <m:r>
          <m:rPr>
            <m:sty m:val="p"/>
          </m:rPr>
          <m:t>=</m:t>
        </m:r>
        <m:sSub>
          <m:sSubPr/>
          <m:e>
            <m:r>
              <m:rPr>
                <m:sty m:val="i"/>
              </m:rPr>
              <m:t>t</m:t>
            </m:r>
          </m:e>
          <m:sub>
            <m:r>
              <m:rPr>
                <m:sty m:val="p"/>
              </m:rPr>
              <m:t>3</m:t>
            </m:r>
          </m:sub>
        </m:sSub>
      </m:oMath>
      <w:r>
        <w:rPr/>
        <w:t xml:space="preserve">.</w:t>
      </w:r>
      <w:r>
        <w:rPr/>
        <w:br w:type="textWrapping"/>
      </w:r>
      <w:r>
        <w:rPr/>
        <w:t xml:space="preserve">Q17. On construit ce montage avec </w:t>
      </w:r>
      <m:oMath>
        <m:r>
          <m:rPr>
            <m:sty m:val="i"/>
          </m:rPr>
          <m:t>R</m:t>
        </m:r>
        <m:r>
          <m:rPr>
            <m:sty m:val="p"/>
          </m:rPr>
          <m:t>=</m:t>
        </m:r>
        <m:r>
          <m:rPr>
            <m:sty m:val="p"/>
          </m:rPr>
          <m:t>470</m:t>
        </m:r>
        <m:r>
          <m:rPr>
            <m:sty m:val="p"/>
          </m:rPr>
          <m:t>,</m:t>
        </m:r>
        <m:r>
          <m:rPr>
            <m:sty m:val="p"/>
          </m:rPr>
          <m:t>0</m:t>
        </m:r>
        <m:r>
          <m:rPr>
            <m:sty m:val="p"/>
          </m:rPr>
          <m:t>k</m:t>
        </m:r>
        <m:r>
          <m:rPr>
            <m:sty m:val="p"/>
          </m:rPr>
          <m:t>Ω</m:t>
        </m:r>
        <m:r>
          <m:rPr>
            <m:sty m:val="p"/>
          </m:rPr>
          <m:t>,</m:t>
        </m:r>
        <m:r>
          <m:rPr>
            <m:sty m:val="i"/>
          </m:rPr>
          <m:t>C</m:t>
        </m:r>
        <m:r>
          <m:rPr>
            <m:sty m:val="p"/>
          </m:rPr>
          <m:t>=</m:t>
        </m:r>
        <m:r>
          <m:rPr>
            <m:sty m:val="p"/>
          </m:rPr>
          <m:t>500</m:t>
        </m:r>
        <m:r>
          <m:rPr>
            <m:sty m:val="p"/>
          </m:rPr>
          <m:t>,</m:t>
        </m:r>
        <m:r>
          <m:rPr>
            <m:sty m:val="p"/>
          </m:rPr>
          <m:t>0</m:t>
        </m:r>
        <m:r>
          <m:rPr>
            <m:sty m:val="p"/>
          </m:rPr>
          <m:t>nF</m:t>
        </m:r>
        <m:r>
          <m:rPr>
            <m:sty m:val="p"/>
          </m:rPr>
          <m:t>,</m:t>
        </m:r>
        <m:sSub>
          <m:sSubPr/>
          <m:e>
            <m:r>
              <m:rPr>
                <m:sty m:val="i"/>
              </m:rPr>
              <m:t>R</m:t>
            </m:r>
          </m:e>
          <m:sub>
            <m:r>
              <m:rPr>
                <m:sty m:val="p"/>
              </m:rPr>
              <m:t>1</m:t>
            </m:r>
          </m:sub>
        </m:sSub>
        <m:r>
          <m:rPr>
            <m:sty m:val="p"/>
          </m:rPr>
          <m:t>=</m:t>
        </m:r>
        <m:r>
          <m:rPr>
            <m:sty m:val="p"/>
          </m:rPr>
          <m:t>1</m:t>
        </m:r>
        <m:r>
          <m:rPr>
            <m:sty m:val="p"/>
          </m:rPr>
          <m:t>,</m:t>
        </m:r>
        <m:r>
          <m:rPr>
            <m:sty m:val="p"/>
          </m:rPr>
          <m:t>000</m:t>
        </m:r>
        <m:r>
          <m:rPr>
            <m:sty m:val="p"/>
          </m:rPr>
          <m:t>k</m:t>
        </m:r>
        <m:r>
          <m:rPr>
            <m:sty m:val="p"/>
          </m:rPr>
          <m:t>Ω</m:t>
        </m:r>
      </m:oMath>
      <w:r>
        <w:rPr/>
        <w:t xml:space="preserve"> et </w:t>
      </w:r>
      <m:oMath>
        <m:sSub>
          <m:sSubPr/>
          <m:e>
            <m:r>
              <m:rPr>
                <m:sty m:val="i"/>
              </m:rPr>
              <m:t>R</m:t>
            </m:r>
          </m:e>
          <m:sub>
            <m:r>
              <m:rPr>
                <m:sty m:val="p"/>
              </m:rPr>
              <m:t>2</m:t>
            </m:r>
          </m:sub>
        </m:sSub>
        <m:r>
          <m:rPr>
            <m:sty m:val="p"/>
          </m:rPr>
          <m:t>=</m:t>
        </m:r>
        <m:r>
          <m:rPr>
            <m:sty m:val="p"/>
          </m:rPr>
          <m:t>3</m:t>
        </m:r>
        <m:r>
          <m:rPr>
            <m:sty m:val="p"/>
          </m:rPr>
          <m:t>,</m:t>
        </m:r>
        <m:r>
          <m:rPr>
            <m:sty m:val="p"/>
          </m:rPr>
          <m:t>300</m:t>
        </m:r>
        <m:r>
          <m:rPr>
            <m:sty m:val="p"/>
          </m:rPr>
          <m:t>k</m:t>
        </m:r>
        <m:r>
          <m:rPr>
            <m:sty m:val="p"/>
          </m:rPr>
          <m:t>Ω</m:t>
        </m:r>
      </m:oMath>
      <w:r>
        <w:rPr>
          <w:rFonts w:eastAsia="Georgia" w:cs="Georgia" w:ascii="Georgia" w:hAnsi="Georgia"/>
        </w:rPr>
        <w:t xml:space="preserve">. Déterminer numériquement la fréquence de l'oscillateur en régime établi avec 4 chiffres significatifs.</w:t>
      </w:r>
    </w:p>
    <w:p>
      <w:pPr>
        <w:spacing w:after="220" w:lineRule="auto"/>
      </w:pPr>
      <w:r>
        <w:rPr>
          <w:rFonts w:eastAsia="Georgia" w:cs="Georgia" w:ascii="Georgia" w:hAnsi="Georgia"/>
        </w:rPr>
        <w:t xml:space="preserve">Q18. On dispose au laboratoire des composants requis, sauf pour le condensateur : on ne dispose que de condensateurs de capacité </w:t>
      </w:r>
      <m:oMath>
        <m:r>
          <m:rPr>
            <m:sty m:val="p"/>
          </m:rPr>
          <m:t>1</m:t>
        </m:r>
        <m:r>
          <m:rPr>
            <m:sty m:val="p"/>
          </m:rPr>
          <m:t>,</m:t>
        </m:r>
        <m:r>
          <m:rPr>
            <m:sty m:val="p"/>
          </m:rPr>
          <m:t>000</m:t>
        </m:r>
        <m:r>
          <m:rPr>
            <m:sty m:val="i"/>
          </m:rPr>
          <m:t>μ</m:t>
        </m:r>
        <m:r>
          <m:rPr>
            <m:nor/>
          </m:rPr>
          <m:t xml:space="preserve"> </m:t>
        </m:r>
        <m:r>
          <m:rPr>
            <m:sty m:val="p"/>
          </m:rPr>
          <m:t>F</m:t>
        </m:r>
      </m:oMath>
      <w:r>
        <w:rPr>
          <w:rFonts w:eastAsia="Georgia" w:cs="Georgia" w:ascii="Georgia" w:hAnsi="Georgia"/>
        </w:rPr>
        <w:t xml:space="preserve">. Comment peut-on faire pour construire quand même le montage avec les valeurs de la question précédente? Justifier.</w:t>
      </w:r>
    </w:p>
    <w:p>
      <w:pPr>
        <w:spacing w:after="220" w:lineRule="auto"/>
      </w:pPr>
      <w:r>
        <w:rPr>
          <w:rFonts w:eastAsia="Georgia" w:cs="Georgia" w:ascii="Georgia" w:hAnsi="Georgia"/>
        </w:rPr>
        <w:t xml:space="preserve">Un groupe de 15 ingénieurs et ingénieures en devenir construit alors individuellement ce montage, avec les valeurs indiquées à la question Q17. On relève précisément pour chacun des 15 montages la fréquence mesurée. Voici les résultats obtenus, indiqués en Hz , ainsi que la valeur moyenne et l'écart-type :</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1,016</w:t>
            </w:r>
          </w:p>
        </w:tc>
        <w:tc>
          <w:tcPr>
            <w:tcBorders>
              <w:top w:val="single" w:sz="8" w:space="0" w:color="000000"/>
              <w:bottom w:val="single" w:sz="8" w:space="0" w:color="000000"/>
              <w:right w:val="single" w:sz="8" w:space="0" w:color="000000"/>
            </w:tcBorders>
            <w:vAlign w:val="center"/>
          </w:tcPr>
          <w:p>
            <w:pPr>
              <w:spacing w:lineRule="auto"/>
              <w:jc w:val="left"/>
            </w:pPr>
            <w:r>
              <w:rPr/>
              <w:t xml:space="preserve">1,041</w:t>
            </w:r>
          </w:p>
        </w:tc>
        <w:tc>
          <w:tcPr>
            <w:tcBorders>
              <w:top w:val="single" w:sz="8" w:space="0" w:color="000000"/>
              <w:bottom w:val="single" w:sz="8" w:space="0" w:color="000000"/>
              <w:right w:val="single" w:sz="8" w:space="0" w:color="000000"/>
            </w:tcBorders>
            <w:vAlign w:val="center"/>
          </w:tcPr>
          <w:p>
            <w:pPr>
              <w:spacing w:lineRule="auto"/>
              <w:jc w:val="left"/>
            </w:pPr>
            <w:r>
              <w:rPr/>
              <w:t xml:space="preserve">1,081</w:t>
            </w:r>
          </w:p>
        </w:tc>
        <w:tc>
          <w:tcPr>
            <w:tcBorders>
              <w:top w:val="single" w:sz="8" w:space="0" w:color="000000"/>
              <w:bottom w:val="single" w:sz="8" w:space="0" w:color="000000"/>
              <w:right w:val="single" w:sz="8" w:space="0" w:color="000000"/>
            </w:tcBorders>
            <w:vAlign w:val="center"/>
          </w:tcPr>
          <w:p>
            <w:pPr>
              <w:spacing w:lineRule="auto"/>
              <w:jc w:val="left"/>
            </w:pPr>
            <w:r>
              <w:rPr/>
              <w:t xml:space="preserve">1,047</w:t>
            </w:r>
          </w:p>
        </w:tc>
        <w:tc>
          <w:tcPr>
            <w:tcBorders>
              <w:top w:val="single" w:sz="8" w:space="0" w:color="000000"/>
              <w:bottom w:val="single" w:sz="8" w:space="0" w:color="000000"/>
              <w:right w:val="single" w:sz="8" w:space="0" w:color="000000"/>
            </w:tcBorders>
            <w:vAlign w:val="center"/>
          </w:tcPr>
          <w:p>
            <w:pPr>
              <w:spacing w:lineRule="auto"/>
              <w:jc w:val="left"/>
            </w:pPr>
            <w:r>
              <w:rPr/>
              <w:t xml:space="preserve">1,023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1,051</w:t>
            </w:r>
          </w:p>
        </w:tc>
        <w:tc>
          <w:tcPr>
            <w:tcBorders>
              <w:bottom w:val="single" w:sz="8" w:space="0" w:color="000000"/>
              <w:right w:val="single" w:sz="8" w:space="0" w:color="000000"/>
            </w:tcBorders>
            <w:vAlign w:val="center"/>
          </w:tcPr>
          <w:p>
            <w:pPr>
              <w:spacing w:lineRule="auto"/>
              <w:jc w:val="left"/>
            </w:pPr>
            <w:r>
              <w:rPr/>
              <w:t xml:space="preserve">1,093</w:t>
            </w:r>
          </w:p>
        </w:tc>
        <w:tc>
          <w:tcPr>
            <w:tcBorders>
              <w:bottom w:val="single" w:sz="8" w:space="0" w:color="000000"/>
              <w:right w:val="single" w:sz="8" w:space="0" w:color="000000"/>
            </w:tcBorders>
            <w:vAlign w:val="center"/>
          </w:tcPr>
          <w:p>
            <w:pPr>
              <w:spacing w:lineRule="auto"/>
              <w:jc w:val="left"/>
            </w:pPr>
            <w:r>
              <w:rPr/>
              <w:t xml:space="preserve">1,073</w:t>
            </w:r>
          </w:p>
        </w:tc>
        <w:tc>
          <w:tcPr>
            <w:tcBorders>
              <w:bottom w:val="single" w:sz="8" w:space="0" w:color="000000"/>
              <w:right w:val="single" w:sz="8" w:space="0" w:color="000000"/>
            </w:tcBorders>
            <w:vAlign w:val="center"/>
          </w:tcPr>
          <w:p>
            <w:pPr>
              <w:spacing w:lineRule="auto"/>
              <w:jc w:val="left"/>
            </w:pPr>
            <w:r>
              <w:rPr/>
              <w:t xml:space="preserve">1,019</w:t>
            </w:r>
          </w:p>
        </w:tc>
        <w:tc>
          <w:tcPr>
            <w:tcBorders>
              <w:bottom w:val="single" w:sz="8" w:space="0" w:color="000000"/>
              <w:right w:val="single" w:sz="8" w:space="0" w:color="000000"/>
            </w:tcBorders>
            <w:vAlign w:val="center"/>
          </w:tcPr>
          <w:p>
            <w:pPr>
              <w:spacing w:lineRule="auto"/>
              <w:jc w:val="left"/>
            </w:pPr>
            <w:r>
              <w:rPr/>
              <w:t xml:space="preserve">1,065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1,087</w:t>
            </w:r>
          </w:p>
        </w:tc>
        <w:tc>
          <w:tcPr>
            <w:tcBorders>
              <w:bottom w:val="single" w:sz="8" w:space="0" w:color="000000"/>
              <w:right w:val="single" w:sz="8" w:space="0" w:color="000000"/>
            </w:tcBorders>
            <w:vAlign w:val="center"/>
          </w:tcPr>
          <w:p>
            <w:pPr>
              <w:spacing w:lineRule="auto"/>
              <w:jc w:val="left"/>
            </w:pPr>
            <w:r>
              <w:rPr/>
              <w:t xml:space="preserve">1,041</w:t>
            </w:r>
          </w:p>
        </w:tc>
        <w:tc>
          <w:tcPr>
            <w:tcBorders>
              <w:bottom w:val="single" w:sz="8" w:space="0" w:color="000000"/>
              <w:right w:val="single" w:sz="8" w:space="0" w:color="000000"/>
            </w:tcBorders>
            <w:vAlign w:val="center"/>
          </w:tcPr>
          <w:p>
            <w:pPr>
              <w:spacing w:lineRule="auto"/>
              <w:jc w:val="left"/>
            </w:pPr>
            <w:r>
              <w:rPr/>
              <w:t xml:space="preserve">1,029</w:t>
            </w:r>
          </w:p>
        </w:tc>
        <w:tc>
          <w:tcPr>
            <w:tcBorders>
              <w:bottom w:val="single" w:sz="8" w:space="0" w:color="000000"/>
              <w:right w:val="single" w:sz="8" w:space="0" w:color="000000"/>
            </w:tcBorders>
            <w:vAlign w:val="center"/>
          </w:tcPr>
          <w:p>
            <w:pPr>
              <w:spacing w:lineRule="auto"/>
              <w:jc w:val="left"/>
            </w:pPr>
            <w:r>
              <w:rPr/>
              <w:t xml:space="preserve">1,075</w:t>
            </w:r>
          </w:p>
        </w:tc>
        <w:tc>
          <w:tcPr>
            <w:tcBorders>
              <w:bottom w:val="single" w:sz="8" w:space="0" w:color="000000"/>
              <w:right w:val="single" w:sz="8" w:space="0" w:color="000000"/>
            </w:tcBorders>
            <w:vAlign w:val="center"/>
          </w:tcPr>
          <w:p>
            <w:pPr>
              <w:spacing w:lineRule="auto"/>
              <w:jc w:val="left"/>
            </w:pPr>
            <w:r>
              <w:rPr/>
              <w:t xml:space="preserve">1,051</w:t>
            </w:r>
          </w:p>
        </w:tc>
      </w:tr>
    </w:tbl>
    <w:p>
      <w:pPr>
        <w:spacing w:lineRule="auto"/>
      </w:pP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nor/>
                  </m:rPr>
                  <m:t> Moyenne : </m:t>
                </m:r>
                <m:acc>
                  <m:accPr>
                    <m:chr m:val="‾"/>
                  </m:accPr>
                  <m:e>
                    <m:r>
                      <m:rPr>
                        <m:sty m:val="i"/>
                      </m:rPr>
                      <m:t>f</m:t>
                    </m:r>
                  </m:e>
                </m:acc>
                <m:r>
                  <m:rPr>
                    <m:sty m:val="p"/>
                  </m:rPr>
                  <m:t>=</m:t>
                </m:r>
                <m:r>
                  <m:rPr>
                    <m:sty m:val="p"/>
                  </m:rPr>
                  <m:t>1</m:t>
                </m:r>
                <m:r>
                  <m:rPr>
                    <m:sty m:val="p"/>
                  </m:rPr>
                  <m:t>,</m:t>
                </m:r>
                <m:r>
                  <m:rPr>
                    <m:sty m:val="p"/>
                  </m:rPr>
                  <m:t>053</m:t>
                </m:r>
                <m:r>
                  <m:rPr>
                    <m:nor/>
                  </m:rPr>
                  <m:t xml:space="preserve"> </m:t>
                </m:r>
                <m:r>
                  <m:rPr>
                    <m:sty m:val="p"/>
                  </m:rPr>
                  <m:t>Hz</m:t>
                </m:r>
              </m:e>
            </m:mr>
            <m:mr>
              <m:e/>
              <m:e>
                <m:r>
                  <m:rPr>
                    <m:nor/>
                  </m:rPr>
                  <m:t> Écart-type : </m:t>
                </m:r>
                <m:r>
                  <m:rPr>
                    <m:sty m:val="i"/>
                  </m:rPr>
                  <m:t>σ</m:t>
                </m:r>
                <m:r>
                  <m:rPr>
                    <m:sty m:val="p"/>
                  </m:rPr>
                  <m:t>=</m:t>
                </m:r>
                <m:r>
                  <m:rPr>
                    <m:sty m:val="p"/>
                  </m:rPr>
                  <m:t>0</m:t>
                </m:r>
                <m:r>
                  <m:rPr>
                    <m:sty m:val="p"/>
                  </m:rPr>
                  <m:t>,</m:t>
                </m:r>
                <m:r>
                  <m:rPr>
                    <m:sty m:val="p"/>
                  </m:rPr>
                  <m:t>025</m:t>
                </m:r>
                <m:r>
                  <m:rPr>
                    <m:nor/>
                  </m:rPr>
                  <m:t xml:space="preserve"> </m:t>
                </m:r>
                <m:r>
                  <m:rPr>
                    <m:sty m:val="p"/>
                  </m:rPr>
                  <m:t>Hz</m:t>
                </m:r>
              </m:e>
            </m:mr>
          </m:m>
        </m:oMath>
      </m:oMathPara>
    </w:p>
    <w:p>
      <w:pPr>
        <w:spacing w:after="220" w:lineRule="auto"/>
      </w:pPr>
      <w:r>
        <w:rPr>
          <w:rFonts w:eastAsia="Georgia" w:cs="Georgia" w:ascii="Georgia" w:hAnsi="Georgia"/>
        </w:rPr>
        <w:t xml:space="preserve">Q19. Pourquoi les différents expérimentateurs obtiennent-ils des valeurs différentes? Déterminer la valeur numérique de l'incertitude-type sur la fréquence de l'oscillateur </w:t>
      </w:r>
      <m:oMath>
        <m:r>
          <m:rPr>
            <m:sty m:val="i"/>
          </m:rPr>
          <m:t>u</m:t>
        </m:r>
        <m:r>
          <m:rPr>
            <m:sty m:val="p"/>
          </m:rPr>
          <m:t>(</m:t>
        </m:r>
        <m:r>
          <m:rPr>
            <m:sty m:val="i"/>
          </m:rPr>
          <m:t>f</m:t>
        </m:r>
        <m:r>
          <m:rPr>
            <m:sty m:val="p"/>
          </m:rPr>
          <m:t>)</m:t>
        </m:r>
      </m:oMath>
      <w:r>
        <w:rPr>
          <w:rFonts w:eastAsia="Georgia" w:cs="Georgia" w:ascii="Georgia" w:hAnsi="Georgia"/>
        </w:rPr>
        <w:t xml:space="preserve"> que l'on peut déduire de cette série de valeurs. Calculer l'écart normalisé (ou Z-score) entre la valeur de la fréquence calculée à la question Q17 et celle obtenue par cette expérience et commenter le résultat obtenu.</w:t>
      </w:r>
    </w:p>
    <w:p>
      <w:pPr>
        <w:spacing w:after="220" w:lineRule="auto"/>
      </w:pPr>
      <w:r>
        <w:rPr>
          <w:rFonts w:eastAsia="Georgia" w:cs="Georgia" w:ascii="Georgia" w:hAnsi="Georgia"/>
        </w:rPr>
        <w:t xml:space="preserve">La lampe utilisée dans le panneau DANGER est une LED ne s'allumant que si la tension à ses bornes est positive, et consommant une puissance de 25 W lorsqu'elle est allumée. On envisage de la brancher directement entre la sortie de l'ALI et la masse.</w:t>
      </w:r>
    </w:p>
    <w:p>
      <w:pPr>
        <w:spacing w:after="220" w:lineRule="auto"/>
      </w:pPr>
      <w:r>
        <w:rPr>
          <w:rFonts w:eastAsia="Georgia" w:cs="Georgia" w:ascii="Georgia" w:hAnsi="Georgia"/>
        </w:rPr>
        <w:t xml:space="preserve">Q20. Ce montage seul permet-il de générer le clignotement de la lampe? Justifier la réponse.</w:t>
      </w:r>
    </w:p>
    <w:p>
      <w:pPr>
        <w:spacing w:line="271" w:before="330" w:lineRule="auto"/>
      </w:pPr>
      <w:r>
        <w:rPr>
          <w:b/>
          <w:sz w:val="42"/>
        </w:rPr>
        <w:t xml:space="preserve">Partie C - C'est parti!</w:t>
      </w:r>
    </w:p>
    <w:p>
      <w:pPr>
        <w:spacing w:after="220" w:lineRule="auto"/>
      </w:pPr>
      <w:r>
        <w:rPr>
          <w:rFonts w:eastAsia="Georgia" w:cs="Georgia" w:ascii="Georgia" w:hAnsi="Georgia"/>
        </w:rPr>
        <w:t xml:space="preserve">Le train est d'abord accéléré par un accélérateur linéaire synchrone, puis attaque des figures variées (virage en fer à cheval, loopings, vrilles).</w:t>
      </w:r>
      <w:r>
        <w:rPr/>
        <w:br w:type="textWrapping"/>
      </w:r>
      <w:r>
        <w:rPr>
          <w:rFonts w:eastAsia="Georgia" w:cs="Georgia" w:ascii="Georgia" w:hAnsi="Georgia"/>
        </w:rPr>
        <w:t xml:space="preserve">Tous les mouvements seront décrits dans le référentiel terrestre, supposé galiléen.</w:t>
      </w:r>
    </w:p>
    <w:p>
      <w:pPr>
        <w:spacing w:line="271" w:before="330" w:lineRule="auto"/>
      </w:pPr>
      <w:r>
        <w:rPr>
          <w:rFonts w:eastAsia="Georgia" w:cs="Georgia" w:ascii="Georgia" w:hAnsi="Georgia"/>
          <w:b/>
          <w:sz w:val="42"/>
        </w:rPr>
        <w:t xml:space="preserve">I - Le moteur linéaire synchrone</w:t>
      </w:r>
    </w:p>
    <w:p>
      <w:pPr>
        <w:spacing w:after="220" w:lineRule="auto"/>
      </w:pPr>
      <w:r>
        <w:rPr>
          <w:rFonts w:eastAsia="Georgia" w:cs="Georgia" w:ascii="Georgia" w:hAnsi="Georgia"/>
        </w:rPr>
        <w:t xml:space="preserve">Le dispositif qui permet au train d'accélérer initialement le train dans le Blue Fire est nommé moteur linéaire synchrone (en anglais linear synchronous motor, ou LSM). Le principe est le suivant : des aimants permanents sont placés sous les wagons du train (figure 5) et un champ magnétique est généré par des circuits électriques situés dans les pièces blanches du stator, solidaires du rail (figure 4). L'interaction entre ce champ magnétique et les aimants du train explique la force propulsive responsable de l'accélération.</w:t>
      </w:r>
    </w:p>
    <w:p>
      <w:pPr>
        <w:spacing w:lineRule="auto"/>
        <w:jc w:val="center"/>
      </w:pPr>
      <w:r>
        <w:rPr/>
        <w:drawing>
          <wp:inline distB="0" distL="0" distR="0" distT="0">
            <wp:extent cx="5486400" cy="3738407"/>
            <wp:effectExtent b="0" l="0" r="0" t="0"/>
            <wp:docPr id="4" name="image-c78357dc252b127e8e62d4cbc2d8526d4b326ab2.jpg"/>
            <a:graphic>
              <a:graphicData uri="http://schemas.openxmlformats.org/drawingml/2006/picture">
                <pic:pic>
                  <pic:nvPicPr>
                    <pic:cNvPr id="4" name="image-c78357dc252b127e8e62d4cbc2d8526d4b326ab2.jpg" descr=""/>
                    <pic:cNvPicPr/>
                  </pic:nvPicPr>
                  <pic:blipFill>
                    <a:blip r:embed="rId8" cstate="print"/>
                    <a:srcRect b="0" l="0" r="0" t="0"/>
                    <a:stretch>
                      <a:fillRect/>
                    </a:stretch>
                  </pic:blipFill>
                  <pic:spPr>
                    <a:xfrm>
                      <a:off x="0" y="0"/>
                      <a:ext cx="5486400" cy="3738407"/>
                    </a:xfrm>
                    <a:prstGeom prst="rect"/>
                  </pic:spPr>
                </pic:pic>
              </a:graphicData>
            </a:graphic>
          </wp:inline>
        </w:drawing>
      </w:r>
    </w:p>
    <w:p>
      <w:pPr>
        <w:spacing w:lineRule="auto"/>
      </w:pPr>
      <w:r>
        <w:rPr/>
        <w:t xml:space="preserve">Figure 4 - Lancement d'un train, les modules du stator sont les plaques blanches verticales.</w:t>
      </w:r>
    </w:p>
    <w:p>
      <w:pPr>
        <w:spacing w:lineRule="auto"/>
        <w:jc w:val="center"/>
      </w:pPr>
      <w:r>
        <w:rPr/>
        <w:drawing>
          <wp:inline distB="0" distL="0" distR="0" distT="0">
            <wp:extent cx="5486400" cy="5612317"/>
            <wp:effectExtent b="0" l="0" r="0" t="0"/>
            <wp:docPr id="5" name="image-87b6ded56c90b06812b00ddf13a17cb7a12cfb47.jpg"/>
            <a:graphic>
              <a:graphicData uri="http://schemas.openxmlformats.org/drawingml/2006/picture">
                <pic:pic>
                  <pic:nvPicPr>
                    <pic:cNvPr id="5" name="image-87b6ded56c90b06812b00ddf13a17cb7a12cfb47.jpg" descr=""/>
                    <pic:cNvPicPr/>
                  </pic:nvPicPr>
                  <pic:blipFill>
                    <a:blip r:embed="rId9" cstate="print"/>
                    <a:srcRect b="0" l="0" r="0" t="0"/>
                    <a:stretch>
                      <a:fillRect/>
                    </a:stretch>
                  </pic:blipFill>
                  <pic:spPr>
                    <a:xfrm>
                      <a:off x="0" y="0"/>
                      <a:ext cx="5486400" cy="5612317"/>
                    </a:xfrm>
                    <a:prstGeom prst="rect"/>
                  </pic:spPr>
                </pic:pic>
              </a:graphicData>
            </a:graphic>
          </wp:inline>
        </w:drawing>
      </w:r>
    </w:p>
    <w:p>
      <w:pPr>
        <w:spacing w:lineRule="auto"/>
      </w:pPr>
      <w:r>
        <w:rPr>
          <w:rFonts w:eastAsia="Georgia" w:cs="Georgia" w:ascii="Georgia" w:hAnsi="Georgia"/>
        </w:rPr>
        <w:t xml:space="preserve">Figure 5 - Supports des aimants permanents situés sous le train</w:t>
      </w:r>
    </w:p>
    <w:p>
      <w:pPr>
        <w:spacing w:after="220" w:lineRule="auto"/>
      </w:pPr>
      <w:r>
        <w:rPr>
          <w:rFonts w:eastAsia="Georgia" w:cs="Georgia" w:ascii="Georgia" w:hAnsi="Georgia"/>
        </w:rPr>
        <w:t xml:space="preserve">La description précise de l'interaction est complexe et fait appel à des notions de magnétisme de la matière. On propose ici une description volontairement très simplifiée.</w:t>
      </w:r>
      <w:r>
        <w:rPr/>
        <w:br w:type="textWrapping"/>
      </w:r>
      <w:r>
        <w:rPr>
          <w:rFonts w:eastAsia="Georgia" w:cs="Georgia" w:ascii="Georgia" w:hAnsi="Georgia"/>
        </w:rPr>
        <w:t xml:space="preserve">On s'intéresse dans un premier temps uniquement au stator qui permet de créer le champ magnétique. Celui-ci est constitué de paires de spires conductrices supposées circulaires, positionnées face à face dans les deux plaques blanches du stator se faisant face (voir figure 4), alimentées par un courant d'intensité </w:t>
      </w:r>
      <m:oMath>
        <m:r>
          <m:rPr>
            <m:sty m:val="i"/>
          </m:rPr>
          <m:t>i</m:t>
        </m:r>
      </m:oMath>
      <w:r>
        <w:rPr>
          <w:rFonts w:eastAsia="Georgia" w:cs="Georgia" w:ascii="Georgia" w:hAnsi="Georgia"/>
        </w:rPr>
        <w:t xml:space="preserve">. Les spires sont représentées dans deux plans de projection sur la figure 6.</w:t>
      </w:r>
    </w:p>
    <w:p>
      <w:pPr>
        <w:spacing w:lineRule="auto"/>
        <w:jc w:val="center"/>
      </w:pPr>
      <w:r>
        <w:rPr/>
        <w:drawing>
          <wp:inline distB="0" distL="0" distR="0" distT="0">
            <wp:extent cx="5486400" cy="2830143"/>
            <wp:effectExtent b="0" l="0" r="0" t="0"/>
            <wp:docPr id="6" name="image-e21de4466ad2f55fd28f188fbe0cd1d38054bc7b.jpg"/>
            <a:graphic>
              <a:graphicData uri="http://schemas.openxmlformats.org/drawingml/2006/picture">
                <pic:pic>
                  <pic:nvPicPr>
                    <pic:cNvPr id="6" name="image-e21de4466ad2f55fd28f188fbe0cd1d38054bc7b.jpg" descr=""/>
                    <pic:cNvPicPr/>
                  </pic:nvPicPr>
                  <pic:blipFill>
                    <a:blip r:embed="rId10" cstate="print"/>
                    <a:srcRect b="0" l="0" r="0" t="0"/>
                    <a:stretch>
                      <a:fillRect/>
                    </a:stretch>
                  </pic:blipFill>
                  <pic:spPr>
                    <a:xfrm>
                      <a:off x="0" y="0"/>
                      <a:ext cx="5486400" cy="2830143"/>
                    </a:xfrm>
                    <a:prstGeom prst="rect"/>
                  </pic:spPr>
                </pic:pic>
              </a:graphicData>
            </a:graphic>
          </wp:inline>
        </w:drawing>
      </w:r>
    </w:p>
    <w:p>
      <w:pPr>
        <w:spacing w:lineRule="auto"/>
      </w:pPr>
      <w:r>
        <w:rPr/>
        <w:t xml:space="preserve">Figure 6 - Vue en coupe des spires du stator</w:t>
      </w:r>
    </w:p>
    <w:p>
      <w:pPr>
        <w:spacing w:after="220" w:lineRule="auto"/>
      </w:pPr>
      <w:r>
        <w:rPr>
          <w:rFonts w:eastAsia="Georgia" w:cs="Georgia" w:ascii="Georgia" w:hAnsi="Georgia"/>
        </w:rPr>
        <w:t xml:space="preserve">Q21. Rappeller et nommer les deux équations de Maxwell vérifiées par le champ </w:t>
      </w:r>
      <m:oMath>
        <m:acc>
          <m:accPr>
            <m:chr m:val="⃗"/>
          </m:accPr>
          <m:e>
            <m:r>
              <m:rPr>
                <m:sty m:val="i"/>
              </m:rPr>
              <m:t>B</m:t>
            </m:r>
          </m:e>
        </m:acc>
      </m:oMath>
      <w:r>
        <w:rPr>
          <w:rFonts w:eastAsia="Georgia" w:cs="Georgia" w:ascii="Georgia" w:hAnsi="Georgia"/>
        </w:rPr>
        <w:t xml:space="preserve"> en magnétostatique, ainsi que les formes intégrales associées.</w:t>
      </w:r>
    </w:p>
    <w:p>
      <w:pPr>
        <w:spacing w:after="220" w:lineRule="auto"/>
      </w:pPr>
      <w:r>
        <w:rPr/>
        <w:t xml:space="preserve">Q22. Prouver qu'en tout point </w:t>
      </w:r>
      <m:oMath>
        <m:r>
          <m:rPr>
            <m:sty m:val="i"/>
          </m:rPr>
          <m:t>M</m:t>
        </m:r>
      </m:oMath>
      <w:r>
        <w:rPr>
          <w:rFonts w:eastAsia="Georgia" w:cs="Georgia" w:ascii="Georgia" w:hAnsi="Georgia"/>
        </w:rPr>
        <w:t xml:space="preserve"> situé sur l'axe commun des deux spires ( </w:t>
      </w:r>
      <m:oMath>
        <m:sSub>
          <m:sSubPr/>
          <m:e>
            <m:r>
              <m:rPr>
                <m:sty m:val="i"/>
              </m:rPr>
              <m:t>O</m:t>
            </m:r>
          </m:e>
          <m:sub>
            <m:r>
              <m:rPr>
                <m:sty m:val="i"/>
              </m:rPr>
              <m:t>s</m:t>
            </m:r>
          </m:sub>
        </m:sSub>
        <m:r>
          <m:rPr>
            <m:sty m:val="i"/>
          </m:rPr>
          <m:t>y</m:t>
        </m:r>
      </m:oMath>
      <w:r>
        <w:rPr/>
        <w:t xml:space="preserve"> ), on a </w:t>
      </w:r>
      <m:oMath>
        <m:acc>
          <m:accPr>
            <m:chr m:val="⃗"/>
          </m:accPr>
          <m:e>
            <m:r>
              <m:rPr>
                <m:sty m:val="i"/>
              </m:rPr>
              <m:t>B</m:t>
            </m:r>
          </m:e>
        </m:acc>
        <m:r>
          <m:rPr>
            <m:sty m:val="p"/>
          </m:rPr>
          <m:t>(</m:t>
        </m:r>
        <m:r>
          <m:rPr>
            <m:sty m:val="i"/>
          </m:rPr>
          <m:t>M</m:t>
        </m:r>
        <m:r>
          <m:rPr>
            <m:sty m:val="p"/>
          </m:rPr>
          <m:t>)</m:t>
        </m:r>
        <m:r>
          <m:rPr>
            <m:sty m:val="p"/>
          </m:rPr>
          <m:t>=</m:t>
        </m:r>
        <m:r>
          <m:rPr>
            <m:sty m:val="i"/>
          </m:rPr>
          <m:t>B</m:t>
        </m:r>
        <m:r>
          <m:rPr>
            <m:sty m:val="p"/>
          </m:rPr>
          <m:t>(</m:t>
        </m:r>
        <m:r>
          <m:rPr>
            <m:sty m:val="i"/>
          </m:rPr>
          <m:t>M</m:t>
        </m:r>
        <m:r>
          <m:rPr>
            <m:sty m:val="p"/>
          </m:rPr>
          <m:t>)</m:t>
        </m:r>
        <m:acc>
          <m:accPr>
            <m:chr m:val="⃗"/>
          </m:accPr>
          <m:e>
            <m:sSub>
              <m:sSubPr/>
              <m:e>
                <m:r>
                  <m:rPr>
                    <m:sty m:val="i"/>
                  </m:rPr>
                  <m:t>e</m:t>
                </m:r>
              </m:e>
              <m:sub>
                <m:r>
                  <m:rPr>
                    <m:sty m:val="i"/>
                  </m:rPr>
                  <m:t>y</m:t>
                </m:r>
              </m:sub>
            </m:sSub>
          </m:e>
        </m:acc>
      </m:oMath>
      <w:r>
        <w:rPr/>
        <w:t xml:space="preserve">.</w:t>
      </w:r>
      <w:r>
        <w:rPr/>
        <w:br w:type="textWrapping"/>
      </w:r>
      <w:r>
        <w:rPr>
          <w:rFonts w:eastAsia="Georgia" w:cs="Georgia" w:ascii="Georgia" w:hAnsi="Georgia"/>
        </w:rPr>
        <w:t xml:space="preserve">On donne sur la figure 7 l'allure des lignes de champ - issue d'une simulation - créées par cette paire de spires dans le plan ( </w:t>
      </w:r>
      <m:oMath>
        <m:sSub>
          <m:sSubPr/>
          <m:e>
            <m:r>
              <m:rPr>
                <m:sty m:val="i"/>
              </m:rPr>
              <m:t>O</m:t>
            </m:r>
          </m:e>
          <m:sub>
            <m:r>
              <m:rPr>
                <m:sty m:val="i"/>
              </m:rPr>
              <m:t>s</m:t>
            </m:r>
          </m:sub>
        </m:sSub>
        <m:r>
          <m:rPr>
            <m:sty m:val="p"/>
          </m:rPr>
          <m:t>,</m:t>
        </m:r>
        <m:acc>
          <m:accPr>
            <m:chr m:val="⃗"/>
          </m:accPr>
          <m:e>
            <m:sSub>
              <m:sSubPr/>
              <m:e>
                <m:r>
                  <m:rPr>
                    <m:sty m:val="i"/>
                  </m:rPr>
                  <m:t>e</m:t>
                </m:r>
              </m:e>
              <m:sub>
                <m:r>
                  <m:rPr>
                    <m:sty m:val="i"/>
                  </m:rPr>
                  <m:t>y</m:t>
                </m:r>
              </m:sub>
            </m:sSub>
          </m:e>
        </m:acc>
        <m:r>
          <m:rPr>
            <m:sty m:val="p"/>
          </m:rPr>
          <m:t>,</m:t>
        </m:r>
        <m:acc>
          <m:accPr>
            <m:chr m:val="⃗"/>
          </m:accPr>
          <m:e>
            <m:sSub>
              <m:sSubPr/>
              <m:e>
                <m:r>
                  <m:rPr>
                    <m:sty m:val="i"/>
                  </m:rPr>
                  <m:t>e</m:t>
                </m:r>
              </m:e>
              <m:sub>
                <m:r>
                  <m:rPr>
                    <m:sty m:val="i"/>
                  </m:rPr>
                  <m:t>z</m:t>
                </m:r>
              </m:sub>
            </m:sSub>
          </m:e>
        </m:acc>
      </m:oMath>
      <w:r>
        <w:rPr>
          <w:rFonts w:eastAsia="Georgia" w:cs="Georgia" w:ascii="Georgia" w:hAnsi="Georgia"/>
        </w:rPr>
        <w:t xml:space="preserve"> ). Les lignes de champ sont représentées en traits pleins.</w:t>
      </w:r>
    </w:p>
    <w:p>
      <w:pPr>
        <w:spacing w:lineRule="auto"/>
        <w:jc w:val="center"/>
      </w:pPr>
      <w:r>
        <w:rPr/>
        <w:drawing>
          <wp:inline distB="0" distL="0" distR="0" distT="0">
            <wp:extent cx="5486400" cy="5421307"/>
            <wp:effectExtent b="0" l="0" r="0" t="0"/>
            <wp:docPr id="7" name="image-0fc8339d5a0aef3c33042c4f14e069a1c7560f22.jpg"/>
            <a:graphic>
              <a:graphicData uri="http://schemas.openxmlformats.org/drawingml/2006/picture">
                <pic:pic>
                  <pic:nvPicPr>
                    <pic:cNvPr id="7" name="image-0fc8339d5a0aef3c33042c4f14e069a1c7560f22.jpg" descr=""/>
                    <pic:cNvPicPr/>
                  </pic:nvPicPr>
                  <pic:blipFill>
                    <a:blip r:embed="rId11" cstate="print"/>
                    <a:srcRect b="0" l="0" r="0" t="0"/>
                    <a:stretch>
                      <a:fillRect/>
                    </a:stretch>
                  </pic:blipFill>
                  <pic:spPr>
                    <a:xfrm>
                      <a:off x="0" y="0"/>
                      <a:ext cx="5486400" cy="5421307"/>
                    </a:xfrm>
                    <a:prstGeom prst="rect"/>
                  </pic:spPr>
                </pic:pic>
              </a:graphicData>
            </a:graphic>
          </wp:inline>
        </w:drawing>
      </w:r>
    </w:p>
    <w:p>
      <w:pPr>
        <w:spacing w:lineRule="auto"/>
      </w:pPr>
      <w:r>
        <w:rPr>
          <w:rFonts w:eastAsia="Georgia" w:cs="Georgia" w:ascii="Georgia" w:hAnsi="Georgia"/>
        </w:rPr>
        <w:t xml:space="preserve">Figure 7 - Allure des lignes de champ créées par une paire de spires du stator</w:t>
      </w:r>
    </w:p>
    <w:p>
      <w:pPr>
        <w:spacing w:after="220" w:lineRule="auto"/>
      </w:pPr>
      <w:r>
        <w:rPr>
          <w:rFonts w:eastAsia="Georgia" w:cs="Georgia" w:ascii="Georgia" w:hAnsi="Georgia"/>
        </w:rPr>
        <w:t xml:space="preserve">Q23. Reproduire rapidement sur votre copie cette figure avec quelques lignes de champ et représenter leur orientation en supposant </w:t>
      </w:r>
      <m:oMath>
        <m:r>
          <m:rPr>
            <m:sty m:val="i"/>
          </m:rPr>
          <m:t>i</m:t>
        </m:r>
        <m:r>
          <m:rPr>
            <m:sty m:val="p"/>
          </m:rPr>
          <m:t>&gt;</m:t>
        </m:r>
        <m:r>
          <m:rPr>
            <m:sty m:val="p"/>
          </m:rPr>
          <m:t>0</m:t>
        </m:r>
      </m:oMath>
      <w:r>
        <w:rPr>
          <w:rFonts w:eastAsia="Georgia" w:cs="Georgia" w:ascii="Georgia" w:hAnsi="Georgia"/>
        </w:rPr>
        <w:t xml:space="preserve">. On constate que sur certaines zones, les lignes de champ s'éloignent les unes des autres, et que dans d'autres zones, elles se rapprochent les unes des autres. Que peut-on en déduire dans chaque cas? Justifier la réponse.</w:t>
      </w:r>
    </w:p>
    <w:p>
      <w:pPr>
        <w:spacing w:after="220" w:lineRule="auto"/>
      </w:pPr>
      <w:r>
        <w:rPr/>
        <w:t xml:space="preserve">Q24. Pour cette simulation, on a pris </w:t>
      </w:r>
      <m:oMath>
        <m:r>
          <m:rPr>
            <m:sty m:val="i"/>
          </m:rPr>
          <m:t>i</m:t>
        </m:r>
        <m:r>
          <m:rPr>
            <m:sty m:val="p"/>
          </m:rPr>
          <m:t>=</m:t>
        </m:r>
        <m:r>
          <m:rPr>
            <m:sty m:val="p"/>
          </m:rPr>
          <m:t>1</m:t>
        </m:r>
        <m:r>
          <m:rPr>
            <m:sty m:val="p"/>
          </m:rPr>
          <m:t>,</m:t>
        </m:r>
        <m:r>
          <m:rPr>
            <m:sty m:val="p"/>
          </m:rPr>
          <m:t>0</m:t>
        </m:r>
        <m:r>
          <m:rPr>
            <m:sty m:val="p"/>
          </m:rPr>
          <m:t>×</m:t>
        </m:r>
        <m:sSup>
          <m:sSupPr/>
          <m:e>
            <m:r>
              <m:rPr>
                <m:sty m:val="p"/>
              </m:rPr>
              <m:t>10</m:t>
            </m:r>
          </m:e>
          <m:sup>
            <m:r>
              <m:rPr>
                <m:sty m:val="p"/>
              </m:rPr>
              <m:t>3</m:t>
            </m:r>
          </m:sup>
        </m:sSup>
        <m:r>
          <m:rPr>
            <m:nor/>
          </m:rPr>
          <m:t xml:space="preserve"> </m:t>
        </m:r>
        <m:r>
          <m:rPr>
            <m:sty m:val="p"/>
          </m:rPr>
          <m:t>A</m:t>
        </m:r>
      </m:oMath>
      <w:r>
        <w:rPr>
          <w:rFonts w:eastAsia="Georgia" w:cs="Georgia" w:ascii="Georgia" w:hAnsi="Georgia"/>
        </w:rPr>
        <w:t xml:space="preserve">. Déterminer la valeur numérique de </w:t>
      </w:r>
      <m:oMath>
        <m:sSub>
          <m:sSubPr/>
          <m:e>
            <m:r>
              <m:rPr>
                <m:nor/>
              </m:rPr>
              <m:t>∮</m:t>
            </m:r>
            <m:r>
              <m:rPr>
                <m:sty m:val="p"/>
              </m:rPr>
              <m:t xml:space="preserve"> </m:t>
            </m:r>
          </m:e>
          <m:sub>
            <m:r>
              <m:rPr>
                <m:scr m:val="script"/>
              </m:rPr>
              <m:t>C</m:t>
            </m:r>
          </m:sub>
        </m:sSub>
        <m:acc>
          <m:accPr>
            <m:chr m:val="⃗"/>
          </m:accPr>
          <m:e>
            <m:r>
              <m:rPr>
                <m:sty m:val="i"/>
              </m:rPr>
              <m:t>B</m:t>
            </m:r>
          </m:e>
        </m:acc>
        <m:r>
          <m:rPr>
            <m:sty m:val="p"/>
          </m:rPr>
          <m:t>⋅</m:t>
        </m:r>
        <m:acc>
          <m:accPr>
            <m:chr m:val="⃗"/>
          </m:accPr>
          <m:e>
            <m:r>
              <m:rPr>
                <m:sty m:val="i"/>
              </m:rPr>
              <m:t>d</m:t>
            </m:r>
            <m:r>
              <m:rPr>
                <m:sty m:val="i"/>
              </m:rPr>
              <m:t>ℓ</m:t>
            </m:r>
          </m:e>
        </m:acc>
      </m:oMath>
      <w:r>
        <w:rPr/>
        <w:t xml:space="preserve"> le long de la courbe </w:t>
      </w:r>
      <m:oMath>
        <m:r>
          <m:rPr>
            <m:scr m:val="script"/>
          </m:rPr>
          <m:t>C</m:t>
        </m:r>
      </m:oMath>
      <w:r>
        <w:rPr>
          <w:rFonts w:eastAsia="Georgia" w:cs="Georgia" w:ascii="Georgia" w:hAnsi="Georgia"/>
        </w:rPr>
        <w:t xml:space="preserve"> représentée avec son orientation sur le schéma en pointillés.</w:t>
      </w:r>
    </w:p>
    <w:p>
      <w:pPr>
        <w:spacing w:after="220" w:lineRule="auto"/>
      </w:pPr>
      <w:r>
        <w:rPr>
          <w:rFonts w:eastAsia="Georgia" w:cs="Georgia" w:ascii="Georgia" w:hAnsi="Georgia"/>
        </w:rPr>
        <w:t xml:space="preserve">On donne sur la figure 8 une configuration simplifiée de la polarité de trois paires de spires du stator vues de dessus et d'un aimant permanent du train, en fonction de la position </w:t>
      </w:r>
      <m:oMath>
        <m:r>
          <m:rPr>
            <m:sty m:val="i"/>
          </m:rPr>
          <m:t>x</m:t>
        </m:r>
      </m:oMath>
      <w:r>
        <w:rPr>
          <w:rFonts w:eastAsia="Georgia" w:cs="Georgia" w:ascii="Georgia" w:hAnsi="Georgia"/>
        </w:rPr>
        <w:t xml:space="preserve"> de l'aimant définie sur le schéma.</w:t>
      </w:r>
    </w:p>
    <w:p>
      <w:pPr>
        <w:spacing w:lineRule="auto"/>
        <w:jc w:val="center"/>
      </w:pPr>
      <w:r>
        <w:rPr/>
        <w:drawing>
          <wp:inline distB="0" distL="0" distR="0" distT="0">
            <wp:extent cx="5486400" cy="2443472"/>
            <wp:effectExtent b="0" l="0" r="0" t="0"/>
            <wp:docPr id="8" name="image-4e1a47264e821e9ec95de6217612934376f15665.jpg"/>
            <a:graphic>
              <a:graphicData uri="http://schemas.openxmlformats.org/drawingml/2006/picture">
                <pic:pic>
                  <pic:nvPicPr>
                    <pic:cNvPr id="8" name="image-4e1a47264e821e9ec95de6217612934376f15665.jpg" descr=""/>
                    <pic:cNvPicPr/>
                  </pic:nvPicPr>
                  <pic:blipFill>
                    <a:blip r:embed="rId12" cstate="print"/>
                    <a:srcRect b="0" l="0" r="0" t="0"/>
                    <a:stretch>
                      <a:fillRect/>
                    </a:stretch>
                  </pic:blipFill>
                  <pic:spPr>
                    <a:xfrm>
                      <a:off x="0" y="0"/>
                      <a:ext cx="5486400" cy="2443472"/>
                    </a:xfrm>
                    <a:prstGeom prst="rect"/>
                  </pic:spPr>
                </pic:pic>
              </a:graphicData>
            </a:graphic>
          </wp:inline>
        </w:drawing>
      </w:r>
    </w:p>
    <w:p>
      <w:pPr>
        <w:spacing w:lineRule="auto"/>
      </w:pPr>
      <w:r>
        <w:rPr>
          <w:rFonts w:eastAsia="Georgia" w:cs="Georgia" w:ascii="Georgia" w:hAnsi="Georgia"/>
        </w:rPr>
        <w:t xml:space="preserve">Figure 8 - Étude de l'interaction train/stator</w:t>
      </w:r>
    </w:p>
    <w:p>
      <w:pPr>
        <w:spacing w:after="220" w:lineRule="auto"/>
      </w:pPr>
      <w:r>
        <w:rPr>
          <w:rFonts w:eastAsia="Georgia" w:cs="Georgia" w:ascii="Georgia" w:hAnsi="Georgia"/>
        </w:rPr>
        <w:t xml:space="preserve">Q25. Identifier, parmi les profils d'énergie potentielle proposés sur la figure 8, lequel décrit le mieux l'interaction entre les spires et l'aimant représentés. Justifier précisément la réponse.</w:t>
      </w:r>
    </w:p>
    <w:p>
      <w:pPr>
        <w:spacing w:after="220" w:lineRule="auto"/>
      </w:pPr>
      <w:r>
        <w:rPr/>
        <w:t xml:space="preserve">Q26. On rappelle que le lien entre la force </w:t>
      </w:r>
      <m:oMath>
        <m:acc>
          <m:accPr>
            <m:chr m:val="⃗"/>
          </m:accPr>
          <m:e>
            <m:r>
              <m:rPr>
                <m:sty m:val="i"/>
              </m:rPr>
              <m:t>F</m:t>
            </m:r>
          </m:e>
        </m:acc>
      </m:oMath>
      <w:r>
        <w:rPr>
          <w:rFonts w:eastAsia="Georgia" w:cs="Georgia" w:ascii="Georgia" w:hAnsi="Georgia"/>
        </w:rPr>
        <w:t xml:space="preserve"> et l'énergie potentielle </w:t>
      </w:r>
      <m:oMath>
        <m:sSub>
          <m:sSubPr/>
          <m:e>
            <m:r>
              <m:rPr>
                <m:sty m:val="i"/>
              </m:rPr>
              <m:t>E</m:t>
            </m:r>
          </m:e>
          <m:sub>
            <m:r>
              <m:rPr>
                <m:sty m:val="i"/>
              </m:rPr>
              <m:t>p</m:t>
            </m:r>
          </m:sub>
        </m:sSub>
      </m:oMath>
      <w:r>
        <w:rPr>
          <w:rFonts w:eastAsia="Georgia" w:cs="Georgia" w:ascii="Georgia" w:hAnsi="Georgia"/>
        </w:rPr>
        <w:t xml:space="preserve"> est donnée par </w:t>
      </w:r>
      <m:oMath>
        <m:acc>
          <m:accPr>
            <m:chr m:val="⃗"/>
          </m:accPr>
          <m:e>
            <m:r>
              <m:rPr>
                <m:sty m:val="i"/>
              </m:rPr>
              <m:t>F</m:t>
            </m:r>
          </m:e>
        </m:acc>
        <m:r>
          <m:rPr>
            <m:sty m:val="p"/>
          </m:rPr>
          <m:t>=</m:t>
        </m:r>
        <m:r>
          <m:rPr>
            <m:sty m:val="p"/>
          </m:rPr>
          <m:t>−</m:t>
        </m:r>
        <m:acc>
          <m:accPr>
            <m:chr m:val="⃗"/>
          </m:accPr>
          <m:e>
            <m:r>
              <m:rPr>
                <m:sty m:val="p"/>
              </m:rPr>
              <m:t>grad</m:t>
            </m:r>
          </m:e>
        </m:acc>
        <m:d>
          <m:dPr>
            <m:begChr m:val="("/>
            <m:endChr m:val=")"/>
            <m:ctrlPr>
              <w:rPr>
                <w:rFonts w:ascii="Cambria Math" w:hAnsi="Cambria Math"/>
              </w:rPr>
            </m:ctrlPr>
          </m:dPr>
          <m:e>
            <m:sSub>
              <m:sSubPr/>
              <m:e>
                <m:r>
                  <m:rPr>
                    <m:sty m:val="i"/>
                  </m:rPr>
                  <m:t>E</m:t>
                </m:r>
              </m:e>
              <m:sub>
                <m:r>
                  <m:rPr>
                    <m:sty m:val="i"/>
                  </m:rPr>
                  <m:t>p</m:t>
                </m:r>
              </m:sub>
            </m:sSub>
          </m:e>
        </m:d>
      </m:oMath>
      <w:r>
        <w:rPr>
          <w:rFonts w:eastAsia="Georgia" w:cs="Georgia" w:ascii="Georgia" w:hAnsi="Georgia"/>
        </w:rPr>
        <w:t xml:space="preserve">. En vous basant sur le profil choisi, expliquer où positionner l'aimant par rapport aux spires pour obtenir une force maximale sur l'aimant dirigée vers la droite. On pourra répondre par un schéma simple.</w:t>
      </w:r>
    </w:p>
    <w:p>
      <w:pPr>
        <w:spacing w:after="220" w:lineRule="auto"/>
      </w:pPr>
      <w:r>
        <w:rPr>
          <w:rFonts w:eastAsia="Georgia" w:cs="Georgia" w:ascii="Georgia" w:hAnsi="Georgia"/>
        </w:rPr>
        <w:t xml:space="preserve">Le rôle du circuit de contrôle du moteur linéaire synchrone est alors de générer un champ d'énergie potentielle glissant qui va maintenir sur les aimants du train une force toujours dirigée vers la droite pendant la phase d'accélération.</w:t>
      </w:r>
    </w:p>
    <w:p>
      <w:pPr>
        <w:spacing w:after="220" w:lineRule="auto"/>
      </w:pPr>
      <w:r>
        <w:rPr>
          <w:rFonts w:eastAsia="Georgia" w:cs="Georgia" w:ascii="Georgia" w:hAnsi="Georgia"/>
        </w:rPr>
        <w:t xml:space="preserve">Q27. Expliquer comment le système de contrôle de l'alimentation des différentes spires du stator peut permettre de réaliser ceci. Justifier la nécessité d'une rétroaction pour ce système, et préciser comment celle-ci peut être réalisée.</w:t>
      </w:r>
    </w:p>
    <w:p>
      <w:pPr>
        <w:spacing w:after="220" w:lineRule="auto"/>
      </w:pPr>
      <w:r>
        <w:rPr>
          <w:rFonts w:eastAsia="Georgia" w:cs="Georgia" w:ascii="Georgia" w:hAnsi="Georgia"/>
        </w:rPr>
        <w:t xml:space="preserve">Les bobines des modules de lancement dégagent beaucoup d'énergie par effet Joule. Pour garantir un bon fonctionnement du dispositif, il est impératif que ces modules puissent se refroidir suffisamment entre deux départs. On s'intéresse ici à une méthode de refroidissement passive.</w:t>
      </w:r>
      <w:r>
        <w:rPr/>
        <w:br w:type="textWrapping"/>
      </w:r>
      <w:r>
        <w:rPr>
          <w:rFonts w:eastAsia="Georgia" w:cs="Georgia" w:ascii="Georgia" w:hAnsi="Georgia"/>
        </w:rPr>
        <w:t xml:space="preserve">On modélise un module de lancement par une plaque en acier non magnétique dont les dimensions sont précisées sur la figure 9 et les propriétés (masse volumique </w:t>
      </w:r>
      <m:oMath>
        <m:sSub>
          <m:sSubPr/>
          <m:e>
            <m:r>
              <m:rPr>
                <m:sty m:val="i"/>
              </m:rPr>
              <m:t>ρ</m:t>
            </m:r>
          </m:e>
          <m:sub>
            <m:r>
              <m:rPr>
                <m:sty m:val="i"/>
              </m:rPr>
              <m:t>a</m:t>
            </m:r>
          </m:sub>
        </m:sSub>
      </m:oMath>
      <w:r>
        <w:rPr>
          <w:rFonts w:eastAsia="Georgia" w:cs="Georgia" w:ascii="Georgia" w:hAnsi="Georgia"/>
        </w:rPr>
        <w:t xml:space="preserve">, capacité thermique massique </w:t>
      </w:r>
      <m:oMath>
        <m:sSub>
          <m:sSubPr/>
          <m:e>
            <m:r>
              <m:rPr>
                <m:sty m:val="i"/>
              </m:rPr>
              <m:t>c</m:t>
            </m:r>
          </m:e>
          <m:sub>
            <m:r>
              <m:rPr>
                <m:sty m:val="i"/>
              </m:rPr>
              <m:t>m</m:t>
            </m:r>
            <m:r>
              <m:rPr>
                <m:sty m:val="p"/>
              </m:rPr>
              <m:t>,</m:t>
            </m:r>
            <m:r>
              <m:rPr>
                <m:sty m:val="i"/>
              </m:rPr>
              <m:t>a</m:t>
            </m:r>
          </m:sub>
        </m:sSub>
      </m:oMath>
      <w:r>
        <w:rPr>
          <w:rFonts w:eastAsia="Georgia" w:cs="Georgia" w:ascii="Georgia" w:hAnsi="Georgia"/>
        </w:rPr>
        <w:t xml:space="preserve"> ) sont précisées à la fin du sujet. Juste après le lancer, la plaque possède une température </w:t>
      </w:r>
      <m:oMath>
        <m:sSub>
          <m:sSubPr/>
          <m:e>
            <m:r>
              <m:rPr>
                <m:sty m:val="i"/>
              </m:rPr>
              <m:t>T</m:t>
            </m:r>
          </m:e>
          <m:sub>
            <m:r>
              <m:rPr>
                <m:nor/>
              </m:rPr>
              <m:t>plaque </m:t>
            </m:r>
          </m:sub>
        </m:sSub>
        <m:r>
          <m:rPr>
            <m:sty m:val="p"/>
          </m:rPr>
          <m:t>(</m:t>
        </m:r>
        <m:r>
          <m:rPr>
            <m:sty m:val="i"/>
          </m:rPr>
          <m:t>t</m:t>
        </m:r>
        <m:r>
          <m:rPr>
            <m:sty m:val="p"/>
          </m:rPr>
          <m:t>=</m:t>
        </m:r>
        <m:r>
          <m:rPr>
            <m:sty m:val="p"/>
          </m:rPr>
          <m:t>0</m:t>
        </m:r>
        <m:r>
          <m:rPr>
            <m:sty m:val="p"/>
          </m:rPr>
          <m:t>)</m:t>
        </m:r>
        <m:r>
          <m:rPr>
            <m:sty m:val="p"/>
          </m:rPr>
          <m:t>=</m:t>
        </m:r>
        <m:sSub>
          <m:sSubPr/>
          <m:e>
            <m:r>
              <m:rPr>
                <m:sty m:val="i"/>
              </m:rPr>
              <m:t>T</m:t>
            </m:r>
          </m:e>
          <m:sub>
            <m:r>
              <m:rPr>
                <m:sty m:val="p"/>
              </m:rPr>
              <m:t>0</m:t>
            </m:r>
          </m:sub>
        </m:sSub>
      </m:oMath>
      <w:r>
        <w:rPr>
          <w:rFonts w:eastAsia="Georgia" w:cs="Georgia" w:ascii="Georgia" w:hAnsi="Georgia"/>
        </w:rPr>
        <w:t xml:space="preserve"> élevée et supposée uniforme. On suppose que les échanges thermiques entre la plaque et l'air sont de nature conducto-convective, et obéissent à la loi de Newton:</w:t>
      </w:r>
    </w:p>
    <w:p>
      <w:pPr>
        <w:spacing w:after="220" w:lineRule="auto"/>
      </w:pPr>
      <m:oMathPara>
        <m:oMath>
          <m:sSub>
            <m:sSubPr/>
            <m:e>
              <m:r>
                <m:rPr>
                  <m:sty m:val="i"/>
                </m:rPr>
                <m:t>φ</m:t>
              </m:r>
            </m:e>
            <m:sub>
              <m:r>
                <m:rPr>
                  <m:nor/>
                </m:rPr>
                <m:t>plaque </m:t>
              </m:r>
              <m:r>
                <m:rPr>
                  <m:sty m:val="p"/>
                </m:rPr>
                <m:t>→</m:t>
              </m:r>
              <m:r>
                <m:rPr>
                  <m:nor/>
                </m:rPr>
                <m:t> air </m:t>
              </m:r>
            </m:sub>
          </m:sSub>
          <m:r>
            <m:rPr>
              <m:sty m:val="p"/>
            </m:rPr>
            <m:t>=</m:t>
          </m:r>
          <m:r>
            <m:rPr>
              <m:sty m:val="i"/>
            </m:rPr>
            <m:t>h</m:t>
          </m:r>
          <m:d>
            <m:dPr>
              <m:begChr m:val="("/>
              <m:endChr m:val=")"/>
              <m:ctrlPr>
                <w:rPr>
                  <w:rFonts w:ascii="Cambria Math" w:hAnsi="Cambria Math"/>
                </w:rPr>
              </m:ctrlPr>
            </m:dPr>
            <m:e>
              <m:sSub>
                <m:sSubPr/>
                <m:e>
                  <m:r>
                    <m:rPr>
                      <m:sty m:val="i"/>
                    </m:rPr>
                    <m:t>T</m:t>
                  </m:r>
                </m:e>
                <m:sub>
                  <m:r>
                    <m:rPr>
                      <m:nor/>
                    </m:rPr>
                    <m:t>plaque </m:t>
                  </m:r>
                </m:sub>
              </m:sSub>
              <m:r>
                <m:rPr>
                  <m:sty m:val="p"/>
                </m:rPr>
                <m:t>(</m:t>
              </m:r>
              <m:r>
                <m:rPr>
                  <m:sty m:val="i"/>
                </m:rPr>
                <m:t>t</m:t>
              </m:r>
              <m:r>
                <m:rPr>
                  <m:sty m:val="p"/>
                </m:rPr>
                <m:t>)</m:t>
              </m:r>
              <m:r>
                <m:rPr>
                  <m:sty m:val="p"/>
                </m:rPr>
                <m:t>−</m:t>
              </m:r>
              <m:sSub>
                <m:sSubPr/>
                <m:e>
                  <m:r>
                    <m:rPr>
                      <m:sty m:val="i"/>
                    </m:rPr>
                    <m:t>T</m:t>
                  </m:r>
                </m:e>
                <m:sub>
                  <m:r>
                    <m:rPr>
                      <m:nor/>
                    </m:rPr>
                    <m:t>air </m:t>
                  </m:r>
                </m:sub>
              </m:sSub>
            </m:e>
          </m:d>
        </m:oMath>
      </m:oMathPara>
    </w:p>
    <w:p>
      <w:pPr>
        <w:spacing w:after="220" w:lineRule="auto"/>
      </w:pPr>
      <w:r>
        <w:rPr>
          <w:rFonts w:eastAsia="Georgia" w:cs="Georgia" w:ascii="Georgia" w:hAnsi="Georgia"/>
        </w:rPr>
        <w:t xml:space="preserve">où </w:t>
      </w:r>
      <m:oMath>
        <m:sSub>
          <m:sSubPr/>
          <m:e>
            <m:r>
              <m:rPr>
                <m:sty m:val="i"/>
              </m:rPr>
              <m:t>φ</m:t>
            </m:r>
          </m:e>
          <m:sub>
            <m:r>
              <m:rPr>
                <m:nor/>
              </m:rPr>
              <m:t>plaque </m:t>
            </m:r>
            <m:r>
              <m:rPr>
                <m:sty m:val="p"/>
              </m:rPr>
              <m:t>→</m:t>
            </m:r>
            <m:r>
              <m:rPr>
                <m:nor/>
              </m:rPr>
              <m:t> air </m:t>
            </m:r>
          </m:sub>
        </m:sSub>
        <m:r>
          <m:rPr>
            <m:sty m:val="p"/>
          </m:rPr>
          <m:t>(</m:t>
        </m:r>
        <m:r>
          <m:rPr>
            <m:sty m:val="i"/>
          </m:rPr>
          <m:t>t</m:t>
        </m:r>
        <m:r>
          <m:rPr>
            <m:sty m:val="p"/>
          </m:rPr>
          <m:t>)</m:t>
        </m:r>
      </m:oMath>
      <w:r>
        <w:rPr>
          <w:rFonts w:eastAsia="Georgia" w:cs="Georgia" w:ascii="Georgia" w:hAnsi="Georgia"/>
        </w:rPr>
        <w:t xml:space="preserve"> est la puissance thermique évacuée vers l'air par unité de surface. On suppose également que la température de la plaque reste parfaitement uniforme au cours de son refroidissement, et on néglige les échanges thermiques par conduction entre la plaque et son support.</w:t>
      </w:r>
    </w:p>
    <w:p>
      <w:pPr>
        <w:spacing w:lineRule="auto"/>
        <w:jc w:val="center"/>
      </w:pPr>
      <w:r>
        <w:rPr/>
        <w:drawing>
          <wp:inline distB="0" distL="0" distR="0" distT="0">
            <wp:extent cx="5486400" cy="3075874"/>
            <wp:effectExtent b="0" l="0" r="0" t="0"/>
            <wp:docPr id="9" name="image-2e3bbf47f4d14a044d9693b310739caa238581d2.jpg"/>
            <a:graphic>
              <a:graphicData uri="http://schemas.openxmlformats.org/drawingml/2006/picture">
                <pic:pic>
                  <pic:nvPicPr>
                    <pic:cNvPr id="9" name="image-2e3bbf47f4d14a044d9693b310739caa238581d2.jpg" descr=""/>
                    <pic:cNvPicPr/>
                  </pic:nvPicPr>
                  <pic:blipFill>
                    <a:blip r:embed="rId13" cstate="print"/>
                    <a:srcRect b="0" l="0" r="0" t="0"/>
                    <a:stretch>
                      <a:fillRect/>
                    </a:stretch>
                  </pic:blipFill>
                  <pic:spPr>
                    <a:xfrm>
                      <a:off x="0" y="0"/>
                      <a:ext cx="5486400" cy="3075874"/>
                    </a:xfrm>
                    <a:prstGeom prst="rect"/>
                  </pic:spPr>
                </pic:pic>
              </a:graphicData>
            </a:graphic>
          </wp:inline>
        </w:drawing>
      </w:r>
    </w:p>
    <w:p>
      <w:pPr>
        <w:spacing w:lineRule="auto"/>
      </w:pPr>
      <w:r>
        <w:rPr/>
        <w:t xml:space="preserve">Figure 9 - Une plaque du stator</w:t>
      </w:r>
    </w:p>
    <w:p>
      <w:pPr>
        <w:spacing w:after="220" w:lineRule="auto"/>
      </w:pPr>
      <w:r>
        <w:rPr>
          <w:rFonts w:eastAsia="Georgia" w:cs="Georgia" w:ascii="Georgia" w:hAnsi="Georgia"/>
        </w:rPr>
        <w:t xml:space="preserve">Q28. Montrer qu'on peut modéliser les échanges thermiques entre les cinq surfaces de la plaque en contact avec l'air et l'air par une résistance thermique </w:t>
      </w:r>
      <m:oMath>
        <m:sSub>
          <m:sSubPr/>
          <m:e>
            <m:r>
              <m:rPr>
                <m:sty m:val="i"/>
              </m:rPr>
              <m:t>R</m:t>
            </m:r>
          </m:e>
          <m:sub>
            <m:r>
              <m:rPr>
                <m:sty m:val="i"/>
              </m:rPr>
              <m:t>t</m:t>
            </m:r>
            <m:r>
              <m:rPr>
                <m:sty m:val="i"/>
              </m:rPr>
              <m:t>h</m:t>
            </m:r>
          </m:sub>
        </m:sSub>
      </m:oMath>
      <w:r>
        <w:rPr/>
        <w:t xml:space="preserve">, dont on donnera l'expression en fonction de </w:t>
      </w:r>
      <m:oMath>
        <m:r>
          <m:rPr>
            <m:sty m:val="i"/>
          </m:rPr>
          <m:t>h</m:t>
        </m:r>
      </m:oMath>
      <w:r>
        <w:rPr>
          <w:rFonts w:eastAsia="Georgia" w:cs="Georgia" w:ascii="Georgia" w:hAnsi="Georgia"/>
        </w:rPr>
        <w:t xml:space="preserve"> et des paramètres géométriques de la plaque. Simplifier l'expression en comparant les valeurs numériques des différentes surfaces (on utilisera cette expression simplifiée dans la suite).</w:t>
      </w:r>
    </w:p>
    <w:p>
      <w:pPr>
        <w:spacing w:after="220" w:lineRule="auto"/>
      </w:pPr>
      <w:r>
        <w:rPr>
          <w:rFonts w:eastAsia="Georgia" w:cs="Georgia" w:ascii="Georgia" w:hAnsi="Georgia"/>
        </w:rPr>
        <w:t xml:space="preserve">Q29. En effectuant un bilan thermique à la plaque, établir l'équation différentielle vérifiée par </w:t>
      </w:r>
      <m:oMath>
        <m:sSub>
          <m:sSubPr/>
          <m:e>
            <m:r>
              <m:rPr>
                <m:sty m:val="i"/>
              </m:rPr>
              <m:t>T</m:t>
            </m:r>
          </m:e>
          <m:sub>
            <m:r>
              <m:rPr>
                <m:nor/>
              </m:rPr>
              <m:t>plaque </m:t>
            </m:r>
          </m:sub>
        </m:sSub>
        <m:r>
          <m:rPr>
            <m:sty m:val="p"/>
          </m:rPr>
          <m:t>(</m:t>
        </m:r>
        <m:r>
          <m:rPr>
            <m:sty m:val="i"/>
          </m:rPr>
          <m:t>t</m:t>
        </m:r>
        <m:r>
          <m:rPr>
            <m:sty m:val="p"/>
          </m:rPr>
          <m:t>)</m:t>
        </m:r>
      </m:oMath>
      <w:r>
        <w:rPr>
          <w:rFonts w:eastAsia="Georgia" w:cs="Georgia" w:ascii="Georgia" w:hAnsi="Georgia"/>
        </w:rPr>
        <w:t xml:space="preserve">. Définir le temps caractéristique d'évolution de la température de la plaque en fonction de </w:t>
      </w:r>
      <m:oMath>
        <m:sSub>
          <m:sSubPr/>
          <m:e>
            <m:r>
              <m:rPr>
                <m:sty m:val="i"/>
              </m:rPr>
              <m:t>ρ</m:t>
            </m:r>
          </m:e>
          <m:sub>
            <m:r>
              <m:rPr>
                <m:sty m:val="i"/>
              </m:rPr>
              <m:t>a</m:t>
            </m:r>
          </m:sub>
        </m:sSub>
        <m:r>
          <m:rPr>
            <m:sty m:val="p"/>
          </m:rPr>
          <m:t>,</m:t>
        </m:r>
        <m:sSub>
          <m:sSubPr/>
          <m:e>
            <m:r>
              <m:rPr>
                <m:sty m:val="i"/>
              </m:rPr>
              <m:t>c</m:t>
            </m:r>
          </m:e>
          <m:sub>
            <m:r>
              <m:rPr>
                <m:sty m:val="i"/>
              </m:rPr>
              <m:t>m</m:t>
            </m:r>
            <m:r>
              <m:rPr>
                <m:sty m:val="p"/>
              </m:rPr>
              <m:t>,</m:t>
            </m:r>
            <m:r>
              <m:rPr>
                <m:sty m:val="i"/>
              </m:rPr>
              <m:t>a</m:t>
            </m:r>
          </m:sub>
        </m:sSub>
        <m:r>
          <m:rPr>
            <m:sty m:val="p"/>
          </m:rPr>
          <m:t>,</m:t>
        </m:r>
        <m:r>
          <m:rPr>
            <m:sty m:val="i"/>
          </m:rPr>
          <m:t>h</m:t>
        </m:r>
      </m:oMath>
      <w:r>
        <w:rPr/>
        <w:t xml:space="preserve"> et </w:t>
      </w:r>
      <m:oMath>
        <m:r>
          <m:rPr>
            <m:sty m:val="i"/>
          </m:rPr>
          <m:t>e</m:t>
        </m:r>
      </m:oMath>
      <w:r>
        <w:rPr>
          <w:rFonts w:eastAsia="Georgia" w:cs="Georgia" w:ascii="Georgia" w:hAnsi="Georgia"/>
        </w:rPr>
        <w:t xml:space="preserve">, et faire l'application numérique pour celui-ci.</w:t>
      </w:r>
    </w:p>
    <w:p>
      <w:pPr>
        <w:spacing w:after="220" w:lineRule="auto"/>
      </w:pPr>
      <w:r>
        <w:rPr>
          <w:rFonts w:eastAsia="Georgia" w:cs="Georgia" w:ascii="Georgia" w:hAnsi="Georgia"/>
        </w:rPr>
        <w:t xml:space="preserve">Q30. Établir l'expression littérale de </w:t>
      </w:r>
      <m:oMath>
        <m:sSub>
          <m:sSubPr/>
          <m:e>
            <m:r>
              <m:rPr>
                <m:sty m:val="i"/>
              </m:rPr>
              <m:t>T</m:t>
            </m:r>
          </m:e>
          <m:sub>
            <m:r>
              <m:rPr>
                <m:nor/>
              </m:rPr>
              <m:t>plaque </m:t>
            </m:r>
          </m:sub>
        </m:sSub>
        <m:r>
          <m:rPr>
            <m:sty m:val="p"/>
          </m:rPr>
          <m:t>(</m:t>
        </m:r>
        <m:r>
          <m:rPr>
            <m:sty m:val="i"/>
          </m:rPr>
          <m:t>t</m:t>
        </m:r>
        <m:r>
          <m:rPr>
            <m:sty m:val="p"/>
          </m:rPr>
          <m:t>)</m:t>
        </m:r>
      </m:oMath>
      <w:r>
        <w:rPr/>
        <w:t xml:space="preserve"> et tracer son allure.</w:t>
      </w:r>
      <w:r>
        <w:rPr/>
        <w:br w:type="textWrapping"/>
      </w:r>
      <w:r>
        <w:rPr>
          <w:rFonts w:eastAsia="Georgia" w:cs="Georgia" w:ascii="Georgia" w:hAnsi="Georgia"/>
        </w:rPr>
        <w:t xml:space="preserve">Q31. Juste après un lancer, on a </w:t>
      </w:r>
      <m:oMath>
        <m:sSub>
          <m:sSubPr/>
          <m:e>
            <m:r>
              <m:rPr>
                <m:sty m:val="i"/>
              </m:rPr>
              <m:t>T</m:t>
            </m:r>
          </m:e>
          <m:sub>
            <m:r>
              <m:rPr>
                <m:nor/>
              </m:rPr>
              <m:t>plaque </m:t>
            </m:r>
          </m:sub>
        </m:sSub>
        <m:r>
          <m:rPr>
            <m:sty m:val="p"/>
          </m:rPr>
          <m:t>(</m:t>
        </m:r>
        <m:r>
          <m:rPr>
            <m:sty m:val="i"/>
          </m:rPr>
          <m:t>t</m:t>
        </m:r>
        <m:r>
          <m:rPr>
            <m:sty m:val="p"/>
          </m:rPr>
          <m:t>=</m:t>
        </m:r>
        <m:r>
          <m:rPr>
            <m:sty m:val="p"/>
          </m:rPr>
          <m:t>0</m:t>
        </m:r>
        <m:r>
          <m:rPr>
            <m:sty m:val="p"/>
          </m:rPr>
          <m:t>)</m:t>
        </m:r>
        <m:r>
          <m:rPr>
            <m:sty m:val="p"/>
          </m:rPr>
          <m:t>=</m:t>
        </m:r>
        <m:sSub>
          <m:sSubPr/>
          <m:e>
            <m:r>
              <m:rPr>
                <m:sty m:val="i"/>
              </m:rPr>
              <m:t>T</m:t>
            </m:r>
          </m:e>
          <m:sub>
            <m:r>
              <m:rPr>
                <m:sty m:val="p"/>
              </m:rPr>
              <m:t>0</m:t>
            </m:r>
          </m:sub>
        </m:sSub>
        <m:r>
          <m:rPr>
            <m:sty m:val="p"/>
          </m:rPr>
          <m:t>=</m:t>
        </m:r>
        <m:r>
          <m:rPr>
            <m:sty m:val="p"/>
          </m:rPr>
          <m:t>50</m:t>
        </m:r>
        <m:sSup>
          <m:sSupPr/>
          <m:e>
            <m:r>
              <m:t xml:space="preserve"> </m:t>
            </m:r>
          </m:e>
          <m:sup>
            <m:r>
              <m:rPr>
                <m:sty m:val="p"/>
              </m:rPr>
              <m:t>∘</m:t>
            </m:r>
          </m:sup>
        </m:sSup>
        <m:r>
          <m:rPr>
            <m:sty m:val="p"/>
          </m:rPr>
          <m:t>C</m:t>
        </m:r>
      </m:oMath>
      <w:r>
        <w:rPr>
          <w:rFonts w:eastAsia="Georgia" w:cs="Georgia" w:ascii="Georgia" w:hAnsi="Georgia"/>
        </w:rPr>
        <w:t xml:space="preserve">. Quelle est la température de la plaque juste avant le départ suivant? En déduire littéralement et numériquement l'énergie thermique maximale que le système de propulsion magnétique peut céder à cette plaque au départ suivant pour que la plaque ne dépasse pas la température de </w:t>
      </w:r>
      <m:oMath>
        <m:sSub>
          <m:sSubPr/>
          <m:e>
            <m:r>
              <m:rPr>
                <m:sty m:val="i"/>
              </m:rPr>
              <m:t>T</m:t>
            </m:r>
          </m:e>
          <m:sub>
            <m:r>
              <m:rPr>
                <m:sty m:val="p"/>
              </m:rPr>
              <m:t>0</m:t>
            </m:r>
          </m:sub>
        </m:sSub>
      </m:oMath>
      <w:r>
        <w:rPr>
          <w:rFonts w:eastAsia="Georgia" w:cs="Georgia" w:ascii="Georgia" w:hAnsi="Georgia"/>
        </w:rPr>
        <w:t xml:space="preserve"> après ce second lancer. On prendra </w:t>
      </w:r>
      <m:oMath>
        <m:sSub>
          <m:sSubPr/>
          <m:e>
            <m:r>
              <m:rPr>
                <m:sty m:val="i"/>
              </m:rPr>
              <m:t>T</m:t>
            </m:r>
          </m:e>
          <m:sub>
            <m:r>
              <m:rPr>
                <m:nor/>
              </m:rPr>
              <m:t>air </m:t>
            </m:r>
          </m:sub>
        </m:sSub>
        <m:r>
          <m:rPr>
            <m:sty m:val="p"/>
          </m:rPr>
          <m:t>=</m:t>
        </m:r>
        <m:sSup>
          <m:sSupPr/>
          <m:e>
            <m:r>
              <m:rPr>
                <m:sty m:val="p"/>
              </m:rPr>
              <m:t>20</m:t>
            </m:r>
          </m:e>
          <m:sup>
            <m:r>
              <m:rPr>
                <m:sty m:val="p"/>
              </m:rPr>
              <m:t>∘</m:t>
            </m:r>
          </m:sup>
        </m:sSup>
        <m:r>
          <m:rPr>
            <m:sty m:val="p"/>
          </m:rPr>
          <m:t>C</m:t>
        </m:r>
      </m:oMath>
      <w:r>
        <w:rPr/>
        <w:t xml:space="preserve">.</w:t>
      </w:r>
    </w:p>
    <w:p>
      <w:pPr>
        <w:spacing w:line="271" w:before="330" w:lineRule="auto"/>
      </w:pPr>
      <w:r>
        <w:rPr>
          <w:b/>
          <w:sz w:val="42"/>
        </w:rPr>
        <w:t xml:space="preserve">II - Quelques mouvements</w:t>
      </w:r>
    </w:p>
    <w:p>
      <w:pPr>
        <w:spacing w:after="220" w:lineRule="auto"/>
      </w:pPr>
      <w:r>
        <w:rPr>
          <w:rFonts w:eastAsia="Georgia" w:cs="Georgia" w:ascii="Georgia" w:hAnsi="Georgia"/>
        </w:rPr>
        <w:t xml:space="preserve">Une fois accéléré, le train aborde la première figure, représentée sur la figure 10 :</w:t>
      </w:r>
    </w:p>
    <w:p>
      <w:pPr>
        <w:spacing w:lineRule="auto"/>
        <w:jc w:val="center"/>
      </w:pPr>
      <w:r>
        <w:rPr/>
        <w:drawing>
          <wp:inline distB="0" distL="0" distR="0" distT="0">
            <wp:extent cx="5486400" cy="3145244"/>
            <wp:effectExtent b="0" l="0" r="0" t="0"/>
            <wp:docPr id="10" name="image-fd460dd4123cd25b64fdf3afe35dbf6d74115374.jpg"/>
            <a:graphic>
              <a:graphicData uri="http://schemas.openxmlformats.org/drawingml/2006/picture">
                <pic:pic>
                  <pic:nvPicPr>
                    <pic:cNvPr id="10" name="image-fd460dd4123cd25b64fdf3afe35dbf6d74115374.jpg" descr=""/>
                    <pic:cNvPicPr/>
                  </pic:nvPicPr>
                  <pic:blipFill>
                    <a:blip r:embed="rId14" cstate="print"/>
                    <a:srcRect b="0" l="0" r="0" t="0"/>
                    <a:stretch>
                      <a:fillRect/>
                    </a:stretch>
                  </pic:blipFill>
                  <pic:spPr>
                    <a:xfrm>
                      <a:off x="0" y="0"/>
                      <a:ext cx="5486400" cy="3145244"/>
                    </a:xfrm>
                    <a:prstGeom prst="rect"/>
                  </pic:spPr>
                </pic:pic>
              </a:graphicData>
            </a:graphic>
          </wp:inline>
        </w:drawing>
      </w:r>
    </w:p>
    <w:p>
      <w:pPr>
        <w:spacing w:lineRule="auto"/>
      </w:pPr>
      <w:r>
        <w:rPr>
          <w:rFonts w:eastAsia="Georgia" w:cs="Georgia" w:ascii="Georgia" w:hAnsi="Georgia"/>
        </w:rPr>
        <w:t xml:space="preserve">Figure 10 - La première figure : le «fer à cheval»</w:t>
      </w:r>
    </w:p>
    <w:p>
      <w:pPr>
        <w:spacing w:after="220" w:lineRule="auto"/>
      </w:pPr>
      <w:r>
        <w:rPr>
          <w:rFonts w:eastAsia="Georgia" w:cs="Georgia" w:ascii="Georgia" w:hAnsi="Georgia"/>
        </w:rPr>
        <w:t xml:space="preserve">Q32. En vous appuyant sur les informations à votre disposition dans les données en fin d'énoncé, justifier clairement que le train peut a priori franchir cette première figure. On explicitera les hypothèses adoptées et les lois utilisées.</w:t>
      </w:r>
    </w:p>
    <w:p>
      <w:pPr>
        <w:spacing w:after="220" w:lineRule="auto"/>
      </w:pPr>
      <w:r>
        <w:rPr>
          <w:rFonts w:eastAsia="Georgia" w:cs="Georgia" w:ascii="Georgia" w:hAnsi="Georgia"/>
        </w:rPr>
        <w:t xml:space="preserve">Juste après cette première figure, le train aborde un looping. On cherche à estimer à l'aide d'un modèle le temps mis par le train pour effectuer le looping. Pour cela, on va réduire l'étude du mouvement du train à celui de son centre de gravité, et on modélisera sa trajectoire par une trajectoire circulaire de rayon </w:t>
      </w:r>
      <m:oMath>
        <m:r>
          <m:rPr>
            <m:sty m:val="i"/>
          </m:rPr>
          <m:t>R</m:t>
        </m:r>
      </m:oMath>
      <w:r>
        <w:rPr>
          <w:rFonts w:eastAsia="Georgia" w:cs="Georgia" w:ascii="Georgia" w:hAnsi="Georgia"/>
        </w:rPr>
        <w:t xml:space="preserve">. Cela revient donc à étudier le mouvement d'un point matériel </w:t>
      </w:r>
      <m:oMath>
        <m:r>
          <m:rPr>
            <m:sty m:val="i"/>
          </m:rPr>
          <m:t>M</m:t>
        </m:r>
      </m:oMath>
      <w:r>
        <w:rPr/>
        <w:t xml:space="preserve"> confondu avec </w:t>
      </w:r>
      <m:oMath>
        <m:r>
          <m:rPr>
            <m:sty m:val="i"/>
          </m:rPr>
          <m:t>G</m:t>
        </m:r>
      </m:oMath>
      <w:r>
        <w:rPr>
          <w:rFonts w:eastAsia="Georgia" w:cs="Georgia" w:ascii="Georgia" w:hAnsi="Georgia"/>
        </w:rPr>
        <w:t xml:space="preserve">. On suppose dans ce modèle que l'action des rails sur </w:t>
      </w:r>
      <m:oMath>
        <m:r>
          <m:rPr>
            <m:sty m:val="i"/>
          </m:rPr>
          <m:t>M</m:t>
        </m:r>
      </m:oMath>
      <w:r>
        <w:rPr>
          <w:rFonts w:eastAsia="Georgia" w:cs="Georgia" w:ascii="Georgia" w:hAnsi="Georgia"/>
        </w:rPr>
        <w:t xml:space="preserve"> est normale aux rails pendant tout le mouvement, et on négligera tous les frottements. Au moment d'aborder le looping, le train possède la vitesse </w:t>
      </w:r>
      <m:oMath>
        <m:sSub>
          <m:sSubPr/>
          <m:e>
            <m:r>
              <m:rPr>
                <m:sty m:val="i"/>
              </m:rPr>
              <m:t>v</m:t>
            </m:r>
          </m:e>
          <m:sub>
            <m:r>
              <m:rPr>
                <m:sty m:val="p"/>
              </m:rPr>
              <m:t>0</m:t>
            </m:r>
          </m:sub>
        </m:sSub>
        <m:r>
          <m:rPr>
            <m:sty m:val="p"/>
          </m:rPr>
          <m:t>=</m:t>
        </m:r>
        <m:r>
          <m:rPr>
            <m:sty m:val="p"/>
          </m:rPr>
          <m:t>27</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orientée comme sur la figure 11 . On prendra </w:t>
      </w:r>
      <m:oMath>
        <m:r>
          <m:rPr>
            <m:sty m:val="i"/>
          </m:rPr>
          <m:t>θ</m:t>
        </m:r>
        <m:r>
          <m:rPr>
            <m:sty m:val="p"/>
          </m:rPr>
          <m:t>(</m:t>
        </m:r>
        <m:r>
          <m:rPr>
            <m:sty m:val="i"/>
          </m:rPr>
          <m:t>t</m:t>
        </m:r>
        <m:r>
          <m:rPr>
            <m:sty m:val="p"/>
          </m:rPr>
          <m:t>=</m:t>
        </m:r>
        <m:r>
          <m:rPr>
            <m:sty m:val="p"/>
          </m:rPr>
          <m:t>0</m:t>
        </m:r>
        <m:r>
          <m:rPr>
            <m:sty m:val="p"/>
          </m:rPr>
          <m:t>)</m:t>
        </m:r>
        <m:r>
          <m:rPr>
            <m:sty m:val="p"/>
          </m:rPr>
          <m:t>=</m:t>
        </m:r>
        <m:r>
          <m:rPr>
            <m:sty m:val="p"/>
          </m:rPr>
          <m:t>0</m:t>
        </m:r>
      </m:oMath>
      <w:r>
        <w:rPr/>
        <w:t xml:space="preserve">.</w:t>
      </w:r>
    </w:p>
    <w:p>
      <w:pPr>
        <w:spacing w:lineRule="auto"/>
        <w:jc w:val="center"/>
      </w:pPr>
      <w:r>
        <w:rPr/>
        <w:drawing>
          <wp:inline distB="0" distL="0" distR="0" distT="0">
            <wp:extent cx="5486400" cy="2163292"/>
            <wp:effectExtent b="0" l="0" r="0" t="0"/>
            <wp:docPr id="11" name="image-8a3bdfaa990080dcbf5ccc24111d889cc598eb49.jpg"/>
            <a:graphic>
              <a:graphicData uri="http://schemas.openxmlformats.org/drawingml/2006/picture">
                <pic:pic>
                  <pic:nvPicPr>
                    <pic:cNvPr id="11" name="image-8a3bdfaa990080dcbf5ccc24111d889cc598eb49.jpg" descr=""/>
                    <pic:cNvPicPr/>
                  </pic:nvPicPr>
                  <pic:blipFill>
                    <a:blip r:embed="rId15" cstate="print"/>
                    <a:srcRect b="0" l="0" r="0" t="0"/>
                    <a:stretch>
                      <a:fillRect/>
                    </a:stretch>
                  </pic:blipFill>
                  <pic:spPr>
                    <a:xfrm>
                      <a:off x="0" y="0"/>
                      <a:ext cx="5486400" cy="2163292"/>
                    </a:xfrm>
                    <a:prstGeom prst="rect"/>
                  </pic:spPr>
                </pic:pic>
              </a:graphicData>
            </a:graphic>
          </wp:inline>
        </w:drawing>
      </w:r>
    </w:p>
    <w:p>
      <w:pPr>
        <w:spacing w:lineRule="auto"/>
      </w:pPr>
      <w:r>
        <w:rPr>
          <w:rFonts w:eastAsia="Georgia" w:cs="Georgia" w:ascii="Georgia" w:hAnsi="Georgia"/>
        </w:rPr>
        <w:t xml:space="preserve">Figure 11 - Paramétrage du mouvement pour le looping</w:t>
      </w:r>
    </w:p>
    <w:p>
      <w:pPr>
        <w:spacing w:after="220" w:lineRule="auto"/>
      </w:pPr>
      <w:r>
        <w:rPr>
          <w:rFonts w:eastAsia="Georgia" w:cs="Georgia" w:ascii="Georgia" w:hAnsi="Georgia"/>
        </w:rPr>
        <w:t xml:space="preserve">Q33. Reproduire le schéma simplifié du looping sur votre copie, et y représenter en </w:t>
      </w:r>
      <m:oMath>
        <m:r>
          <m:rPr>
            <m:sty m:val="i"/>
          </m:rPr>
          <m:t>M</m:t>
        </m:r>
      </m:oMath>
      <w:r>
        <w:rPr/>
        <w:t xml:space="preserve"> la base polaire </w:t>
      </w:r>
      <m:oMath>
        <m:d>
          <m:dPr>
            <m:begChr m:val="("/>
            <m:endChr m:val=")"/>
            <m:ctrlPr>
              <w:rPr>
                <w:rFonts w:ascii="Cambria Math" w:hAnsi="Cambria Math"/>
              </w:rPr>
            </m:ctrlPr>
          </m:dPr>
          <m:e>
            <m:acc>
              <m:accPr>
                <m:chr m:val="⃗"/>
              </m:accPr>
              <m:e>
                <m:sSub>
                  <m:sSubPr/>
                  <m:e>
                    <m:r>
                      <m:rPr>
                        <m:sty m:val="i"/>
                      </m:rPr>
                      <m:t>e</m:t>
                    </m:r>
                  </m:e>
                  <m:sub>
                    <m:r>
                      <m:rPr>
                        <m:sty m:val="i"/>
                      </m:rPr>
                      <m:t>r</m:t>
                    </m:r>
                  </m:sub>
                </m:sSub>
              </m:e>
            </m:acc>
            <m:r>
              <m:rPr>
                <m:sty m:val="p"/>
              </m:rPr>
              <m:t>,</m:t>
            </m:r>
            <m:acc>
              <m:accPr>
                <m:chr m:val="⃗"/>
              </m:accPr>
              <m:e>
                <m:sSub>
                  <m:sSubPr/>
                  <m:e>
                    <m:r>
                      <m:rPr>
                        <m:sty m:val="i"/>
                      </m:rPr>
                      <m:t>e</m:t>
                    </m:r>
                  </m:e>
                  <m:sub>
                    <m:r>
                      <m:rPr>
                        <m:sty m:val="i"/>
                      </m:rPr>
                      <m:t>θ</m:t>
                    </m:r>
                  </m:sub>
                </m:sSub>
              </m:e>
            </m:acc>
          </m:e>
        </m:d>
      </m:oMath>
      <w:r>
        <w:rPr>
          <w:rFonts w:eastAsia="Georgia" w:cs="Georgia" w:ascii="Georgia" w:hAnsi="Georgia"/>
        </w:rPr>
        <w:t xml:space="preserve">. Établir l'expression du vecteur accélération de </w:t>
      </w:r>
      <m:oMath>
        <m:r>
          <m:rPr>
            <m:sty m:val="i"/>
          </m:rPr>
          <m:t>M</m:t>
        </m:r>
      </m:oMath>
      <w:r>
        <w:rPr/>
        <w:t xml:space="preserve"> dans la base polaire ( </w:t>
      </w:r>
      <m:oMath>
        <m:acc>
          <m:accPr>
            <m:chr m:val="⃗"/>
          </m:accPr>
          <m:e>
            <m:sSub>
              <m:sSubPr/>
              <m:e>
                <m:r>
                  <m:rPr>
                    <m:sty m:val="i"/>
                  </m:rPr>
                  <m:t>e</m:t>
                </m:r>
              </m:e>
              <m:sub>
                <m:r>
                  <m:rPr>
                    <m:sty m:val="i"/>
                  </m:rPr>
                  <m:t>r</m:t>
                </m:r>
              </m:sub>
            </m:sSub>
          </m:e>
        </m:acc>
        <m:r>
          <m:rPr>
            <m:sty m:val="p"/>
          </m:rPr>
          <m:t>,</m:t>
        </m:r>
        <m:acc>
          <m:accPr>
            <m:chr m:val="⃗"/>
          </m:accPr>
          <m:e>
            <m:sSub>
              <m:sSubPr/>
              <m:e>
                <m:r>
                  <m:rPr>
                    <m:sty m:val="i"/>
                  </m:rPr>
                  <m:t>e</m:t>
                </m:r>
              </m:e>
              <m:sub>
                <m:r>
                  <m:rPr>
                    <m:sty m:val="i"/>
                  </m:rPr>
                  <m:t>θ</m:t>
                </m:r>
              </m:sub>
            </m:sSub>
          </m:e>
        </m:acc>
      </m:oMath>
      <w:r>
        <w:rPr/>
        <w:t xml:space="preserve"> ). On l'exprimera en fonction de </w:t>
      </w:r>
      <m:oMath>
        <m:r>
          <m:rPr>
            <m:sty m:val="i"/>
          </m:rPr>
          <m:t>v</m:t>
        </m:r>
        <m:r>
          <m:rPr>
            <m:sty m:val="p"/>
          </m:rPr>
          <m:t>=</m:t>
        </m:r>
        <m:r>
          <m:rPr>
            <m:sty m:val="p"/>
          </m:rPr>
          <m:t>‖</m:t>
        </m:r>
        <m:acc>
          <m:accPr>
            <m:chr m:val="⃗"/>
          </m:accPr>
          <m:e>
            <m:r>
              <m:rPr>
                <m:sty m:val="i"/>
              </m:rPr>
              <m:t>v</m:t>
            </m:r>
          </m:e>
        </m:acc>
        <m:r>
          <m:rPr>
            <m:sty m:val="p"/>
          </m:rPr>
          <m:t>‖</m:t>
        </m:r>
      </m:oMath>
      <w:r>
        <w:rPr/>
        <w:t xml:space="preserve">, </w:t>
      </w:r>
      <m:oMath>
        <m:acc>
          <m:accPr>
            <m:chr m:val="˙"/>
          </m:accPr>
          <m:e>
            <m:r>
              <m:rPr>
                <m:sty m:val="i"/>
              </m:rPr>
              <m:t>v</m:t>
            </m:r>
          </m:e>
        </m:acc>
      </m:oMath>
      <w:r>
        <w:rPr/>
        <w:t xml:space="preserve"> et </w:t>
      </w:r>
      <m:oMath>
        <m:r>
          <m:rPr>
            <m:sty m:val="i"/>
          </m:rPr>
          <m:t>R</m:t>
        </m:r>
      </m:oMath>
      <w:r>
        <w:rPr/>
        <w:t xml:space="preserve">.</w:t>
      </w:r>
    </w:p>
    <w:p>
      <w:pPr>
        <w:spacing w:after="220" w:lineRule="auto"/>
      </w:pPr>
      <w:r>
        <w:rPr>
          <w:rFonts w:eastAsia="Georgia" w:cs="Georgia" w:ascii="Georgia" w:hAnsi="Georgia"/>
        </w:rPr>
        <w:t xml:space="preserve">Q34. Sur le schéma de la question précédente, représenter qualitativement le vecteur accélération de </w:t>
      </w:r>
      <m:oMath>
        <m:r>
          <m:rPr>
            <m:sty m:val="i"/>
          </m:rPr>
          <m:t>M</m:t>
        </m:r>
      </m:oMath>
      <w:r>
        <w:rPr/>
        <w:t xml:space="preserve"> pour </w:t>
      </w:r>
      <m:oMath>
        <m:r>
          <m:rPr>
            <m:sty m:val="i"/>
          </m:rPr>
          <m:t>θ</m:t>
        </m:r>
        <m:r>
          <m:rPr>
            <m:sty m:val="p"/>
          </m:rPr>
          <m:t>=</m:t>
        </m:r>
        <m:f>
          <m:fPr>
            <m:ctrlPr>
              <w:rPr>
                <w:rFonts w:ascii="Cambria Math" w:hAnsi="Cambria Math"/>
              </w:rPr>
            </m:ctrlPr>
          </m:fPr>
          <m:num>
            <m:r>
              <m:rPr>
                <m:sty m:val="i"/>
              </m:rPr>
              <m:t>π</m:t>
            </m:r>
          </m:num>
          <m:den>
            <m:r>
              <m:rPr>
                <m:sty m:val="p"/>
              </m:rPr>
              <m:t>2</m:t>
            </m:r>
          </m:den>
        </m:f>
      </m:oMath>
      <w:r>
        <w:rPr/>
        <w:t xml:space="preserve">, </w:t>
      </w:r>
      <m:oMath>
        <m:r>
          <m:rPr>
            <m:sty m:val="i"/>
          </m:rPr>
          <m:t>θ</m:t>
        </m:r>
        <m:r>
          <m:rPr>
            <m:sty m:val="p"/>
          </m:rPr>
          <m:t>=</m:t>
        </m:r>
        <m:r>
          <m:rPr>
            <m:sty m:val="i"/>
          </m:rPr>
          <m:t>π</m:t>
        </m:r>
      </m:oMath>
      <w:r>
        <w:rPr/>
        <w:t xml:space="preserve"> et </w:t>
      </w:r>
      <m:oMath>
        <m:r>
          <m:rPr>
            <m:sty m:val="i"/>
          </m:rPr>
          <m:t>θ</m:t>
        </m:r>
        <m:r>
          <m:rPr>
            <m:sty m:val="p"/>
          </m:rPr>
          <m:t>=</m:t>
        </m:r>
        <m:f>
          <m:fPr>
            <m:ctrlPr>
              <w:rPr>
                <w:rFonts w:ascii="Cambria Math" w:hAnsi="Cambria Math"/>
              </w:rPr>
            </m:ctrlPr>
          </m:fPr>
          <m:num>
            <m:r>
              <m:rPr>
                <m:sty m:val="p"/>
              </m:rPr>
              <m:t>3</m:t>
            </m:r>
            <m:r>
              <m:rPr>
                <m:sty m:val="i"/>
              </m:rPr>
              <m:t>π</m:t>
            </m:r>
          </m:num>
          <m:den>
            <m:r>
              <m:rPr>
                <m:sty m:val="p"/>
              </m:rPr>
              <m:t>2</m:t>
            </m:r>
          </m:den>
        </m:f>
      </m:oMath>
      <w:r>
        <w:rPr/>
        <w:t xml:space="preserve">. On justifiera la construction.</w:t>
      </w:r>
    </w:p>
    <w:p>
      <w:pPr>
        <w:spacing w:after="220" w:lineRule="auto"/>
      </w:pPr>
      <w:r>
        <w:rPr>
          <w:rFonts w:eastAsia="Georgia" w:cs="Georgia" w:ascii="Georgia" w:hAnsi="Georgia"/>
        </w:rPr>
        <w:t xml:space="preserve">Q35. Établir l'équation différentielle liant </w:t>
      </w:r>
      <m:oMath>
        <m:acc>
          <m:accPr>
            <m:chr m:val="¨"/>
          </m:accPr>
          <m:e>
            <m:r>
              <m:rPr>
                <m:sty m:val="i"/>
              </m:rPr>
              <m:t>θ</m:t>
            </m:r>
          </m:e>
        </m:acc>
      </m:oMath>
      <w:r>
        <w:rPr>
          <w:rFonts w:eastAsia="Georgia" w:cs="Georgia" w:ascii="Georgia" w:hAnsi="Georgia"/>
        </w:rPr>
        <w:t xml:space="preserve"> à </w:t>
      </w:r>
      <m:oMath>
        <m:r>
          <m:rPr>
            <m:sty m:val="i"/>
          </m:rPr>
          <m:t>g</m:t>
        </m:r>
        <m:r>
          <m:rPr>
            <m:sty m:val="p"/>
          </m:rPr>
          <m:t>,</m:t>
        </m:r>
        <m:r>
          <m:rPr>
            <m:sty m:val="i"/>
          </m:rPr>
          <m:t>R</m:t>
        </m:r>
      </m:oMath>
      <w:r>
        <w:rPr/>
        <w:t xml:space="preserve"> et </w:t>
      </w:r>
      <m:oMath>
        <m:r>
          <m:rPr>
            <m:sty m:val="i"/>
          </m:rPr>
          <m:t>θ</m:t>
        </m:r>
      </m:oMath>
      <w:r>
        <w:rPr>
          <w:rFonts w:eastAsia="Georgia" w:cs="Georgia" w:ascii="Georgia" w:hAnsi="Georgia"/>
        </w:rPr>
        <w:t xml:space="preserve"> au cours du looping. Peut-on déterminer </w:t>
      </w:r>
      <m:oMath>
        <m:r>
          <m:rPr>
            <m:sty m:val="i"/>
          </m:rPr>
          <m:t>θ</m:t>
        </m:r>
        <m:r>
          <m:rPr>
            <m:sty m:val="p"/>
          </m:rPr>
          <m:t>(</m:t>
        </m:r>
        <m:r>
          <m:rPr>
            <m:sty m:val="i"/>
          </m:rPr>
          <m:t>t</m:t>
        </m:r>
        <m:r>
          <m:rPr>
            <m:sty m:val="p"/>
          </m:rPr>
          <m:t>)</m:t>
        </m:r>
      </m:oMath>
      <w:r>
        <w:rPr>
          <w:rFonts w:eastAsia="Georgia" w:cs="Georgia" w:ascii="Georgia" w:hAnsi="Georgia"/>
        </w:rPr>
        <w:t xml:space="preserve"> de manière analytique (c'est-à-dire «à la main») facilement à partir de cette équation? Pourquoi?</w:t>
      </w:r>
    </w:p>
    <w:p>
      <w:pPr>
        <w:spacing w:after="220" w:lineRule="auto"/>
      </w:pPr>
      <w:r>
        <w:rPr>
          <w:rFonts w:eastAsia="Georgia" w:cs="Georgia" w:ascii="Georgia" w:hAnsi="Georgia"/>
        </w:rPr>
        <w:t xml:space="preserve">Pour estimer le temps nécessaire à la réalisation complète du looping, on propose de résoudre cette équation différentielle par un programme python utilisant la fonction odeint de la bibliothèque scipy.integrate dont la spécification simplifiée est fournie à la fin du sujet.</w:t>
      </w:r>
    </w:p>
    <w:p>
      <w:pPr>
        <w:pStyle w:val="SourceCode"/>
        <w:shd w:val="clear" w:fill="F8F8FA"/>
        <w:spacing w:lineRule="auto"/>
      </w:pPr>
      <w:r>
        <w:rPr>
          <w:rStyle w:val="VerbatimChar"/>
          <w:rFonts w:eastAsia="Consolas" w:cs="Consolas" w:ascii="Consolas" w:hAnsi="Consolas"/>
        </w:rPr>
        <w:t xml:space="preserve">import numpy as np</w:t>
        <w:br/>
        <w:t xml:space="preserve">from scipy.integrate import odeint</w:t>
        <w:br/>
        <w:t xml:space="preserve">R=15 #Rayon en m</w:t>
        <w:br/>
        <w:t xml:space="preserve">g=9.81 #accélération de la pesanteur en m/s ^2</w:t>
        <w:br/>
        <w:t xml:space="preserve">v0=27 #vitesse initiale en m/s</w:t>
        <w:br/>
        <w:t xml:space="preserve">tabt=np.linspace(0,8,1000) #tableau des temps</w:t>
        <w:br/>
        <w:t xml:space="preserve">def derivee(X,t):</w:t>
        <w:br/>
        <w:t xml:space="preserve">    return ...</w:t>
        <w:br/>
        <w:t xml:space="preserve">theta0=0 #Angle initial</w:t>
        <w:br/>
        <w:t xml:space="preserve">dthetaO=... #Vitesse angulaire initiale</w:t>
        <w:br/>
        <w:t xml:space="preserve">res=odeint (...)</w:t>
        <w:br/>
        <w:t xml:space="preserve"/>
      </w:r>
    </w:p>
    <w:p>
      <w:pPr>
        <w:spacing w:after="220" w:lineRule="auto"/>
      </w:pPr>
      <w:r>
        <w:rPr>
          <w:rFonts w:eastAsia="Georgia" w:cs="Georgia" w:ascii="Georgia" w:hAnsi="Georgia"/>
        </w:rPr>
        <w:t xml:space="preserve">Q36. Recopier en les complétant sur votre copie les lignes à partir de la ligne 9 pour que le programme calcule et affecte à res la solution de l'équation différentielle déterminée à la question précédente.</w:t>
      </w:r>
    </w:p>
    <w:p>
      <w:pPr>
        <w:spacing w:after="220" w:lineRule="auto"/>
      </w:pPr>
      <w:r>
        <w:rPr>
          <w:rFonts w:eastAsia="Georgia" w:cs="Georgia" w:ascii="Georgia" w:hAnsi="Georgia"/>
        </w:rPr>
        <w:t xml:space="preserve">En exécutant ce programme, on obtient le graphe suivant pour </w:t>
      </w:r>
      <m:oMath>
        <m:r>
          <m:rPr>
            <m:sty m:val="i"/>
          </m:rPr>
          <m:t>θ</m:t>
        </m:r>
        <m:r>
          <m:rPr>
            <m:sty m:val="p"/>
          </m:rPr>
          <m:t>(</m:t>
        </m:r>
        <m:r>
          <m:rPr>
            <m:sty m:val="i"/>
          </m:rPr>
          <m:t>t</m:t>
        </m:r>
        <m:r>
          <m:rPr>
            <m:sty m:val="p"/>
          </m:rPr>
          <m:t>)</m:t>
        </m:r>
      </m:oMath>
      <w:r>
        <w:rPr/>
        <w:t xml:space="preserve"> :</w:t>
      </w:r>
    </w:p>
    <w:p>
      <w:pPr>
        <w:spacing w:lineRule="auto"/>
        <w:jc w:val="center"/>
      </w:pPr>
      <w:r>
        <w:rPr/>
        <w:drawing>
          <wp:inline distB="0" distL="0" distR="0" distT="0">
            <wp:extent cx="5486400" cy="4406926"/>
            <wp:effectExtent b="0" l="0" r="0" t="0"/>
            <wp:docPr id="12" name="image-accfd512fd91a8534b41e65715fed512ce2e736e.jpg"/>
            <a:graphic>
              <a:graphicData uri="http://schemas.openxmlformats.org/drawingml/2006/picture">
                <pic:pic>
                  <pic:nvPicPr>
                    <pic:cNvPr id="12" name="image-accfd512fd91a8534b41e65715fed512ce2e736e.jpg" descr=""/>
                    <pic:cNvPicPr/>
                  </pic:nvPicPr>
                  <pic:blipFill>
                    <a:blip r:embed="rId16" cstate="print"/>
                    <a:srcRect b="0" l="0" r="0" t="0"/>
                    <a:stretch>
                      <a:fillRect/>
                    </a:stretch>
                  </pic:blipFill>
                  <pic:spPr>
                    <a:xfrm>
                      <a:off x="0" y="0"/>
                      <a:ext cx="5486400" cy="4406926"/>
                    </a:xfrm>
                    <a:prstGeom prst="rect"/>
                  </pic:spPr>
                </pic:pic>
              </a:graphicData>
            </a:graphic>
          </wp:inline>
        </w:drawing>
      </w:r>
    </w:p>
    <w:p>
      <w:pPr>
        <w:spacing w:lineRule="auto"/>
      </w:pPr>
      <w:r>
        <w:rPr/>
        <w:t xml:space="preserve">Figure 12 - Courbe de </w:t>
      </w:r>
      <m:oMath>
        <m:r>
          <m:rPr>
            <m:sty m:val="i"/>
          </m:rPr>
          <m:t>θ</m:t>
        </m:r>
        <m:r>
          <m:rPr>
            <m:sty m:val="p"/>
          </m:rPr>
          <m:t>(</m:t>
        </m:r>
        <m:r>
          <m:rPr>
            <m:sty m:val="i"/>
          </m:rPr>
          <m:t>t</m:t>
        </m:r>
        <m:r>
          <m:rPr>
            <m:sty m:val="p"/>
          </m:rPr>
          <m:t>)</m:t>
        </m:r>
      </m:oMath>
      <w:r>
        <w:rPr>
          <w:rFonts w:eastAsia="Georgia" w:cs="Georgia" w:ascii="Georgia" w:hAnsi="Georgia"/>
        </w:rPr>
        <w:t xml:space="preserve"> obtenue par simulation numérique</w:t>
      </w:r>
    </w:p>
    <w:p>
      <w:pPr>
        <w:spacing w:after="220" w:lineRule="auto"/>
      </w:pPr>
      <w:r>
        <w:rPr>
          <w:rFonts w:eastAsia="Georgia" w:cs="Georgia" w:ascii="Georgia" w:hAnsi="Georgia"/>
        </w:rPr>
        <w:t xml:space="preserve">Q37. En déduire la valeur numérique du temps nécessaire pour effectuer le looping.</w:t>
      </w:r>
    </w:p>
    <w:p>
      <w:pPr>
        <w:spacing w:line="271" w:before="330" w:lineRule="auto"/>
      </w:pPr>
      <w:r>
        <w:rPr>
          <w:rFonts w:eastAsia="Georgia" w:cs="Georgia" w:ascii="Georgia" w:hAnsi="Georgia"/>
          <w:b/>
          <w:sz w:val="42"/>
        </w:rPr>
        <w:t xml:space="preserve">Partie D - L'arrivée</w:t>
      </w:r>
    </w:p>
    <w:p>
      <w:pPr>
        <w:spacing w:after="220" w:lineRule="auto"/>
      </w:pPr>
      <w:r>
        <w:rPr>
          <w:rFonts w:eastAsia="Georgia" w:cs="Georgia" w:ascii="Georgia" w:hAnsi="Georgia"/>
        </w:rPr>
        <w:t xml:space="preserve">Lors de l'une des dernières figures, un appareil photographique numérique judicieusement placé prend des photos de chacune des voitures du train et de leurs passagers alors que le train est à grande vitesse. Les visiteurs peuvent ainsi acheter une photographie-souvenir de leur expérience dans le Blue Fire à la sortie.</w:t>
      </w:r>
    </w:p>
    <w:p>
      <w:pPr>
        <w:spacing w:lineRule="auto"/>
        <w:jc w:val="center"/>
      </w:pPr>
      <w:r>
        <w:rPr/>
        <w:drawing>
          <wp:inline distB="0" distL="0" distR="0" distT="0">
            <wp:extent cx="5486400" cy="4150760"/>
            <wp:effectExtent b="0" l="0" r="0" t="0"/>
            <wp:docPr id="13" name="image-96df83802967bdb63440dd449284ba24bde3f7d1.jpg"/>
            <a:graphic>
              <a:graphicData uri="http://schemas.openxmlformats.org/drawingml/2006/picture">
                <pic:pic>
                  <pic:nvPicPr>
                    <pic:cNvPr id="13" name="image-96df83802967bdb63440dd449284ba24bde3f7d1.jpg" descr=""/>
                    <pic:cNvPicPr/>
                  </pic:nvPicPr>
                  <pic:blipFill>
                    <a:blip r:embed="rId17" cstate="print"/>
                    <a:srcRect b="0" l="0" r="0" t="0"/>
                    <a:stretch>
                      <a:fillRect/>
                    </a:stretch>
                  </pic:blipFill>
                  <pic:spPr>
                    <a:xfrm>
                      <a:off x="0" y="0"/>
                      <a:ext cx="5486400" cy="4150760"/>
                    </a:xfrm>
                    <a:prstGeom prst="rect"/>
                  </pic:spPr>
                </pic:pic>
              </a:graphicData>
            </a:graphic>
          </wp:inline>
        </w:drawing>
      </w:r>
    </w:p>
    <w:p>
      <w:pPr>
        <w:spacing w:lineRule="auto"/>
      </w:pPr>
      <w:r>
        <w:rPr/>
        <w:t xml:space="preserve">Figure 13 - Un exemple de photo souvenir prise au cours du trajet</w:t>
      </w:r>
    </w:p>
    <w:p>
      <w:pPr>
        <w:spacing w:after="220" w:lineRule="auto"/>
      </w:pPr>
      <w:r>
        <w:rPr>
          <w:rFonts w:eastAsia="Georgia" w:cs="Georgia" w:ascii="Georgia" w:hAnsi="Georgia"/>
        </w:rPr>
        <w:t xml:space="preserve">L'objectif de l'appareil utilisé sera modélisé par une simple lentille mince convergente, de distance focale </w:t>
      </w:r>
      <m:oMath>
        <m:sSup>
          <m:sSupPr/>
          <m:e>
            <m:r>
              <m:rPr>
                <m:sty m:val="i"/>
              </m:rPr>
              <m:t>f</m:t>
            </m:r>
          </m:e>
          <m:sup>
            <m:r>
              <m:rPr>
                <m:sty m:val="i"/>
              </m:rPr>
              <m:t>′</m:t>
            </m:r>
          </m:sup>
        </m:sSup>
        <m:r>
          <m:rPr>
            <m:sty m:val="p"/>
          </m:rPr>
          <m:t>=</m:t>
        </m:r>
        <m:r>
          <m:rPr>
            <m:sty m:val="p"/>
          </m:rPr>
          <m:t>5</m:t>
        </m:r>
        <m:r>
          <m:rPr>
            <m:sty m:val="p"/>
          </m:rPr>
          <m:t>,</m:t>
        </m:r>
        <m:r>
          <m:rPr>
            <m:sty m:val="p"/>
          </m:rPr>
          <m:t>00</m:t>
        </m:r>
        <m:r>
          <m:rPr>
            <m:nor/>
          </m:rPr>
          <m:t xml:space="preserve"> </m:t>
        </m:r>
        <m:r>
          <m:rPr>
            <m:sty m:val="p"/>
          </m:rPr>
          <m:t>cm</m:t>
        </m:r>
      </m:oMath>
      <w:r>
        <w:rPr>
          <w:rFonts w:eastAsia="Georgia" w:cs="Georgia" w:ascii="Georgia" w:hAnsi="Georgia"/>
        </w:rPr>
        <w:t xml:space="preserve">. Il est situé à </w:t>
      </w:r>
      <m:oMath>
        <m:r>
          <m:rPr>
            <m:sty m:val="i"/>
          </m:rPr>
          <m:t>D</m:t>
        </m:r>
        <m:r>
          <m:rPr>
            <m:sty m:val="p"/>
          </m:rPr>
          <m:t>=</m:t>
        </m:r>
        <m:r>
          <m:rPr>
            <m:sty m:val="p"/>
          </m:rPr>
          <m:t>3</m:t>
        </m:r>
        <m:r>
          <m:rPr>
            <m:nor/>
          </m:rPr>
          <m:t xml:space="preserve"> </m:t>
        </m:r>
        <m:r>
          <m:rPr>
            <m:sty m:val="p"/>
          </m:rPr>
          <m:t>m</m:t>
        </m:r>
      </m:oMath>
      <w:r>
        <w:rPr>
          <w:rFonts w:eastAsia="Georgia" w:cs="Georgia" w:ascii="Georgia" w:hAnsi="Georgia"/>
        </w:rPr>
        <w:t xml:space="preserve"> du sujet à photographier au moment où la photographie est prise. Le capteur de l'appareil photographique, sur lequel se forme l'image, est une matrice rectangulaire de taille </w:t>
      </w:r>
      <m:oMath>
        <m:r>
          <m:rPr>
            <m:sty m:val="i"/>
          </m:rPr>
          <m:t>L</m:t>
        </m:r>
        <m:r>
          <m:rPr>
            <m:sty m:val="p"/>
          </m:rPr>
          <m:t>×</m:t>
        </m:r>
        <m:r>
          <m:rPr>
            <m:sty m:val="i"/>
          </m:rPr>
          <m:t>ℓ</m:t>
        </m:r>
      </m:oMath>
      <w:r>
        <w:rPr/>
        <w:t xml:space="preserve"> avec </w:t>
      </w:r>
      <m:oMath>
        <m:r>
          <m:rPr>
            <m:sty m:val="i"/>
          </m:rPr>
          <m:t>L</m:t>
        </m:r>
        <m:r>
          <m:rPr>
            <m:sty m:val="p"/>
          </m:rPr>
          <m:t>=</m:t>
        </m:r>
        <m:r>
          <m:rPr>
            <m:sty m:val="p"/>
          </m:rPr>
          <m:t>36</m:t>
        </m:r>
        <m:r>
          <m:rPr>
            <m:nor/>
          </m:rPr>
          <m:t xml:space="preserve"> </m:t>
        </m:r>
        <m:r>
          <m:rPr>
            <m:sty m:val="p"/>
          </m:rPr>
          <m:t>mm</m:t>
        </m:r>
      </m:oMath>
      <w:r>
        <w:rPr/>
        <w:t xml:space="preserve"> et </w:t>
      </w:r>
      <m:oMath>
        <m:r>
          <m:rPr>
            <m:sty m:val="i"/>
          </m:rPr>
          <m:t>ℓ</m:t>
        </m:r>
        <m:r>
          <m:rPr>
            <m:sty m:val="p"/>
          </m:rPr>
          <m:t>=</m:t>
        </m:r>
        <m:r>
          <m:rPr>
            <m:sty m:val="p"/>
          </m:rPr>
          <m:t>24</m:t>
        </m:r>
        <m:r>
          <m:rPr>
            <m:nor/>
          </m:rPr>
          <m:t xml:space="preserve"> </m:t>
        </m:r>
        <m:r>
          <m:rPr>
            <m:sty m:val="p"/>
          </m:rPr>
          <m:t>mm</m:t>
        </m:r>
      </m:oMath>
      <w:r>
        <w:rPr>
          <w:rFonts w:eastAsia="Georgia" w:cs="Georgia" w:ascii="Georgia" w:hAnsi="Georgia"/>
        </w:rPr>
        <w:t xml:space="preserve"> constituée de pixels carrés de taille </w:t>
      </w:r>
      <m:oMath>
        <m:r>
          <m:rPr>
            <m:sty m:val="i"/>
          </m:rPr>
          <m:t>a</m:t>
        </m:r>
      </m:oMath>
      <w:r>
        <w:rPr>
          <w:rFonts w:eastAsia="Georgia" w:cs="Georgia" w:ascii="Georgia" w:hAnsi="Georgia"/>
        </w:rPr>
        <w:t xml:space="preserve">. Le constructeur indique pour son capteur une résolution de 24 Mpixels.</w:t>
      </w:r>
      <w:r>
        <w:rPr/>
        <w:br w:type="textWrapping"/>
      </w:r>
      <w:r>
        <w:rPr>
          <w:rFonts w:eastAsia="Georgia" w:cs="Georgia" w:ascii="Georgia" w:hAnsi="Georgia"/>
        </w:rPr>
        <w:t xml:space="preserve">Pour décrire la situation, on se placera dans la configuration géométrique simplifiée suivante :</w:t>
      </w:r>
    </w:p>
    <w:p>
      <w:pPr>
        <w:spacing w:lineRule="auto"/>
        <w:jc w:val="center"/>
      </w:pPr>
      <w:r>
        <w:rPr/>
        <w:drawing>
          <wp:inline distB="0" distL="0" distR="0" distT="0">
            <wp:extent cx="5486400" cy="2339842"/>
            <wp:effectExtent b="0" l="0" r="0" t="0"/>
            <wp:docPr id="14" name="image-1dc50f1c2e05f85149ded341950f68926e548ae6.jpg"/>
            <a:graphic>
              <a:graphicData uri="http://schemas.openxmlformats.org/drawingml/2006/picture">
                <pic:pic>
                  <pic:nvPicPr>
                    <pic:cNvPr id="14" name="image-1dc50f1c2e05f85149ded341950f68926e548ae6.jpg" descr=""/>
                    <pic:cNvPicPr/>
                  </pic:nvPicPr>
                  <pic:blipFill>
                    <a:blip r:embed="rId18" cstate="print"/>
                    <a:srcRect b="0" l="0" r="0" t="0"/>
                    <a:stretch>
                      <a:fillRect/>
                    </a:stretch>
                  </pic:blipFill>
                  <pic:spPr>
                    <a:xfrm>
                      <a:off x="0" y="0"/>
                      <a:ext cx="5486400" cy="2339842"/>
                    </a:xfrm>
                    <a:prstGeom prst="rect"/>
                  </pic:spPr>
                </pic:pic>
              </a:graphicData>
            </a:graphic>
          </wp:inline>
        </w:drawing>
      </w:r>
    </w:p>
    <w:p>
      <w:pPr>
        <w:spacing w:lineRule="auto"/>
      </w:pPr>
      <w:r>
        <w:rPr>
          <w:rFonts w:eastAsia="Georgia" w:cs="Georgia" w:ascii="Georgia" w:hAnsi="Georgia"/>
        </w:rPr>
        <w:t xml:space="preserve">Figure 14 - Modèle simplifié de la prise d'une photographie</w:t>
      </w:r>
    </w:p>
    <w:p>
      <w:pPr>
        <w:spacing w:after="220" w:lineRule="auto"/>
      </w:pPr>
      <w:r>
        <w:rPr>
          <w:rFonts w:eastAsia="Georgia" w:cs="Georgia" w:ascii="Georgia" w:hAnsi="Georgia"/>
        </w:rPr>
        <w:t xml:space="preserve">On notera en particulier que, même si le déplacement réel du train n'est pas orthogonal à l'axe optique de l'objectif, on fait ici cette hypothèse pour simplifier la description optique de la situation. Lors de la prise de la photographie, la vitesse de train est de </w:t>
      </w:r>
      <m:oMath>
        <m:r>
          <m:rPr>
            <m:sty m:val="i"/>
          </m:rPr>
          <m:t>v</m:t>
        </m:r>
        <m:r>
          <m:rPr>
            <m:sty m:val="p"/>
          </m:rPr>
          <m:t>=</m:t>
        </m:r>
        <m:r>
          <m:rPr>
            <m:sty m:val="p"/>
          </m:rPr>
          <m:t>15</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t xml:space="preserve">.</w:t>
      </w:r>
    </w:p>
    <w:p>
      <w:pPr>
        <w:spacing w:after="220" w:lineRule="auto"/>
      </w:pPr>
      <w:r>
        <w:rPr/>
        <w:t xml:space="preserve">On rappelle la formule de conjugaison de Descartes pour une lentille mince : </w:t>
      </w:r>
      <m:oMath>
        <m:f>
          <m:fPr>
            <m:ctrlPr>
              <w:rPr>
                <w:rFonts w:ascii="Cambria Math" w:hAnsi="Cambria Math"/>
              </w:rPr>
            </m:ctrlPr>
          </m:fPr>
          <m:num>
            <m:r>
              <m:rPr>
                <m:sty m:val="p"/>
              </m:rPr>
              <m:t>1</m:t>
            </m:r>
          </m:num>
          <m:den>
            <m:bar>
              <m:barPr>
                <m:pos m:val="top"/>
              </m:barPr>
              <m:e>
                <m:r>
                  <m:rPr>
                    <m:sty m:val="i"/>
                  </m:rPr>
                  <m:t>O</m:t>
                </m:r>
                <m:sSup>
                  <m:sSupPr/>
                  <m:e>
                    <m:r>
                      <m:rPr>
                        <m:sty m:val="i"/>
                      </m:rPr>
                      <m:t>A</m:t>
                    </m:r>
                  </m:e>
                  <m:sup>
                    <m:r>
                      <m:rPr>
                        <m:sty m:val="i"/>
                      </m:rPr>
                      <m:t>′</m:t>
                    </m:r>
                  </m:sup>
                </m:sSup>
              </m:e>
            </m:bar>
          </m:den>
        </m:f>
        <m:r>
          <m:rPr>
            <m:sty m:val="p"/>
          </m:rPr>
          <m:t>−</m:t>
        </m:r>
        <m:f>
          <m:fPr>
            <m:ctrlPr>
              <w:rPr>
                <w:rFonts w:ascii="Cambria Math" w:hAnsi="Cambria Math"/>
              </w:rPr>
            </m:ctrlPr>
          </m:fPr>
          <m:num>
            <m:r>
              <m:rPr>
                <m:sty m:val="p"/>
              </m:rPr>
              <m:t>1</m:t>
            </m:r>
          </m:num>
          <m:den>
            <m:bar>
              <m:barPr>
                <m:pos m:val="top"/>
              </m:barPr>
              <m:e>
                <m:r>
                  <m:rPr>
                    <m:sty m:val="i"/>
                  </m:rPr>
                  <m:t>O</m:t>
                </m:r>
                <m:r>
                  <m:rPr>
                    <m:sty m:val="i"/>
                  </m:rPr>
                  <m:t>A</m:t>
                </m:r>
              </m:e>
            </m:bar>
          </m:den>
        </m:f>
        <m:r>
          <m:rPr>
            <m:sty m:val="p"/>
          </m:rPr>
          <m:t>=</m:t>
        </m:r>
        <m:f>
          <m:fPr>
            <m:ctrlPr>
              <w:rPr>
                <w:rFonts w:ascii="Cambria Math" w:hAnsi="Cambria Math"/>
              </w:rPr>
            </m:ctrlPr>
          </m:fPr>
          <m:num>
            <m:r>
              <m:rPr>
                <m:sty m:val="p"/>
              </m:rPr>
              <m:t>1</m:t>
            </m:r>
          </m:num>
          <m:den>
            <m:sSup>
              <m:sSupPr/>
              <m:e>
                <m:r>
                  <m:rPr>
                    <m:sty m:val="i"/>
                  </m:rPr>
                  <m:t>f</m:t>
                </m:r>
              </m:e>
              <m:sup>
                <m:r>
                  <m:rPr>
                    <m:sty m:val="i"/>
                  </m:rPr>
                  <m:t>′</m:t>
                </m:r>
              </m:sup>
            </m:sSup>
          </m:den>
        </m:f>
      </m:oMath>
      <w:r>
        <w:rPr>
          <w:rFonts w:eastAsia="Georgia" w:cs="Georgia" w:ascii="Georgia" w:hAnsi="Georgia"/>
        </w:rPr>
        <w:t xml:space="preserve"> ainsi que la formule de grandissement algébrique </w:t>
      </w:r>
      <m:oMath>
        <m:r>
          <m:rPr>
            <m:sty m:val="i"/>
          </m:rPr>
          <m:t>γ</m:t>
        </m:r>
        <m:r>
          <m:rPr>
            <m:sty m:val="p"/>
          </m:rPr>
          <m:t>=</m:t>
        </m:r>
        <m:f>
          <m:fPr>
            <m:ctrlPr>
              <w:rPr>
                <w:rFonts w:ascii="Cambria Math" w:hAnsi="Cambria Math"/>
              </w:rPr>
            </m:ctrlPr>
          </m:fPr>
          <m:num>
            <m:bar>
              <m:barPr>
                <m:pos m:val="top"/>
              </m:barPr>
              <m:e>
                <m:sSup>
                  <m:sSupPr/>
                  <m:e>
                    <m:r>
                      <m:rPr>
                        <m:sty m:val="i"/>
                      </m:rPr>
                      <m:t>A</m:t>
                    </m:r>
                  </m:e>
                  <m:sup>
                    <m:r>
                      <m:rPr>
                        <m:sty m:val="i"/>
                      </m:rPr>
                      <m:t>′</m:t>
                    </m:r>
                  </m:sup>
                </m:sSup>
                <m:sSup>
                  <m:sSupPr/>
                  <m:e>
                    <m:r>
                      <m:rPr>
                        <m:sty m:val="i"/>
                      </m:rPr>
                      <m:t>B</m:t>
                    </m:r>
                  </m:e>
                  <m:sup>
                    <m:r>
                      <m:rPr>
                        <m:sty m:val="i"/>
                      </m:rPr>
                      <m:t>′</m:t>
                    </m:r>
                  </m:sup>
                </m:sSup>
              </m:e>
            </m:bar>
          </m:num>
          <m:den>
            <m:bar>
              <m:barPr>
                <m:pos m:val="top"/>
              </m:barPr>
              <m:e>
                <m:r>
                  <m:rPr>
                    <m:sty m:val="i"/>
                  </m:rPr>
                  <m:t>A</m:t>
                </m:r>
                <m:r>
                  <m:rPr>
                    <m:sty m:val="i"/>
                  </m:rPr>
                  <m:t>B</m:t>
                </m:r>
              </m:e>
            </m:bar>
          </m:den>
        </m:f>
        <m:r>
          <m:rPr>
            <m:sty m:val="p"/>
          </m:rPr>
          <m:t>=</m:t>
        </m:r>
        <m:f>
          <m:fPr>
            <m:ctrlPr>
              <w:rPr>
                <w:rFonts w:ascii="Cambria Math" w:hAnsi="Cambria Math"/>
              </w:rPr>
            </m:ctrlPr>
          </m:fPr>
          <m:num>
            <m:bar>
              <m:barPr>
                <m:pos m:val="top"/>
              </m:barPr>
              <m:e>
                <m:r>
                  <m:rPr>
                    <m:sty m:val="i"/>
                  </m:rPr>
                  <m:t>O</m:t>
                </m:r>
                <m:sSup>
                  <m:sSupPr/>
                  <m:e>
                    <m:r>
                      <m:rPr>
                        <m:sty m:val="i"/>
                      </m:rPr>
                      <m:t>A</m:t>
                    </m:r>
                  </m:e>
                  <m:sup>
                    <m:r>
                      <m:rPr>
                        <m:sty m:val="i"/>
                      </m:rPr>
                      <m:t>′</m:t>
                    </m:r>
                  </m:sup>
                </m:sSup>
              </m:e>
            </m:bar>
          </m:num>
          <m:den>
            <m:bar>
              <m:barPr>
                <m:pos m:val="top"/>
              </m:barPr>
              <m:e>
                <m:r>
                  <m:rPr>
                    <m:sty m:val="i"/>
                  </m:rPr>
                  <m:t>O</m:t>
                </m:r>
                <m:r>
                  <m:rPr>
                    <m:sty m:val="i"/>
                  </m:rPr>
                  <m:t>A</m:t>
                </m:r>
              </m:e>
            </m:bar>
          </m:den>
        </m:f>
      </m:oMath>
      <w:r>
        <w:rPr>
          <w:rFonts w:eastAsia="Georgia" w:cs="Georgia" w:ascii="Georgia" w:hAnsi="Georgia"/>
        </w:rPr>
        <w:t xml:space="preserve">. Le schéma optique est représenté sur la figure 15 .</w:t>
      </w:r>
    </w:p>
    <w:p>
      <w:pPr>
        <w:spacing w:lineRule="auto"/>
        <w:jc w:val="center"/>
      </w:pPr>
      <w:r>
        <w:rPr/>
        <w:drawing>
          <wp:inline distB="0" distL="0" distR="0" distT="0">
            <wp:extent cx="5486400" cy="2122674"/>
            <wp:effectExtent b="0" l="0" r="0" t="0"/>
            <wp:docPr id="15" name="image-5a66bb7de1bf0819ca5d5c14c51db1b03746ea16.jpg"/>
            <a:graphic>
              <a:graphicData uri="http://schemas.openxmlformats.org/drawingml/2006/picture">
                <pic:pic>
                  <pic:nvPicPr>
                    <pic:cNvPr id="15" name="image-5a66bb7de1bf0819ca5d5c14c51db1b03746ea16.jpg" descr=""/>
                    <pic:cNvPicPr/>
                  </pic:nvPicPr>
                  <pic:blipFill>
                    <a:blip r:embed="rId19" cstate="print"/>
                    <a:srcRect b="0" l="0" r="0" t="0"/>
                    <a:stretch>
                      <a:fillRect/>
                    </a:stretch>
                  </pic:blipFill>
                  <pic:spPr>
                    <a:xfrm>
                      <a:off x="0" y="0"/>
                      <a:ext cx="5486400" cy="2122674"/>
                    </a:xfrm>
                    <a:prstGeom prst="rect"/>
                  </pic:spPr>
                </pic:pic>
              </a:graphicData>
            </a:graphic>
          </wp:inline>
        </w:drawing>
      </w:r>
    </w:p>
    <w:p>
      <w:pPr>
        <w:spacing w:lineRule="auto"/>
      </w:pPr>
      <w:r>
        <w:rPr>
          <w:rFonts w:eastAsia="Georgia" w:cs="Georgia" w:ascii="Georgia" w:hAnsi="Georgia"/>
        </w:rPr>
        <w:t xml:space="preserve">Figure 15 - Définitions</w:t>
      </w:r>
    </w:p>
    <w:p>
      <w:pPr>
        <w:spacing w:after="220" w:lineRule="auto"/>
      </w:pPr>
      <w:r>
        <w:rPr>
          <w:rFonts w:eastAsia="Georgia" w:cs="Georgia" w:ascii="Georgia" w:hAnsi="Georgia"/>
        </w:rPr>
        <w:t xml:space="preserve">Q38. Quelles sont les conditions optiques permettant un stigmatisme approché? Énoncer ces conditions.</w:t>
      </w:r>
      <w:r>
        <w:rPr/>
        <w:br w:type="textWrapping"/>
      </w:r>
      <w:r>
        <w:rPr>
          <w:rFonts w:eastAsia="Georgia" w:cs="Georgia" w:ascii="Georgia" w:hAnsi="Georgia"/>
        </w:rPr>
        <w:t xml:space="preserve">Q39. Déterminer avec deux chiffres significatifs la valeur numérique de la distance </w:t>
      </w:r>
      <m:oMath>
        <m:r>
          <m:rPr>
            <m:sty m:val="i"/>
          </m:rPr>
          <m:t>d</m:t>
        </m:r>
      </m:oMath>
      <w:r>
        <w:rPr/>
        <w:t xml:space="preserve"> entre le capteur et la lentille de l'objectif.</w:t>
      </w:r>
    </w:p>
    <w:p>
      <w:pPr>
        <w:spacing w:after="220" w:lineRule="auto"/>
      </w:pPr>
      <w:r>
        <w:rPr>
          <w:rFonts w:eastAsia="Georgia" w:cs="Georgia" w:ascii="Georgia" w:hAnsi="Georgia"/>
        </w:rPr>
        <w:t xml:space="preserve">Q40. Déterminer la valeur numérique de </w:t>
      </w:r>
      <m:oMath>
        <m:r>
          <m:rPr>
            <m:sty m:val="i"/>
          </m:rPr>
          <m:t>a</m:t>
        </m:r>
      </m:oMath>
      <w:r>
        <w:rPr/>
        <w:t xml:space="preserve">.</w:t>
      </w:r>
      <w:r>
        <w:rPr/>
        <w:br w:type="textWrapping"/>
      </w:r>
      <w:r>
        <w:rPr>
          <w:rFonts w:eastAsia="Georgia" w:cs="Georgia" w:ascii="Georgia" w:hAnsi="Georgia"/>
        </w:rPr>
        <w:t xml:space="preserve">Q41. Montrer que si la durée d'exposition </w:t>
      </w:r>
      <m:oMath>
        <m:sSub>
          <m:sSubPr/>
          <m:e>
            <m:r>
              <m:rPr>
                <m:sty m:val="i"/>
              </m:rPr>
              <m:t>t</m:t>
            </m:r>
          </m:e>
          <m:sub>
            <m:r>
              <m:rPr>
                <m:sty m:val="p"/>
              </m:rPr>
              <m:t>exp</m:t>
            </m:r>
          </m:sub>
        </m:sSub>
      </m:oMath>
      <w:r>
        <w:rPr>
          <w:rFonts w:eastAsia="Georgia" w:cs="Georgia" w:ascii="Georgia" w:hAnsi="Georgia"/>
        </w:rPr>
        <w:t xml:space="preserve"> du capteur pendant la prise de la photographie est trop longue, la photo sera floue. Calculer un ordre de grandeur de cette durée maximale d'exposition pour obtenir une photographie nette en fonction des paramètres pertinents, et proposer une application numérique.</w:t>
      </w:r>
    </w:p>
    <w:p>
      <w:pPr>
        <w:spacing w:after="220" w:lineRule="auto"/>
      </w:pPr>
      <w:r>
        <w:rPr>
          <w:rFonts w:eastAsia="Georgia" w:cs="Georgia" w:ascii="Georgia" w:hAnsi="Georgia"/>
        </w:rPr>
        <w:t xml:space="preserve">À la fin du trajet, le train doit être freiné. Pour éviter un freinage uniquement mécanique qui nécessiterait de fréquents remplacements des pièces en frottement, la solution adoptée par les concepteurs du Blue Fire est un freinage par induction.</w:t>
      </w:r>
    </w:p>
    <w:p>
      <w:pPr>
        <w:spacing w:after="220" w:lineRule="auto"/>
      </w:pPr>
      <w:r>
        <w:rPr>
          <w:rFonts w:eastAsia="Georgia" w:cs="Georgia" w:ascii="Georgia" w:hAnsi="Georgia"/>
        </w:rPr>
        <w:t xml:space="preserve">Pour décrire ce freinage, on utilise la modélisation simplifiée suivante. Le mouvement du train sera étudié dans le référentiel terrestre, supposé galiléen.</w:t>
      </w:r>
      <w:r>
        <w:rPr/>
        <w:br w:type="textWrapping"/>
      </w:r>
      <w:r>
        <w:rPr/>
        <w:t xml:space="preserve">On note </w:t>
      </w:r>
      <m:oMath>
        <m:r>
          <m:rPr>
            <m:sty m:val="i"/>
          </m:rPr>
          <m:t>m</m:t>
        </m:r>
      </m:oMath>
      <w:r>
        <w:rPr>
          <w:rFonts w:eastAsia="Georgia" w:cs="Georgia" w:ascii="Georgia" w:hAnsi="Georgia"/>
        </w:rPr>
        <w:t xml:space="preserve"> la masse totale du train. Chaque aimant du train est supposé créer sur les spires du stator un champ magnétique </w:t>
      </w:r>
      <m:oMath>
        <m:acc>
          <m:accPr>
            <m:chr m:val="⃗"/>
          </m:accPr>
          <m:e>
            <m:r>
              <m:rPr>
                <m:sty m:val="i"/>
              </m:rPr>
              <m:t>B</m:t>
            </m:r>
          </m:e>
        </m:acc>
        <m:r>
          <m:rPr>
            <m:sty m:val="p"/>
          </m:rPr>
          <m:t>=</m:t>
        </m:r>
        <m:r>
          <m:rPr>
            <m:sty m:val="i"/>
          </m:rPr>
          <m:t>B</m:t>
        </m:r>
        <m:acc>
          <m:accPr>
            <m:chr m:val="⃗"/>
          </m:accPr>
          <m:e>
            <m:sSub>
              <m:sSubPr/>
              <m:e>
                <m:r>
                  <m:rPr>
                    <m:sty m:val="i"/>
                  </m:rPr>
                  <m:t>e</m:t>
                </m:r>
              </m:e>
              <m:sub>
                <m:r>
                  <m:rPr>
                    <m:sty m:val="i"/>
                  </m:rPr>
                  <m:t>y</m:t>
                </m:r>
              </m:sub>
            </m:sSub>
          </m:e>
        </m:acc>
      </m:oMath>
      <w:r>
        <w:rPr>
          <w:rFonts w:eastAsia="Georgia" w:cs="Georgia" w:ascii="Georgia" w:hAnsi="Georgia"/>
        </w:rPr>
        <w:t xml:space="preserve"> uniforme, dans une zone délimitée carrée de côté </w:t>
      </w:r>
      <m:oMath>
        <m:r>
          <m:rPr>
            <m:sty m:val="i"/>
          </m:rPr>
          <m:t>ℓ</m:t>
        </m:r>
      </m:oMath>
      <w:r>
        <w:rPr>
          <w:rFonts w:eastAsia="Georgia" w:cs="Georgia" w:ascii="Georgia" w:hAnsi="Georgia"/>
        </w:rPr>
        <w:t xml:space="preserve">. Des spires carrées en cuivre, de côté identique </w:t>
      </w:r>
      <m:oMath>
        <m:r>
          <m:rPr>
            <m:sty m:val="i"/>
          </m:rPr>
          <m:t>ℓ</m:t>
        </m:r>
      </m:oMath>
      <w:r>
        <w:rPr>
          <w:rFonts w:eastAsia="Georgia" w:cs="Georgia" w:ascii="Georgia" w:hAnsi="Georgia"/>
        </w:rPr>
        <w:t xml:space="preserve"> et de résistance électrique </w:t>
      </w:r>
      <m:oMath>
        <m:r>
          <m:rPr>
            <m:sty m:val="i"/>
          </m:rPr>
          <m:t>R</m:t>
        </m:r>
      </m:oMath>
      <w:r>
        <w:rPr>
          <w:rFonts w:eastAsia="Georgia" w:cs="Georgia" w:ascii="Georgia" w:hAnsi="Georgia"/>
        </w:rPr>
        <w:t xml:space="preserve">, régulièrement espacées entre elles de cette même distance </w:t>
      </w:r>
      <m:oMath>
        <m:r>
          <m:rPr>
            <m:sty m:val="i"/>
          </m:rPr>
          <m:t>ℓ</m:t>
        </m:r>
      </m:oMath>
      <w:r>
        <w:rPr>
          <w:rFonts w:eastAsia="Georgia" w:cs="Georgia" w:ascii="Georgia" w:hAnsi="Georgia"/>
        </w:rPr>
        <w:t xml:space="preserve">, sont placées perpendiculairement à </w:t>
      </w:r>
      <m:oMath>
        <m:acc>
          <m:accPr>
            <m:chr m:val="⃗"/>
          </m:accPr>
          <m:e>
            <m:r>
              <m:rPr>
                <m:sty m:val="i"/>
              </m:rPr>
              <m:t>B</m:t>
            </m:r>
          </m:e>
        </m:acc>
      </m:oMath>
      <w:r>
        <w:rPr/>
        <w:t xml:space="preserve"> (figure 16). On suppose que le train comporte </w:t>
      </w:r>
      <m:oMath>
        <m:r>
          <m:rPr>
            <m:sty m:val="i"/>
          </m:rPr>
          <m:t>N</m:t>
        </m:r>
      </m:oMath>
      <w:r>
        <w:rPr>
          <w:rFonts w:eastAsia="Georgia" w:cs="Georgia" w:ascii="Georgia" w:hAnsi="Georgia"/>
        </w:rPr>
        <w:t xml:space="preserve"> aimants. Pour cette étude, on supposera pour simplifier que tous les aimants du train sont en interaction avec une spire dès le début du freinage, ce qui revient à négliger les phases d'entrée et de sortie progressive du train de la zone de freinage.</w:t>
      </w:r>
      <w:r>
        <w:rPr/>
        <w:br w:type="textWrapping"/>
      </w:r>
      <w:r>
        <w:rPr>
          <w:rFonts w:eastAsia="Georgia" w:cs="Georgia" w:ascii="Georgia" w:hAnsi="Georgia"/>
        </w:rPr>
        <w:t xml:space="preserve">Dans un premier temps, on s'intéresse à l'interaction entre un seul aimant du train et une seule spire, dont on négligera l'inductance propre. On note </w:t>
      </w:r>
      <m:oMath>
        <m:r>
          <m:rPr>
            <m:sty m:val="i"/>
          </m:rPr>
          <m:t>x</m:t>
        </m:r>
      </m:oMath>
      <w:r>
        <w:rPr>
          <w:rFonts w:eastAsia="Georgia" w:cs="Georgia" w:ascii="Georgia" w:hAnsi="Georgia"/>
        </w:rPr>
        <w:t xml:space="preserve"> la distance entre la gauche de cette spire et l'extrémité avant de l'aimant, et on note </w:t>
      </w:r>
      <m:oMath>
        <m:r>
          <m:rPr>
            <m:sty m:val="i"/>
          </m:rPr>
          <m:t>v</m:t>
        </m:r>
        <m:r>
          <m:rPr>
            <m:sty m:val="p"/>
          </m:rPr>
          <m:t>=</m:t>
        </m:r>
        <m:acc>
          <m:accPr>
            <m:chr m:val="˙"/>
          </m:accPr>
          <m:e>
            <m:r>
              <m:rPr>
                <m:sty m:val="i"/>
              </m:rPr>
              <m:t>x</m:t>
            </m:r>
          </m:e>
        </m:acc>
      </m:oMath>
      <w:r>
        <w:rPr/>
        <w:t xml:space="preserve"> (c.f. figure 16)</w:t>
      </w:r>
    </w:p>
    <w:p>
      <w:pPr>
        <w:spacing w:lineRule="auto"/>
        <w:jc w:val="center"/>
      </w:pPr>
      <w:r>
        <w:rPr/>
        <w:drawing>
          <wp:inline distB="0" distL="0" distR="0" distT="0">
            <wp:extent cx="5486400" cy="1228590"/>
            <wp:effectExtent b="0" l="0" r="0" t="0"/>
            <wp:docPr id="16" name="image-05e95f08362b64523cae32716165a56255605500.jpg"/>
            <a:graphic>
              <a:graphicData uri="http://schemas.openxmlformats.org/drawingml/2006/picture">
                <pic:pic>
                  <pic:nvPicPr>
                    <pic:cNvPr id="16" name="image-05e95f08362b64523cae32716165a56255605500.jpg" descr=""/>
                    <pic:cNvPicPr/>
                  </pic:nvPicPr>
                  <pic:blipFill>
                    <a:blip r:embed="rId20" cstate="print"/>
                    <a:srcRect b="0" l="0" r="0" t="0"/>
                    <a:stretch>
                      <a:fillRect/>
                    </a:stretch>
                  </pic:blipFill>
                  <pic:spPr>
                    <a:xfrm>
                      <a:off x="0" y="0"/>
                      <a:ext cx="5486400" cy="1228590"/>
                    </a:xfrm>
                    <a:prstGeom prst="rect"/>
                  </pic:spPr>
                </pic:pic>
              </a:graphicData>
            </a:graphic>
          </wp:inline>
        </w:drawing>
      </w:r>
    </w:p>
    <w:p>
      <w:pPr>
        <w:spacing w:lineRule="auto"/>
      </w:pPr>
      <w:r>
        <w:rPr>
          <w:rFonts w:eastAsia="Georgia" w:cs="Georgia" w:ascii="Georgia" w:hAnsi="Georgia"/>
        </w:rPr>
        <w:t xml:space="preserve">Figure 16 - Paramétrage du dispositif de freinage inductif. Les spires sont fixes, alors que les aimants liés au train créent des zones de champ </w:t>
      </w:r>
      <m:oMath>
        <m:acc>
          <m:accPr>
            <m:chr m:val="⃗"/>
          </m:accPr>
          <m:e>
            <m:r>
              <m:rPr>
                <m:sty m:val="i"/>
              </m:rPr>
              <m:t>B</m:t>
            </m:r>
          </m:e>
        </m:acc>
      </m:oMath>
      <w:r>
        <w:rPr>
          <w:rFonts w:eastAsia="Georgia" w:cs="Georgia" w:ascii="Georgia" w:hAnsi="Georgia"/>
        </w:rPr>
        <w:t xml:space="preserve"> mobiles, représentées par des rectangles foncés. Seuls 4 aimants sont représentés ici.</w:t>
      </w:r>
    </w:p>
    <w:p>
      <w:pPr>
        <w:spacing w:after="220" w:lineRule="auto"/>
      </w:pPr>
      <w:r>
        <w:rPr>
          <w:rFonts w:eastAsia="Georgia" w:cs="Georgia" w:ascii="Georgia" w:hAnsi="Georgia"/>
        </w:rPr>
        <w:t xml:space="preserve">Q42. Décrire qualitativement mais précisément les phénomènes physiques qui se produisent permettant de freiner le train.</w:t>
      </w:r>
    </w:p>
    <w:p>
      <w:pPr>
        <w:spacing w:after="220" w:lineRule="auto"/>
      </w:pPr>
      <w:r>
        <w:rPr>
          <w:rFonts w:eastAsia="Georgia" w:cs="Georgia" w:ascii="Georgia" w:hAnsi="Georgia"/>
        </w:rPr>
        <w:t xml:space="preserve">Q43. Après avoir précisé son orientation sur un schéma représentant uniquement le premier aimant du train et la spire avec lequel il interagit, déterminer l'expression de la force électromotrice induite dans la spire </w:t>
      </w:r>
      <m:oMath>
        <m:r>
          <m:rPr>
            <m:sty m:val="i"/>
          </m:rPr>
          <m:t>e</m:t>
        </m:r>
      </m:oMath>
      <w:r>
        <w:rPr/>
        <w:t xml:space="preserve"> en fonction de </w:t>
      </w:r>
      <m:oMath>
        <m:r>
          <m:rPr>
            <m:sty m:val="i"/>
          </m:rPr>
          <m:t>B</m:t>
        </m:r>
        <m:r>
          <m:rPr>
            <m:sty m:val="p"/>
          </m:rPr>
          <m:t>,</m:t>
        </m:r>
        <m:r>
          <m:rPr>
            <m:sty m:val="i"/>
          </m:rPr>
          <m:t>v</m:t>
        </m:r>
      </m:oMath>
      <w:r>
        <w:rPr/>
        <w:t xml:space="preserve"> et </w:t>
      </w:r>
      <m:oMath>
        <m:r>
          <m:rPr>
            <m:sty m:val="i"/>
          </m:rPr>
          <m:t>ℓ</m:t>
        </m:r>
      </m:oMath>
      <w:r>
        <w:rPr>
          <w:rFonts w:eastAsia="Georgia" w:cs="Georgia" w:ascii="Georgia" w:hAnsi="Georgia"/>
        </w:rPr>
        <w:t xml:space="preserve">. En déduire l'équation électrique liant </w:t>
      </w:r>
      <m:oMath>
        <m:r>
          <m:rPr>
            <m:sty m:val="i"/>
          </m:rPr>
          <m:t>B</m:t>
        </m:r>
        <m:r>
          <m:rPr>
            <m:sty m:val="p"/>
          </m:rPr>
          <m:t>,</m:t>
        </m:r>
        <m:r>
          <m:rPr>
            <m:sty m:val="i"/>
          </m:rPr>
          <m:t>v</m:t>
        </m:r>
        <m:r>
          <m:rPr>
            <m:sty m:val="p"/>
          </m:rPr>
          <m:t>,</m:t>
        </m:r>
        <m:r>
          <m:rPr>
            <m:sty m:val="i"/>
          </m:rPr>
          <m:t>ℓ</m:t>
        </m:r>
        <m:r>
          <m:rPr>
            <m:sty m:val="p"/>
          </m:rPr>
          <m:t>,</m:t>
        </m:r>
        <m:r>
          <m:rPr>
            <m:sty m:val="i"/>
          </m:rPr>
          <m:t>R</m:t>
        </m:r>
      </m:oMath>
      <w:r>
        <w:rPr>
          <w:rFonts w:eastAsia="Georgia" w:cs="Georgia" w:ascii="Georgia" w:hAnsi="Georgia"/>
        </w:rPr>
        <w:t xml:space="preserve"> et l'intensité </w:t>
      </w:r>
      <m:oMath>
        <m:r>
          <m:rPr>
            <m:sty m:val="i"/>
          </m:rPr>
          <m:t>i</m:t>
        </m:r>
      </m:oMath>
      <w:r>
        <w:rPr>
          <w:rFonts w:eastAsia="Georgia" w:cs="Georgia" w:ascii="Georgia" w:hAnsi="Georgia"/>
        </w:rPr>
        <w:t xml:space="preserve"> dans la spire, dont on aura précisé l'orientation sur un schéma.</w:t>
      </w:r>
    </w:p>
    <w:p>
      <w:pPr>
        <w:spacing w:after="220" w:lineRule="auto"/>
      </w:pPr>
      <w:r>
        <w:rPr/>
        <w:t xml:space="preserve">Q44. Montrer que tant que </w:t>
      </w:r>
      <m:oMath>
        <m:r>
          <m:rPr>
            <m:sty m:val="p"/>
          </m:rPr>
          <m:t>0</m:t>
        </m:r>
        <m:r>
          <m:rPr>
            <m:sty m:val="p"/>
          </m:rPr>
          <m:t>&lt;</m:t>
        </m:r>
        <m:r>
          <m:rPr>
            <m:sty m:val="i"/>
          </m:rPr>
          <m:t>x</m:t>
        </m:r>
        <m:r>
          <m:rPr>
            <m:sty m:val="p"/>
          </m:rPr>
          <m:t>&lt;</m:t>
        </m:r>
        <m:r>
          <m:rPr>
            <m:sty m:val="i"/>
          </m:rPr>
          <m:t>ℓ</m:t>
        </m:r>
      </m:oMath>
      <w:r>
        <w:rPr>
          <w:rFonts w:eastAsia="Georgia" w:cs="Georgia" w:ascii="Georgia" w:hAnsi="Georgia"/>
        </w:rPr>
        <w:t xml:space="preserve">, la spire est soumise à une force qui se met sous la forme </w:t>
      </w:r>
      <m:oMath>
        <m:sSub>
          <m:sSubPr/>
          <m:e>
            <m:acc>
              <m:accPr>
                <m:chr m:val="⃗"/>
              </m:accPr>
              <m:e>
                <m:r>
                  <m:rPr>
                    <m:sty m:val="i"/>
                  </m:rPr>
                  <m:t>F</m:t>
                </m:r>
              </m:e>
            </m:acc>
          </m:e>
          <m:sub>
            <m:r>
              <m:rPr>
                <m:nor/>
              </m:rPr>
              <m:t>aimant </m:t>
            </m:r>
            <m:r>
              <m:rPr>
                <m:sty m:val="p"/>
              </m:rPr>
              <m:t>→</m:t>
            </m:r>
            <m:r>
              <m:rPr>
                <m:nor/>
              </m:rPr>
              <m:t> spire </m:t>
            </m:r>
          </m:sub>
        </m:sSub>
        <m:r>
          <m:rPr>
            <m:sty m:val="p"/>
          </m:rPr>
          <m:t>=</m:t>
        </m:r>
        <m:r>
          <m:rPr>
            <m:sty m:val="i"/>
          </m:rPr>
          <m:t>α</m:t>
        </m:r>
        <m:r>
          <m:rPr>
            <m:sty m:val="i"/>
          </m:rPr>
          <m:t>v</m:t>
        </m:r>
        <m:acc>
          <m:accPr>
            <m:chr m:val="⃗"/>
          </m:accPr>
          <m:e>
            <m:sSub>
              <m:sSubPr/>
              <m:e>
                <m:r>
                  <m:rPr>
                    <m:sty m:val="i"/>
                  </m:rPr>
                  <m:t>e</m:t>
                </m:r>
              </m:e>
              <m:sub>
                <m:r>
                  <m:rPr>
                    <m:sty m:val="i"/>
                  </m:rPr>
                  <m:t>x</m:t>
                </m:r>
              </m:sub>
            </m:sSub>
          </m:e>
        </m:acc>
      </m:oMath>
      <w:r>
        <w:rPr>
          <w:rFonts w:eastAsia="Georgia" w:cs="Georgia" w:ascii="Georgia" w:hAnsi="Georgia"/>
        </w:rPr>
        <w:t xml:space="preserve"> où l'on précisera l'expression de </w:t>
      </w:r>
      <m:oMath>
        <m:r>
          <m:rPr>
            <m:sty m:val="i"/>
          </m:rPr>
          <m:t>α</m:t>
        </m:r>
      </m:oMath>
      <w:r>
        <w:rPr/>
        <w:t xml:space="preserve">.</w:t>
      </w:r>
    </w:p>
    <w:p>
      <w:pPr>
        <w:spacing w:after="220" w:lineRule="auto"/>
      </w:pPr>
      <w:r>
        <w:rPr/>
        <w:t xml:space="preserve">Q45. Montrer que pour </w:t>
      </w:r>
      <m:oMath>
        <m:r>
          <m:rPr>
            <m:sty m:val="i"/>
          </m:rPr>
          <m:t>ℓ</m:t>
        </m:r>
        <m:r>
          <m:rPr>
            <m:sty m:val="p"/>
          </m:rPr>
          <m:t>&lt;</m:t>
        </m:r>
        <m:r>
          <m:rPr>
            <m:sty m:val="i"/>
          </m:rPr>
          <m:t>x</m:t>
        </m:r>
        <m:r>
          <m:rPr>
            <m:sty m:val="p"/>
          </m:rPr>
          <m:t>&lt;</m:t>
        </m:r>
        <m:r>
          <m:rPr>
            <m:sty m:val="p"/>
          </m:rPr>
          <m:t>2</m:t>
        </m:r>
        <m:r>
          <m:rPr>
            <m:sty m:val="i"/>
          </m:rPr>
          <m:t>ℓ</m:t>
        </m:r>
        <m:r>
          <m:rPr>
            <m:sty m:val="p"/>
          </m:rPr>
          <m:t>,</m:t>
        </m:r>
        <m:sSub>
          <m:sSubPr/>
          <m:e>
            <m:acc>
              <m:accPr>
                <m:chr m:val="⃗"/>
              </m:accPr>
              <m:e>
                <m:r>
                  <m:rPr>
                    <m:sty m:val="i"/>
                  </m:rPr>
                  <m:t>F</m:t>
                </m:r>
              </m:e>
            </m:acc>
          </m:e>
          <m:sub>
            <m:r>
              <m:rPr>
                <m:nor/>
              </m:rPr>
              <m:t>aimant </m:t>
            </m:r>
            <m:r>
              <m:rPr>
                <m:sty m:val="p"/>
              </m:rPr>
              <m:t>→</m:t>
            </m:r>
            <m:r>
              <m:rPr>
                <m:nor/>
              </m:rPr>
              <m:t> spire </m:t>
            </m:r>
          </m:sub>
        </m:sSub>
      </m:oMath>
      <w:r>
        <w:rPr>
          <w:rFonts w:eastAsia="Georgia" w:cs="Georgia" w:ascii="Georgia" w:hAnsi="Georgia"/>
        </w:rPr>
        <w:t xml:space="preserve"> possède la même expression.</w:t>
      </w:r>
      <w:r>
        <w:rPr/>
        <w:br w:type="textWrapping"/>
      </w:r>
      <w:r>
        <w:rPr>
          <w:rFonts w:eastAsia="Georgia" w:cs="Georgia" w:ascii="Georgia" w:hAnsi="Georgia"/>
        </w:rPr>
        <w:t xml:space="preserve">On considère maintenant l'interaction des </w:t>
      </w:r>
      <m:oMath>
        <m:r>
          <m:rPr>
            <m:sty m:val="i"/>
          </m:rPr>
          <m:t>N</m:t>
        </m:r>
      </m:oMath>
      <w:r>
        <w:rPr/>
        <w:t xml:space="preserve"> aimants du train avec les spires fixes.</w:t>
      </w:r>
      <w:r>
        <w:rPr/>
        <w:br w:type="textWrapping"/>
      </w:r>
      <w:r>
        <w:rPr/>
        <w:t xml:space="preserve">Q46. Quelle est alors la force totale </w:t>
      </w:r>
      <m:oMath>
        <m:sSub>
          <m:sSubPr/>
          <m:e>
            <m:acc>
              <m:accPr>
                <m:chr m:val="⃗"/>
              </m:accPr>
              <m:e>
                <m:r>
                  <m:rPr>
                    <m:sty m:val="i"/>
                  </m:rPr>
                  <m:t>F</m:t>
                </m:r>
              </m:e>
            </m:acc>
          </m:e>
          <m:sub>
            <m:r>
              <m:rPr>
                <m:nor/>
              </m:rPr>
              <m:t>spires </m:t>
            </m:r>
            <m:r>
              <m:rPr>
                <m:sty m:val="p"/>
              </m:rPr>
              <m:t>→</m:t>
            </m:r>
            <m:r>
              <m:rPr>
                <m:nor/>
              </m:rPr>
              <m:t> train </m:t>
            </m:r>
          </m:sub>
        </m:sSub>
      </m:oMath>
      <w:r>
        <w:rPr>
          <w:rFonts w:eastAsia="Georgia" w:cs="Georgia" w:ascii="Georgia" w:hAnsi="Georgia"/>
        </w:rPr>
        <w:t xml:space="preserve"> s'exerçant sur la totalité du train? En déduire l'équation différentielle vérifiée par </w:t>
      </w:r>
      <m:oMath>
        <m:r>
          <m:rPr>
            <m:sty m:val="i"/>
          </m:rPr>
          <m:t>v</m:t>
        </m:r>
      </m:oMath>
      <w:r>
        <w:rPr>
          <w:rFonts w:eastAsia="Georgia" w:cs="Georgia" w:ascii="Georgia" w:hAnsi="Georgia"/>
        </w:rPr>
        <w:t xml:space="preserve"> tout au long de la phase de freinage, dont on définira la constante de temps </w:t>
      </w:r>
      <m:oMath>
        <m:r>
          <m:rPr>
            <m:sty m:val="i"/>
          </m:rPr>
          <m:t>τ</m:t>
        </m:r>
      </m:oMath>
      <w:r>
        <w:rPr>
          <w:rFonts w:eastAsia="Georgia" w:cs="Georgia" w:ascii="Georgia" w:hAnsi="Georgia"/>
        </w:rPr>
        <w:t xml:space="preserve"> en fonction des paramètres.</w:t>
      </w:r>
    </w:p>
    <w:p>
      <w:pPr>
        <w:spacing w:after="220" w:lineRule="auto"/>
      </w:pPr>
      <w:r>
        <w:rPr>
          <w:rFonts w:eastAsia="Georgia" w:cs="Georgia" w:ascii="Georgia" w:hAnsi="Georgia"/>
        </w:rPr>
        <w:t xml:space="preserve">Q47. Que devient l'énergie cinétique perdue par le train lors de ce freinage? On justifiera la réponse à l'aide de l'établissement d'une relation entre différents termes énergétiques que l'on identifiera.</w:t>
      </w:r>
    </w:p>
    <w:p>
      <w:pPr>
        <w:spacing w:after="220" w:lineRule="auto"/>
      </w:pPr>
      <w:r>
        <w:rPr>
          <w:rFonts w:eastAsia="Georgia" w:cs="Georgia" w:ascii="Georgia" w:hAnsi="Georgia"/>
        </w:rPr>
        <w:t xml:space="preserve">Q48. Justifier la nécessité d'un freinage mécanique d'appoint afin d'immobiliser complètement le train à la fin de son trajet.</w:t>
      </w:r>
    </w:p>
    <w:p>
      <w:pPr>
        <w:spacing w:line="271" w:before="330" w:lineRule="auto"/>
      </w:pPr>
      <w:r>
        <w:rPr>
          <w:rFonts w:eastAsia="Georgia" w:cs="Georgia" w:ascii="Georgia" w:hAnsi="Georgia"/>
          <w:b/>
          <w:sz w:val="42"/>
        </w:rPr>
        <w:t xml:space="preserve">Données utiles pour le traitement du sujet</w:t>
      </w:r>
    </w:p>
    <w:p>
      <w:pPr>
        <w:spacing w:line="271" w:before="330" w:lineRule="auto"/>
      </w:pPr>
      <w:r>
        <w:rPr>
          <w:rFonts w:eastAsia="Georgia" w:cs="Georgia" w:ascii="Georgia" w:hAnsi="Georgia"/>
          <w:b/>
          <w:sz w:val="42"/>
        </w:rPr>
        <w:t xml:space="preserve">Données partie A</w:t>
      </w:r>
    </w:p>
    <w:p>
      <w:pPr>
        <w:numPr>
          <w:ilvl w:val="0"/>
          <w:numId w:val="3"/>
        </w:numPr>
        <w:spacing w:lineRule="auto"/>
      </w:pPr>
      <w:r>
        <w:rPr/>
        <w:t xml:space="preserve">Constante des gaz parfaits : </w:t>
      </w:r>
      <m:oMath>
        <m:r>
          <m:rPr>
            <m:sty m:val="i"/>
          </m:rPr>
          <m:t>R</m:t>
        </m:r>
        <m:r>
          <m:rPr>
            <m:sty m:val="p"/>
          </m:rPr>
          <m:t>=</m:t>
        </m:r>
        <m:r>
          <m:rPr>
            <m:sty m:val="p"/>
          </m:rPr>
          <m:t>8</m:t>
        </m:r>
        <m:r>
          <m:rPr>
            <m:sty m:val="p"/>
          </m:rPr>
          <m:t>,</m:t>
        </m:r>
        <m:r>
          <m:rPr>
            <m:sty m:val="p"/>
          </m:rPr>
          <m:t>314</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w:p>
    <w:p>
      <w:pPr>
        <w:numPr>
          <w:ilvl w:val="0"/>
          <w:numId w:val="3"/>
        </w:numPr>
        <w:spacing w:lineRule="auto"/>
      </w:pPr>
      <m:oMathPara>
        <m:oMathParaPr>
          <m:jc m:val="left"/>
        </m:oMathParaPr>
        <m:oMath>
          <m:r>
            <m:rPr>
              <m:sty m:val="i"/>
            </m:rPr>
            <m:t>T</m:t>
          </m:r>
          <m:d>
            <m:dPr>
              <m:begChr m:val="("/>
              <m:endChr m:val=")"/>
              <m:ctrlPr>
                <w:rPr>
                  <w:rFonts w:ascii="Cambria Math" w:hAnsi="Cambria Math"/>
                </w:rPr>
              </m:ctrlPr>
            </m:dPr>
            <m:e>
              <m:sSup>
                <m:sSupPr/>
                <m:e>
                  <m:r>
                    <m:t xml:space="preserve"> </m:t>
                  </m:r>
                </m:e>
                <m:sup>
                  <m:r>
                    <m:rPr>
                      <m:sty m:val="p"/>
                    </m:rPr>
                    <m:t>∘</m:t>
                  </m:r>
                </m:sup>
              </m:sSup>
              <m:r>
                <m:rPr>
                  <m:sty m:val="p"/>
                </m:rPr>
                <m:t>C</m:t>
              </m:r>
            </m:e>
          </m:d>
          <m:r>
            <m:rPr>
              <m:sty m:val="p"/>
            </m:rPr>
            <m:t>=</m:t>
          </m:r>
          <m:r>
            <m:rPr>
              <m:sty m:val="i"/>
            </m:rPr>
            <m:t>T</m:t>
          </m:r>
          <m:r>
            <m:rPr>
              <m:sty m:val="p"/>
            </m:rPr>
            <m:t>(</m:t>
          </m:r>
          <m:r>
            <m:rPr>
              <m:nor/>
            </m:rPr>
            <m:t xml:space="preserve"> </m:t>
          </m:r>
          <m:r>
            <m:rPr>
              <m:sty m:val="p"/>
            </m:rPr>
            <m:t>K</m:t>
          </m:r>
          <m:r>
            <m:rPr>
              <m:sty m:val="p"/>
            </m:rPr>
            <m:t>)</m:t>
          </m:r>
          <m:r>
            <m:rPr>
              <m:sty m:val="p"/>
            </m:rPr>
            <m:t>−</m:t>
          </m:r>
          <m:r>
            <m:rPr>
              <m:sty m:val="p"/>
            </m:rPr>
            <m:t>273</m:t>
          </m:r>
        </m:oMath>
      </m:oMathPara>
    </w:p>
    <w:p>
      <w:pPr>
        <w:numPr>
          <w:ilvl w:val="0"/>
          <w:numId w:val="3"/>
        </w:numPr>
        <w:spacing w:lineRule="auto"/>
      </w:pPr>
      <w:r>
        <w:rPr>
          <w:rFonts w:eastAsia="Georgia" w:cs="Georgia" w:ascii="Georgia" w:hAnsi="Georgia"/>
        </w:rPr>
        <w:t xml:space="preserve">Définition du </w:t>
      </w:r>
      <m:oMath>
        <m:r>
          <m:rPr>
            <m:sty m:val="p"/>
          </m:rPr>
          <m:t>kW</m:t>
        </m:r>
        <m:r>
          <m:rPr>
            <m:sty m:val="p"/>
          </m:rPr>
          <m:t>⋅</m:t>
        </m:r>
        <m:r>
          <m:rPr>
            <m:sty m:val="p"/>
          </m:rPr>
          <m:t>h</m:t>
        </m:r>
      </m:oMath>
      <w:r>
        <w:rPr/>
        <w:t xml:space="preserve"> : </w:t>
      </w:r>
      <m:oMath>
        <m:r>
          <m:rPr>
            <m:sty m:val="p"/>
          </m:rPr>
          <m:t>1</m:t>
        </m:r>
        <m:r>
          <m:rPr>
            <m:nor/>
          </m:rPr>
          <m:t xml:space="preserve"> </m:t>
        </m:r>
        <m:r>
          <m:rPr>
            <m:sty m:val="p"/>
          </m:rPr>
          <m:t>kW</m:t>
        </m:r>
        <m:r>
          <m:rPr>
            <m:sty m:val="p"/>
          </m:rPr>
          <m:t>⋅</m:t>
        </m:r>
        <m:r>
          <m:rPr>
            <m:nor/>
          </m:rPr>
          <m:t xml:space="preserve"> </m:t>
        </m:r>
        <m:r>
          <m:rPr>
            <m:sty m:val="p"/>
          </m:rPr>
          <m:t>h</m:t>
        </m:r>
      </m:oMath>
      <w:r>
        <w:rPr>
          <w:rFonts w:eastAsia="Georgia" w:cs="Georgia" w:ascii="Georgia" w:hAnsi="Georgia"/>
        </w:rPr>
        <w:t xml:space="preserve"> est l'énergie consommée par un dispositif de puissance 1 kW pendant une durée d'une heure.</w:t>
      </w:r>
    </w:p>
    <w:p>
      <w:pPr>
        <w:numPr>
          <w:ilvl w:val="0"/>
          <w:numId w:val="3"/>
        </w:numPr>
        <w:spacing w:lineRule="auto"/>
      </w:pPr>
      <w:r>
        <w:rPr/>
        <w:t xml:space="preserve">Masses molaires : </w:t>
      </w:r>
      <m:oMath>
        <m:r>
          <m:rPr>
            <m:sty m:val="i"/>
          </m:rPr>
          <m:t>M</m:t>
        </m:r>
        <m:r>
          <m:rPr>
            <m:sty m:val="p"/>
          </m:rPr>
          <m:t>(</m:t>
        </m:r>
        <m:r>
          <m:rPr>
            <m:sty m:val="p"/>
          </m:rPr>
          <m:t>H</m:t>
        </m:r>
        <m:r>
          <m:rPr>
            <m:sty m:val="p"/>
          </m:rPr>
          <m:t>)</m:t>
        </m:r>
        <m:r>
          <m:rPr>
            <m:sty m:val="p"/>
          </m:rPr>
          <m:t>=</m:t>
        </m:r>
        <m:r>
          <m:rPr>
            <m:sty m:val="p"/>
          </m:rPr>
          <m:t>1</m:t>
        </m:r>
        <m:r>
          <m:rPr>
            <m:sty m:val="p"/>
          </m:rPr>
          <m:t>,</m:t>
        </m:r>
        <m:r>
          <m:rPr>
            <m:sty m:val="p"/>
          </m:rPr>
          <m:t>0</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r>
          <m:rPr>
            <m:sty m:val="p"/>
          </m:rPr>
          <m:t>,</m:t>
        </m:r>
        <m:r>
          <m:rPr>
            <m:sty m:val="i"/>
          </m:rPr>
          <m:t>M</m:t>
        </m:r>
        <m:r>
          <m:rPr>
            <m:sty m:val="p"/>
          </m:rPr>
          <m:t>(</m:t>
        </m:r>
        <m:r>
          <m:rPr>
            <m:sty m:val="p"/>
          </m:rPr>
          <m:t>C</m:t>
        </m:r>
        <m:r>
          <m:rPr>
            <m:sty m:val="p"/>
          </m:rPr>
          <m:t>)</m:t>
        </m:r>
        <m:r>
          <m:rPr>
            <m:sty m:val="p"/>
          </m:rPr>
          <m:t>=</m:t>
        </m:r>
        <m:r>
          <m:rPr>
            <m:sty m:val="p"/>
          </m:rPr>
          <m:t>12</m:t>
        </m:r>
        <m:r>
          <m:rPr>
            <m:sty m:val="p"/>
          </m:rPr>
          <m:t>,</m:t>
        </m:r>
        <m:r>
          <m:rPr>
            <m:sty m:val="p"/>
          </m:rPr>
          <m:t>0</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r>
          <m:rPr>
            <m:sty m:val="p"/>
          </m:rPr>
          <m:t>,</m:t>
        </m:r>
        <m:r>
          <m:rPr>
            <m:sty m:val="i"/>
          </m:rPr>
          <m:t>M</m:t>
        </m:r>
        <m:r>
          <m:rPr>
            <m:sty m:val="p"/>
          </m:rPr>
          <m:t>(</m:t>
        </m:r>
        <m:r>
          <m:rPr>
            <m:sty m:val="p"/>
          </m:rPr>
          <m:t>O</m:t>
        </m:r>
        <m:r>
          <m:rPr>
            <m:sty m:val="p"/>
          </m:rPr>
          <m:t>)</m:t>
        </m:r>
        <m:r>
          <m:rPr>
            <m:sty m:val="p"/>
          </m:rPr>
          <m:t>=</m:t>
        </m:r>
        <m:r>
          <m:rPr>
            <m:sty m:val="p"/>
          </m:rPr>
          <m:t>16</m:t>
        </m:r>
        <m:r>
          <m:rPr>
            <m:sty m:val="p"/>
          </m:rPr>
          <m:t>,</m:t>
        </m:r>
        <m:r>
          <m:rPr>
            <m:sty m:val="p"/>
          </m:rPr>
          <m:t>0</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p>
    <w:p>
      <w:pPr>
        <w:numPr>
          <w:ilvl w:val="0"/>
          <w:numId w:val="3"/>
        </w:numPr>
        <w:spacing w:lineRule="auto"/>
      </w:pPr>
      <w:r>
        <w:rPr>
          <w:rFonts w:eastAsia="Georgia" w:cs="Georgia" w:ascii="Georgia" w:hAnsi="Georgia"/>
        </w:rPr>
        <w:t xml:space="preserve">Données thermodynamiques à 298 K :</w:t>
      </w:r>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m:t>
                    </m:r>
                  </m:e>
                  <m:sub>
                    <m:r>
                      <m:rPr>
                        <m:sty m:val="p"/>
                      </m:rPr>
                      <m:t>2</m:t>
                    </m:r>
                  </m:sub>
                </m:sSub>
                <m:r>
                  <m:rPr>
                    <m:sty m:val="p"/>
                  </m:rPr>
                  <m:t>(</m:t>
                </m:r>
                <m:r>
                  <m:rPr>
                    <m:nor/>
                  </m:rPr>
                  <m:t xml:space="preserve"> </m:t>
                </m:r>
                <m:r>
                  <m:rPr>
                    <m:sty m:val="p"/>
                  </m:rPr>
                  <m:t>g</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N</m:t>
                    </m:r>
                  </m:e>
                  <m:sub>
                    <m:r>
                      <m:rPr>
                        <m:sty m:val="p"/>
                      </m:rPr>
                      <m:t>2</m:t>
                    </m:r>
                  </m:sub>
                </m:sSub>
                <m:r>
                  <m:rPr>
                    <m:sty m:val="p"/>
                  </m:rPr>
                  <m:t>(</m:t>
                </m:r>
                <m:r>
                  <m:rPr>
                    <m:nor/>
                  </m:rPr>
                  <m:t xml:space="preserve"> </m:t>
                </m:r>
                <m:r>
                  <m:rPr>
                    <m:sty m:val="p"/>
                  </m:rPr>
                  <m:t>g</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O</m:t>
                    </m:r>
                  </m:e>
                  <m:sub>
                    <m:r>
                      <m:rPr>
                        <m:sty m:val="p"/>
                      </m:rPr>
                      <m:t>2</m:t>
                    </m:r>
                  </m:sub>
                </m:sSub>
                <m:r>
                  <m:rPr>
                    <m:sty m:val="p"/>
                  </m:rPr>
                  <m:t>(</m:t>
                </m:r>
                <m:r>
                  <m:rPr>
                    <m:nor/>
                  </m:rPr>
                  <m:t xml:space="preserve"> </m:t>
                </m:r>
                <m:r>
                  <m:rPr>
                    <m:sty m:val="p"/>
                  </m:rPr>
                  <m:t>g</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CO</m:t>
                    </m:r>
                  </m:e>
                  <m:sub>
                    <m:r>
                      <m:rPr>
                        <m:sty m:val="p"/>
                      </m:rPr>
                      <m:t>2</m:t>
                    </m:r>
                  </m:sub>
                </m:sSub>
                <m:r>
                  <m:rPr>
                    <m:sty m:val="p"/>
                  </m:rPr>
                  <m:t>(</m:t>
                </m:r>
                <m:r>
                  <m:rPr>
                    <m:nor/>
                  </m:rPr>
                  <m:t xml:space="preserve"> </m:t>
                </m:r>
                <m:r>
                  <m:rPr>
                    <m:sty m:val="p"/>
                  </m:rPr>
                  <m:t>g</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CH</m:t>
                    </m:r>
                  </m:e>
                  <m:sub>
                    <m:r>
                      <m:rPr>
                        <m:sty m:val="p"/>
                      </m:rPr>
                      <m:t>4</m:t>
                    </m:r>
                  </m:sub>
                </m:sSub>
                <m:r>
                  <m:rPr>
                    <m:sty m:val="p"/>
                  </m:rPr>
                  <m:t>(</m:t>
                </m:r>
                <m:r>
                  <m:rPr>
                    <m:nor/>
                  </m:rPr>
                  <m:t xml:space="preserve"> </m:t>
                </m:r>
                <m:r>
                  <m:rPr>
                    <m:sty m:val="p"/>
                  </m:rPr>
                  <m:t>g</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m:t>
                    </m:r>
                  </m:e>
                  <m:sub>
                    <m:r>
                      <m:rPr>
                        <m:sty m:val="p"/>
                      </m:rPr>
                      <m:t>2</m:t>
                    </m:r>
                  </m:sub>
                </m:sSub>
                <m:r>
                  <m:rPr>
                    <m:sty m:val="p"/>
                  </m:rPr>
                  <m:t>O</m:t>
                </m:r>
                <m:r>
                  <m:rPr>
                    <m:sty m:val="p"/>
                  </m:rPr>
                  <m:t>(</m:t>
                </m:r>
                <m:r>
                  <m:rPr>
                    <m:sty m:val="p"/>
                  </m:rPr>
                  <m:t>g</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
              <m:sSub>
                <m:sSubPr/>
                <m:e>
                  <m:r>
                    <m:rPr>
                      <m:sty m:val="p"/>
                    </m:rPr>
                    <m:t>Δ</m:t>
                  </m:r>
                </m:e>
                <m:sub>
                  <m:r>
                    <m:rPr>
                      <m:sty m:val="i"/>
                    </m:rPr>
                    <m:t>f</m:t>
                  </m:r>
                </m:sub>
              </m:sSub>
              <m:sSup>
                <m:sSupPr/>
                <m:e>
                  <m:r>
                    <m:rPr>
                      <m:sty m:val="p"/>
                    </m:rPr>
                    <m:t>H</m:t>
                  </m:r>
                </m:e>
                <m:sup>
                  <m:r>
                    <m:rPr>
                      <m:sty m:val="p"/>
                    </m:rPr>
                    <m:t>∘</m:t>
                  </m:r>
                </m:sup>
              </m:sSup>
            </m:oMath>
            <w:r>
              <w:rPr/>
              <w:t xml:space="preserve"> en </w:t>
            </w:r>
            <m:oMath>
              <m:r>
                <m:rPr>
                  <m:sty m:val="p"/>
                </m:rPr>
                <m:t>kJ</m:t>
              </m:r>
              <m:r>
                <m:rPr>
                  <m:sty m:val="p"/>
                </m:rPr>
                <m:t>⋅</m:t>
              </m:r>
              <m:sSup>
                <m:sSupPr/>
                <m:e>
                  <m:r>
                    <m:rPr>
                      <m:sty m:val="p"/>
                    </m:rPr>
                    <m:t>mol</m:t>
                  </m:r>
                </m:e>
                <m:sup>
                  <m:r>
                    <m:rPr>
                      <m:sty m:val="p"/>
                    </m:rPr>
                    <m:t>−</m:t>
                  </m:r>
                  <m:r>
                    <m:rPr>
                      <m:sty m:val="p"/>
                    </m:rPr>
                    <m:t>1</m:t>
                  </m:r>
                </m:sup>
              </m:sSup>
            </m:oMath>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393</m:t>
                </m:r>
                <m:r>
                  <m:rPr>
                    <m:sty m:val="p"/>
                  </m:rPr>
                  <m:t>,</m:t>
                </m:r>
                <m:r>
                  <m:rPr>
                    <m:sty m:val="p"/>
                  </m:rPr>
                  <m:t>5</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74</m:t>
                </m:r>
                <m:r>
                  <m:rPr>
                    <m:sty m:val="p"/>
                  </m:rPr>
                  <m:t>,</m:t>
                </m:r>
                <m:r>
                  <m:rPr>
                    <m:sty m:val="p"/>
                  </m:rPr>
                  <m:t>6</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241</m:t>
                </m:r>
                <m:r>
                  <m:rPr>
                    <m:sty m:val="p"/>
                  </m:rPr>
                  <m:t>,</m:t>
                </m:r>
                <m:r>
                  <m:rPr>
                    <m:sty m:val="p"/>
                  </m:rPr>
                  <m:t>8</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
              <m:sSubSup>
                <m:sSubSupPr/>
                <m:e>
                  <m:r>
                    <m:rPr>
                      <m:sty m:val="i"/>
                    </m:rPr>
                    <m:t>S</m:t>
                  </m:r>
                </m:e>
                <m:sub>
                  <m:r>
                    <m:rPr>
                      <m:sty m:val="i"/>
                    </m:rPr>
                    <m:t>m</m:t>
                  </m:r>
                </m:sub>
                <m:sup>
                  <m:r>
                    <m:rPr>
                      <m:sty m:val="p"/>
                    </m:rPr>
                    <m:t>∘</m:t>
                  </m:r>
                </m:sup>
              </m:sSubSup>
            </m:oMath>
            <w:r>
              <w:rPr/>
              <w:t xml:space="preserve"> en </w:t>
            </w:r>
            <m:oMath>
              <m:r>
                <m:rPr>
                  <m:sty m:val="p"/>
                </m:rPr>
                <m:t>J</m:t>
              </m:r>
              <m:r>
                <m:rPr>
                  <m:sty m:val="p"/>
                </m:rPr>
                <m:t>⋅</m:t>
              </m:r>
              <m:sSup>
                <m:sSupPr/>
                <m:e>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w:p>
        </w:tc>
        <w:tc>
          <w:tcPr>
            <w:tcBorders>
              <w:bottom w:val="single" w:sz="8" w:space="0" w:color="000000"/>
              <w:right w:val="single" w:sz="8" w:space="0" w:color="000000"/>
            </w:tcBorders>
            <w:vAlign w:val="center"/>
          </w:tcPr>
          <w:p>
            <w:pPr>
              <w:spacing w:lineRule="auto"/>
              <w:jc w:val="center"/>
            </w:pPr>
            <w:r>
              <w:rPr/>
              <w:t xml:space="preserve">130,7</w:t>
            </w:r>
          </w:p>
        </w:tc>
        <w:tc>
          <w:tcPr>
            <w:tcBorders>
              <w:bottom w:val="single" w:sz="8" w:space="0" w:color="000000"/>
              <w:right w:val="single" w:sz="8" w:space="0" w:color="000000"/>
            </w:tcBorders>
            <w:vAlign w:val="center"/>
          </w:tcPr>
          <w:p>
            <w:pPr>
              <w:spacing w:lineRule="auto"/>
              <w:jc w:val="center"/>
            </w:pPr>
            <w:r>
              <w:rPr/>
              <w:t xml:space="preserve">191,6</w:t>
            </w:r>
          </w:p>
        </w:tc>
        <w:tc>
          <w:tcPr>
            <w:tcBorders>
              <w:bottom w:val="single" w:sz="8" w:space="0" w:color="000000"/>
              <w:right w:val="single" w:sz="8" w:space="0" w:color="000000"/>
            </w:tcBorders>
            <w:vAlign w:val="center"/>
          </w:tcPr>
          <w:p>
            <w:pPr>
              <w:spacing w:lineRule="auto"/>
              <w:jc w:val="center"/>
            </w:pPr>
            <w:r>
              <w:rPr/>
              <w:t xml:space="preserve">205,2</w:t>
            </w:r>
          </w:p>
        </w:tc>
        <w:tc>
          <w:tcPr>
            <w:tcBorders>
              <w:bottom w:val="single" w:sz="8" w:space="0" w:color="000000"/>
              <w:right w:val="single" w:sz="8" w:space="0" w:color="000000"/>
            </w:tcBorders>
            <w:vAlign w:val="center"/>
          </w:tcPr>
          <w:p>
            <w:pPr>
              <w:spacing w:lineRule="auto"/>
              <w:jc w:val="center"/>
            </w:pPr>
            <w:r>
              <w:rPr/>
              <w:t xml:space="preserve">213,8</w:t>
            </w:r>
          </w:p>
        </w:tc>
        <w:tc>
          <w:tcPr>
            <w:tcBorders>
              <w:bottom w:val="single" w:sz="8" w:space="0" w:color="000000"/>
              <w:right w:val="single" w:sz="8" w:space="0" w:color="000000"/>
            </w:tcBorders>
            <w:vAlign w:val="center"/>
          </w:tcPr>
          <w:p>
            <w:pPr>
              <w:spacing w:lineRule="auto"/>
              <w:jc w:val="center"/>
            </w:pPr>
            <w:r>
              <w:rPr/>
              <w:t xml:space="preserve">186,3</w:t>
            </w:r>
          </w:p>
        </w:tc>
        <w:tc>
          <w:tcPr>
            <w:tcBorders>
              <w:bottom w:val="single" w:sz="8" w:space="0" w:color="000000"/>
              <w:right w:val="single" w:sz="8" w:space="0" w:color="000000"/>
            </w:tcBorders>
            <w:vAlign w:val="center"/>
          </w:tcPr>
          <w:p>
            <w:pPr>
              <w:spacing w:lineRule="auto"/>
              <w:jc w:val="center"/>
            </w:pPr>
            <w:r>
              <w:rPr/>
              <w:t xml:space="preserve">188,8</w:t>
            </w:r>
          </w:p>
        </w:tc>
      </w:tr>
    </w:tbl>
    <w:p>
      <w:pPr>
        <w:spacing w:lineRule="auto"/>
      </w:pPr>
    </w:p>
    <w:p>
      <w:pPr>
        <w:numPr>
          <w:ilvl w:val="0"/>
          <w:numId w:val="4"/>
        </w:numPr>
        <w:spacing w:lineRule="auto"/>
      </w:pPr>
      <w:r>
        <w:rPr>
          <w:rFonts w:eastAsia="Georgia" w:cs="Georgia" w:ascii="Georgia" w:hAnsi="Georgia"/>
        </w:rPr>
        <w:t xml:space="preserve">Capacités thermiques moyennes à pression constante des différents gaz, calculées sur l'intervalle de température [298K, 3500 K ].</w:t>
      </w:r>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m:t>
                    </m:r>
                  </m:e>
                  <m:sub>
                    <m:r>
                      <m:rPr>
                        <m:sty m:val="p"/>
                      </m:rPr>
                      <m:t>2</m:t>
                    </m:r>
                  </m:sub>
                </m:sSub>
                <m:r>
                  <m:rPr>
                    <m:sty m:val="p"/>
                  </m:rPr>
                  <m:t>(</m:t>
                </m:r>
                <m:r>
                  <m:rPr>
                    <m:nor/>
                  </m:rPr>
                  <m:t xml:space="preserve"> </m:t>
                </m:r>
                <m:r>
                  <m:rPr>
                    <m:sty m:val="p"/>
                  </m:rPr>
                  <m:t>g</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N</m:t>
                    </m:r>
                  </m:e>
                  <m:sub>
                    <m:r>
                      <m:rPr>
                        <m:sty m:val="p"/>
                      </m:rPr>
                      <m:t>2</m:t>
                    </m:r>
                  </m:sub>
                </m:sSub>
                <m:r>
                  <m:rPr>
                    <m:sty m:val="p"/>
                  </m:rPr>
                  <m:t>(</m:t>
                </m:r>
                <m:r>
                  <m:rPr>
                    <m:nor/>
                  </m:rPr>
                  <m:t xml:space="preserve"> </m:t>
                </m:r>
                <m:r>
                  <m:rPr>
                    <m:sty m:val="p"/>
                  </m:rPr>
                  <m:t>g</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O</m:t>
                    </m:r>
                  </m:e>
                  <m:sub>
                    <m:r>
                      <m:rPr>
                        <m:sty m:val="p"/>
                      </m:rPr>
                      <m:t>2</m:t>
                    </m:r>
                  </m:sub>
                </m:sSub>
                <m:r>
                  <m:rPr>
                    <m:sty m:val="p"/>
                  </m:rPr>
                  <m:t>(</m:t>
                </m:r>
                <m:r>
                  <m:rPr>
                    <m:nor/>
                  </m:rPr>
                  <m:t xml:space="preserve"> </m:t>
                </m:r>
                <m:r>
                  <m:rPr>
                    <m:sty m:val="p"/>
                  </m:rPr>
                  <m:t>g</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CO</m:t>
                    </m:r>
                  </m:e>
                  <m:sub>
                    <m:r>
                      <m:rPr>
                        <m:sty m:val="p"/>
                      </m:rPr>
                      <m:t>2</m:t>
                    </m:r>
                  </m:sub>
                </m:sSub>
                <m:r>
                  <m:rPr>
                    <m:sty m:val="p"/>
                  </m:rPr>
                  <m:t>(</m:t>
                </m:r>
                <m:r>
                  <m:rPr>
                    <m:nor/>
                  </m:rPr>
                  <m:t xml:space="preserve"> </m:t>
                </m:r>
                <m:r>
                  <m:rPr>
                    <m:sty m:val="p"/>
                  </m:rPr>
                  <m:t>g</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CH</m:t>
                    </m:r>
                  </m:e>
                  <m:sub>
                    <m:r>
                      <m:rPr>
                        <m:sty m:val="p"/>
                      </m:rPr>
                      <m:t>4</m:t>
                    </m:r>
                  </m:sub>
                </m:sSub>
                <m:r>
                  <m:rPr>
                    <m:sty m:val="p"/>
                  </m:rPr>
                  <m:t>(</m:t>
                </m:r>
                <m:r>
                  <m:rPr>
                    <m:nor/>
                  </m:rPr>
                  <m:t xml:space="preserve"> </m:t>
                </m:r>
                <m:r>
                  <m:rPr>
                    <m:sty m:val="p"/>
                  </m:rPr>
                  <m:t>g</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m:t>
                    </m:r>
                  </m:e>
                  <m:sub>
                    <m:r>
                      <m:rPr>
                        <m:sty m:val="p"/>
                      </m:rPr>
                      <m:t>2</m:t>
                    </m:r>
                  </m:sub>
                </m:sSub>
                <m:r>
                  <m:rPr>
                    <m:sty m:val="p"/>
                  </m:rPr>
                  <m:t>O</m:t>
                </m:r>
                <m:r>
                  <m:rPr>
                    <m:sty m:val="p"/>
                  </m:rPr>
                  <m:t>(</m:t>
                </m:r>
                <m:r>
                  <m:rPr>
                    <m:sty m:val="p"/>
                  </m:rPr>
                  <m:t>g</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
              <m:sSub>
                <m:sSubPr/>
                <m:e>
                  <m:r>
                    <m:rPr>
                      <m:sty m:val="i"/>
                    </m:rPr>
                    <m:t>C</m:t>
                  </m:r>
                </m:e>
                <m:sub>
                  <m:r>
                    <m:rPr>
                      <m:sty m:val="i"/>
                    </m:rPr>
                    <m:t>p</m:t>
                  </m:r>
                  <m:r>
                    <m:rPr>
                      <m:sty m:val="p"/>
                    </m:rPr>
                    <m:t>,</m:t>
                  </m:r>
                  <m:r>
                    <m:rPr>
                      <m:sty m:val="i"/>
                    </m:rPr>
                    <m:t>n</m:t>
                  </m:r>
                </m:sub>
              </m:sSub>
            </m:oMath>
            <w:r>
              <w:rPr/>
              <w:t xml:space="preserve"> en </w:t>
            </w:r>
            <m:oMath>
              <m:r>
                <m:rPr>
                  <m:sty m:val="p"/>
                </m:rPr>
                <m:t>J</m:t>
              </m:r>
              <m:r>
                <m:rPr>
                  <m:sty m:val="p"/>
                </m:rPr>
                <m:t>⋅</m:t>
              </m:r>
              <m:sSup>
                <m:sSupPr/>
                <m:e>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w:p>
        </w:tc>
        <w:tc>
          <w:tcPr>
            <w:tcBorders>
              <w:bottom w:val="single" w:sz="8" w:space="0" w:color="000000"/>
              <w:right w:val="single" w:sz="8" w:space="0" w:color="000000"/>
            </w:tcBorders>
            <w:vAlign w:val="center"/>
          </w:tcPr>
          <w:p>
            <w:pPr>
              <w:spacing w:lineRule="auto"/>
              <w:jc w:val="center"/>
            </w:pPr>
            <w:r>
              <w:rPr/>
              <w:t xml:space="preserve">29,2</w:t>
            </w:r>
          </w:p>
        </w:tc>
        <w:tc>
          <w:tcPr>
            <w:tcBorders>
              <w:bottom w:val="single" w:sz="8" w:space="0" w:color="000000"/>
              <w:right w:val="single" w:sz="8" w:space="0" w:color="000000"/>
            </w:tcBorders>
            <w:vAlign w:val="center"/>
          </w:tcPr>
          <w:p>
            <w:pPr>
              <w:spacing w:lineRule="auto"/>
              <w:jc w:val="center"/>
            </w:pPr>
            <w:r>
              <w:rPr/>
              <w:t xml:space="preserve">30,1</w:t>
            </w:r>
          </w:p>
        </w:tc>
        <w:tc>
          <w:tcPr>
            <w:tcBorders>
              <w:bottom w:val="single" w:sz="8" w:space="0" w:color="000000"/>
              <w:right w:val="single" w:sz="8" w:space="0" w:color="000000"/>
            </w:tcBorders>
            <w:vAlign w:val="center"/>
          </w:tcPr>
          <w:p>
            <w:pPr>
              <w:spacing w:lineRule="auto"/>
              <w:jc w:val="center"/>
            </w:pPr>
            <w:r>
              <w:rPr/>
              <w:t xml:space="preserve">32,3</w:t>
            </w:r>
          </w:p>
        </w:tc>
        <w:tc>
          <w:tcPr>
            <w:tcBorders>
              <w:bottom w:val="single" w:sz="8" w:space="0" w:color="000000"/>
              <w:right w:val="single" w:sz="8" w:space="0" w:color="000000"/>
            </w:tcBorders>
            <w:vAlign w:val="center"/>
          </w:tcPr>
          <w:p>
            <w:pPr>
              <w:spacing w:lineRule="auto"/>
              <w:jc w:val="center"/>
            </w:pPr>
            <w:r>
              <w:rPr/>
              <w:t xml:space="preserve">45.4</w:t>
            </w:r>
          </w:p>
        </w:tc>
        <w:tc>
          <w:tcPr>
            <w:tcBorders>
              <w:bottom w:val="single" w:sz="8" w:space="0" w:color="000000"/>
              <w:right w:val="single" w:sz="8" w:space="0" w:color="000000"/>
            </w:tcBorders>
            <w:vAlign w:val="center"/>
          </w:tcPr>
          <w:p>
            <w:pPr>
              <w:spacing w:lineRule="auto"/>
              <w:jc w:val="center"/>
            </w:pPr>
            <w:r>
              <w:rPr/>
              <w:t xml:space="preserve">44.5</w:t>
            </w:r>
          </w:p>
        </w:tc>
        <w:tc>
          <w:tcPr>
            <w:tcBorders>
              <w:bottom w:val="single" w:sz="8" w:space="0" w:color="000000"/>
              <w:right w:val="single" w:sz="8" w:space="0" w:color="000000"/>
            </w:tcBorders>
            <w:vAlign w:val="center"/>
          </w:tcPr>
          <w:p>
            <w:pPr>
              <w:spacing w:lineRule="auto"/>
              <w:jc w:val="center"/>
            </w:pPr>
            <w:r>
              <w:rPr/>
              <w:t xml:space="preserve">37,6</w:t>
            </w:r>
          </w:p>
        </w:tc>
      </w:tr>
    </w:tbl>
    <w:p>
      <w:pPr>
        <w:spacing w:lineRule="auto"/>
      </w:pPr>
    </w:p>
    <w:p>
      <w:pPr>
        <w:numPr>
          <w:ilvl w:val="0"/>
          <w:numId w:val="5"/>
        </w:numPr>
        <w:spacing w:lineRule="auto"/>
      </w:pPr>
      <w:r>
        <w:rPr/>
        <w:t xml:space="preserve">Loi de van't Hoff : </w:t>
      </w:r>
      <m:oMath>
        <m:f>
          <m:fPr>
            <m:ctrlPr>
              <w:rPr>
                <w:rFonts w:ascii="Cambria Math" w:hAnsi="Cambria Math"/>
              </w:rPr>
            </m:ctrlPr>
          </m:fPr>
          <m:num>
            <m:r>
              <m:rPr>
                <m:sty m:val="p"/>
              </m:rPr>
              <m:t>d</m:t>
            </m:r>
            <m:r>
              <m:rPr>
                <m:sty m:val="p"/>
              </m:rPr>
              <m:t>ln</m:t>
            </m:r>
            <m:r>
              <m:rPr>
                <m:sty m:val="p"/>
              </m:rPr>
              <m:t>⁡</m:t>
            </m:r>
            <m:sSup>
              <m:sSupPr/>
              <m:e>
                <m:r>
                  <m:rPr>
                    <m:sty m:val="i"/>
                  </m:rPr>
                  <m:t>K</m:t>
                </m:r>
              </m:e>
              <m:sup>
                <m:r>
                  <m:rPr>
                    <m:sty m:val="p"/>
                  </m:rPr>
                  <m:t>∘</m:t>
                </m:r>
              </m:sup>
            </m:sSup>
          </m:num>
          <m:den>
            <m:r>
              <m:rPr>
                <m:sty m:val="p"/>
              </m:rPr>
              <m:t>d</m:t>
            </m:r>
            <m:r>
              <m:rPr>
                <m:sty m:val="i"/>
              </m:rPr>
              <m:t>T</m:t>
            </m:r>
          </m:den>
        </m:f>
        <m:r>
          <m:rPr>
            <m:sty m:val="p"/>
          </m:rPr>
          <m:t>=</m:t>
        </m:r>
        <m:f>
          <m:fPr>
            <m:ctrlPr>
              <w:rPr>
                <w:rFonts w:ascii="Cambria Math" w:hAnsi="Cambria Math"/>
              </w:rPr>
            </m:ctrlPr>
          </m:fPr>
          <m:num>
            <m:sSub>
              <m:sSubPr/>
              <m:e>
                <m:r>
                  <m:rPr>
                    <m:sty m:val="p"/>
                  </m:rPr>
                  <m:t>Δ</m:t>
                </m:r>
              </m:e>
              <m:sub>
                <m:r>
                  <m:rPr>
                    <m:sty m:val="i"/>
                  </m:rPr>
                  <m:t>r</m:t>
                </m:r>
              </m:sub>
            </m:sSub>
            <m:sSup>
              <m:sSupPr/>
              <m:e>
                <m:r>
                  <m:rPr>
                    <m:sty m:val="i"/>
                  </m:rPr>
                  <m:t>H</m:t>
                </m:r>
              </m:e>
              <m:sup>
                <m:r>
                  <m:rPr>
                    <m:sty m:val="p"/>
                  </m:rPr>
                  <m:t>∘</m:t>
                </m:r>
              </m:sup>
            </m:sSup>
          </m:num>
          <m:den>
            <m:r>
              <m:rPr>
                <m:sty m:val="i"/>
              </m:rPr>
              <m:t>R</m:t>
            </m:r>
            <m:sSup>
              <m:sSupPr/>
              <m:e>
                <m:r>
                  <m:rPr>
                    <m:sty m:val="i"/>
                  </m:rPr>
                  <m:t>T</m:t>
                </m:r>
              </m:e>
              <m:sup>
                <m:r>
                  <m:rPr>
                    <m:sty m:val="p"/>
                  </m:rPr>
                  <m:t>2</m:t>
                </m:r>
              </m:sup>
            </m:sSup>
          </m:den>
        </m:f>
      </m:oMath>
    </w:p>
    <w:p>
      <w:pPr>
        <w:spacing w:line="271" w:before="330" w:lineRule="auto"/>
      </w:pPr>
      <w:r>
        <w:rPr>
          <w:rFonts w:eastAsia="Georgia" w:cs="Georgia" w:ascii="Georgia" w:hAnsi="Georgia"/>
          <w:b/>
          <w:sz w:val="42"/>
        </w:rPr>
        <w:t xml:space="preserve">Données partie B</w:t>
      </w:r>
    </w:p>
    <w:p>
      <w:pPr>
        <w:numPr>
          <w:ilvl w:val="0"/>
          <w:numId w:val="6"/>
        </w:numPr>
        <w:spacing w:lineRule="auto"/>
      </w:pPr>
      <w:r>
        <w:rPr/>
        <w:t xml:space="preserve">Tension de saturation en sortie : </w:t>
      </w:r>
      <m:oMath>
        <m:sSub>
          <m:sSubPr/>
          <m:e>
            <m:r>
              <m:rPr>
                <m:sty m:val="i"/>
              </m:rPr>
              <m:t>V</m:t>
            </m:r>
          </m:e>
          <m:sub>
            <m:r>
              <m:rPr>
                <m:nor/>
              </m:rPr>
              <m:t>sat </m:t>
            </m:r>
          </m:sub>
        </m:sSub>
        <m:r>
          <m:rPr>
            <m:sty m:val="p"/>
          </m:rPr>
          <m:t>=</m:t>
        </m:r>
        <m:r>
          <m:rPr>
            <m:sty m:val="p"/>
          </m:rPr>
          <m:t>14</m:t>
        </m:r>
        <m:r>
          <m:rPr>
            <m:sty m:val="p"/>
          </m:rPr>
          <m:t>,</m:t>
        </m:r>
        <m:r>
          <m:rPr>
            <m:sty m:val="p"/>
          </m:rPr>
          <m:t>0</m:t>
        </m:r>
        <m:r>
          <m:rPr>
            <m:nor/>
          </m:rPr>
          <m:t xml:space="preserve"> </m:t>
        </m:r>
        <m:r>
          <m:rPr>
            <m:sty m:val="p"/>
          </m:rPr>
          <m:t>V</m:t>
        </m:r>
      </m:oMath>
    </w:p>
    <w:p>
      <w:pPr>
        <w:numPr>
          <w:ilvl w:val="0"/>
          <w:numId w:val="6"/>
        </w:numPr>
        <w:spacing w:lineRule="auto"/>
      </w:pPr>
      <w:r>
        <w:rPr>
          <w:rFonts w:eastAsia="Georgia" w:cs="Georgia" w:ascii="Georgia" w:hAnsi="Georgia"/>
        </w:rPr>
        <w:t xml:space="preserve">Intensité maximale en sortie de l'ALI : </w:t>
      </w:r>
      <m:oMath>
        <m:sSub>
          <m:sSubPr/>
          <m:e>
            <m:r>
              <m:rPr>
                <m:sty m:val="i"/>
              </m:rPr>
              <m:t>I</m:t>
            </m:r>
          </m:e>
          <m:sub>
            <m:r>
              <m:rPr>
                <m:sty m:val="i"/>
              </m:rPr>
              <m:t>s</m:t>
            </m:r>
            <m:r>
              <m:rPr>
                <m:sty m:val="p"/>
              </m:rPr>
              <m:t>,</m:t>
            </m:r>
            <m:r>
              <m:rPr>
                <m:sty m:val="p"/>
              </m:rPr>
              <m:t>max</m:t>
            </m:r>
          </m:sub>
        </m:sSub>
        <m:r>
          <m:rPr>
            <m:sty m:val="p"/>
          </m:rPr>
          <m:t>=</m:t>
        </m:r>
        <m:r>
          <m:rPr>
            <m:sty m:val="p"/>
          </m:rPr>
          <m:t>25</m:t>
        </m:r>
        <m:r>
          <m:rPr>
            <m:nor/>
          </m:rPr>
          <m:t xml:space="preserve"> </m:t>
        </m:r>
        <m:r>
          <m:rPr>
            <m:sty m:val="p"/>
          </m:rPr>
          <m:t>mA</m:t>
        </m:r>
      </m:oMath>
    </w:p>
    <w:p>
      <w:pPr>
        <w:numPr>
          <w:ilvl w:val="0"/>
          <w:numId w:val="6"/>
        </w:numPr>
        <w:spacing w:lineRule="auto"/>
      </w:pPr>
      <w:r>
        <w:rPr/>
        <w:t xml:space="preserve">Vitesse de balayage (ou slew-rate) : </w:t>
      </w:r>
      <m:oMath>
        <m:r>
          <m:rPr>
            <m:sty m:val="i"/>
          </m:rPr>
          <m:t>σ</m:t>
        </m:r>
        <m:r>
          <m:rPr>
            <m:sty m:val="p"/>
          </m:rPr>
          <m:t>≈</m:t>
        </m:r>
        <m:r>
          <m:rPr>
            <m:sty m:val="p"/>
          </m:rPr>
          <m:t>10</m:t>
        </m:r>
        <m:r>
          <m:rPr>
            <m:nor/>
          </m:rPr>
          <m:t xml:space="preserve"> </m:t>
        </m:r>
        <m:r>
          <m:rPr>
            <m:sty m:val="p"/>
          </m:rPr>
          <m:t>V</m:t>
        </m:r>
        <m:r>
          <m:rPr>
            <m:sty m:val="p"/>
          </m:rPr>
          <m:t>⋅</m:t>
        </m:r>
        <m:sSub>
          <m:sSubPr/>
          <m:e>
            <m:r>
              <m:rPr>
                <m:sty m:val="i"/>
              </m:rPr>
              <m:t>μ</m:t>
            </m:r>
          </m:e>
          <m:sub>
            <m:r>
              <m:rPr>
                <m:sty m:val="p"/>
              </m:rPr>
              <m:t>s</m:t>
            </m:r>
          </m:sub>
        </m:sSub>
        <m:sSup>
          <m:sSupPr/>
          <m:e>
            <m:r>
              <m:t xml:space="preserve"> </m:t>
            </m:r>
          </m:e>
          <m:sup>
            <m:r>
              <m:rPr>
                <m:sty m:val="p"/>
              </m:rPr>
              <m:t>−</m:t>
            </m:r>
            <m:r>
              <m:rPr>
                <m:sty m:val="p"/>
              </m:rPr>
              <m:t>1</m:t>
            </m:r>
          </m:sup>
        </m:sSup>
      </m:oMath>
    </w:p>
    <w:p>
      <w:pPr>
        <w:spacing w:line="271" w:before="330" w:lineRule="auto"/>
      </w:pPr>
      <w:r>
        <w:rPr>
          <w:rFonts w:eastAsia="Georgia" w:cs="Georgia" w:ascii="Georgia" w:hAnsi="Georgia"/>
          <w:b/>
          <w:sz w:val="42"/>
        </w:rPr>
        <w:t xml:space="preserve">Données parties C et D</w:t>
      </w:r>
    </w:p>
    <w:p>
      <w:pPr>
        <w:numPr>
          <w:ilvl w:val="0"/>
          <w:numId w:val="7"/>
        </w:numPr>
        <w:spacing w:lineRule="auto"/>
      </w:pPr>
      <w:r>
        <w:rPr>
          <w:rFonts w:eastAsia="Georgia" w:cs="Georgia" w:ascii="Georgia" w:hAnsi="Georgia"/>
        </w:rPr>
        <w:t xml:space="preserve">Accélération de la pesanteur : </w:t>
      </w:r>
      <m:oMath>
        <m:r>
          <m:rPr>
            <m:sty m:val="i"/>
          </m:rPr>
          <m:t>g</m:t>
        </m:r>
        <m:r>
          <m:rPr>
            <m:sty m:val="p"/>
          </m:rPr>
          <m:t>=</m:t>
        </m:r>
        <m:r>
          <m:rPr>
            <m:sty m:val="p"/>
          </m:rPr>
          <m:t>9</m:t>
        </m:r>
        <m:r>
          <m:rPr>
            <m:sty m:val="p"/>
          </m:rPr>
          <m:t>,</m:t>
        </m:r>
        <m:r>
          <m:rPr>
            <m:sty m:val="p"/>
          </m:rPr>
          <m:t>81</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w:p>
    <w:p>
      <w:pPr>
        <w:numPr>
          <w:ilvl w:val="0"/>
          <w:numId w:val="7"/>
        </w:numPr>
        <w:spacing w:lineRule="auto"/>
      </w:pPr>
      <w:r>
        <w:rPr>
          <w:rFonts w:eastAsia="Georgia" w:cs="Georgia" w:ascii="Georgia" w:hAnsi="Georgia"/>
        </w:rPr>
        <w:t xml:space="preserve">Permittivité magnétique du vide : </w:t>
      </w:r>
      <m:oMath>
        <m:sSub>
          <m:sSubPr/>
          <m:e>
            <m:r>
              <m:rPr>
                <m:sty m:val="i"/>
              </m:rPr>
              <m:t>μ</m:t>
            </m:r>
          </m:e>
          <m:sub>
            <m:r>
              <m:rPr>
                <m:sty m:val="p"/>
              </m:rPr>
              <m:t>0</m:t>
            </m:r>
          </m:sub>
        </m:sSub>
        <m:r>
          <m:rPr>
            <m:sty m:val="p"/>
          </m:rPr>
          <m:t>=</m:t>
        </m:r>
        <m:r>
          <m:rPr>
            <m:sty m:val="p"/>
          </m:rPr>
          <m:t>1</m:t>
        </m:r>
        <m:r>
          <m:rPr>
            <m:sty m:val="p"/>
          </m:rPr>
          <m:t>,</m:t>
        </m:r>
        <m:r>
          <m:rPr>
            <m:sty m:val="p"/>
          </m:rPr>
          <m:t>26</m:t>
        </m:r>
        <m:r>
          <m:rPr>
            <m:sty m:val="p"/>
          </m:rPr>
          <m:t>×</m:t>
        </m:r>
        <m:sSup>
          <m:sSupPr/>
          <m:e>
            <m:r>
              <m:rPr>
                <m:sty m:val="p"/>
              </m:rPr>
              <m:t>10</m:t>
            </m:r>
          </m:e>
          <m:sup>
            <m:r>
              <m:rPr>
                <m:sty m:val="p"/>
              </m:rPr>
              <m:t>−</m:t>
            </m:r>
            <m:r>
              <m:rPr>
                <m:sty m:val="p"/>
              </m:rPr>
              <m:t>6</m:t>
            </m:r>
          </m:sup>
        </m:sSup>
        <m:r>
          <m:rPr>
            <m:sty m:val="p"/>
          </m:rPr>
          <m:t>H</m:t>
        </m:r>
        <m:r>
          <m:rPr>
            <m:sty m:val="p"/>
          </m:rPr>
          <m:t>⋅</m:t>
        </m:r>
        <m:sSup>
          <m:sSupPr/>
          <m:e>
            <m:r>
              <m:rPr>
                <m:sty m:val="p"/>
              </m:rPr>
              <m:t>m</m:t>
            </m:r>
          </m:e>
          <m:sup>
            <m:r>
              <m:rPr>
                <m:sty m:val="p"/>
              </m:rPr>
              <m:t>−</m:t>
            </m:r>
            <m:r>
              <m:rPr>
                <m:sty m:val="p"/>
              </m:rPr>
              <m:t>1</m:t>
            </m:r>
          </m:sup>
        </m:sSup>
      </m:oMath>
    </w:p>
    <w:p>
      <w:pPr>
        <w:numPr>
          <w:ilvl w:val="0"/>
          <w:numId w:val="7"/>
        </w:numPr>
        <w:spacing w:lineRule="auto"/>
      </w:pPr>
      <w:r>
        <w:rPr>
          <w:rFonts w:eastAsia="Georgia" w:cs="Georgia" w:ascii="Georgia" w:hAnsi="Georgia"/>
        </w:rPr>
        <w:t xml:space="preserve">Données sur le Blue Fire :</w:t>
      </w:r>
    </w:p>
    <w:p>
      <w:pPr>
        <w:numPr>
          <w:ilvl w:val="0"/>
          <w:numId w:val="7"/>
        </w:numPr>
        <w:spacing w:lineRule="auto"/>
      </w:pPr>
      <w:r>
        <w:rPr>
          <w:rFonts w:eastAsia="Georgia" w:cs="Georgia" w:ascii="Georgia" w:hAnsi="Georgia"/>
        </w:rPr>
        <w:t xml:space="preserve">Accélération moyenne du train pendant la phase d'accélération : </w:t>
      </w:r>
      <m:oMath>
        <m:r>
          <m:rPr>
            <m:sty m:val="i"/>
          </m:rPr>
          <m:t>a</m:t>
        </m:r>
        <m:r>
          <m:rPr>
            <m:sty m:val="p"/>
          </m:rPr>
          <m:t>=</m:t>
        </m:r>
        <m:r>
          <m:rPr>
            <m:sty m:val="p"/>
          </m:rPr>
          <m:t>1</m:t>
        </m:r>
        <m:r>
          <m:rPr>
            <m:sty m:val="p"/>
          </m:rPr>
          <m:t>,</m:t>
        </m:r>
        <m:r>
          <m:rPr>
            <m:sty m:val="p"/>
          </m:rPr>
          <m:t>15</m:t>
        </m:r>
        <m:r>
          <m:rPr>
            <m:sty m:val="i"/>
          </m:rPr>
          <m:t>g</m:t>
        </m:r>
      </m:oMath>
    </w:p>
    <w:p>
      <w:pPr>
        <w:numPr>
          <w:ilvl w:val="0"/>
          <w:numId w:val="7"/>
        </w:numPr>
        <w:spacing w:lineRule="auto"/>
      </w:pPr>
      <w:r>
        <w:rPr>
          <w:rFonts w:eastAsia="Georgia" w:cs="Georgia" w:ascii="Georgia" w:hAnsi="Georgia"/>
        </w:rPr>
        <w:t xml:space="preserve">Durée de la phase d'accélération : </w:t>
      </w:r>
      <m:oMath>
        <m:sSub>
          <m:sSubPr/>
          <m:e>
            <m:r>
              <m:rPr>
                <m:sty m:val="i"/>
              </m:rPr>
              <m:t>t</m:t>
            </m:r>
          </m:e>
          <m:sub>
            <m:r>
              <m:rPr>
                <m:sty m:val="i"/>
              </m:rPr>
              <m:t>a</m:t>
            </m:r>
          </m:sub>
        </m:sSub>
        <m:r>
          <m:rPr>
            <m:sty m:val="p"/>
          </m:rPr>
          <m:t>=</m:t>
        </m:r>
        <m:r>
          <m:rPr>
            <m:sty m:val="p"/>
          </m:rPr>
          <m:t>2</m:t>
        </m:r>
        <m:r>
          <m:rPr>
            <m:sty m:val="p"/>
          </m:rPr>
          <m:t>,</m:t>
        </m:r>
        <m:r>
          <m:rPr>
            <m:sty m:val="p"/>
          </m:rPr>
          <m:t>5</m:t>
        </m:r>
        <m:r>
          <m:rPr>
            <m:nor/>
          </m:rPr>
          <m:t xml:space="preserve"> </m:t>
        </m:r>
        <m:r>
          <m:rPr>
            <m:sty m:val="p"/>
          </m:rPr>
          <m:t>s</m:t>
        </m:r>
      </m:oMath>
    </w:p>
    <w:p>
      <w:pPr>
        <w:numPr>
          <w:ilvl w:val="0"/>
          <w:numId w:val="7"/>
        </w:numPr>
        <w:spacing w:lineRule="auto"/>
      </w:pPr>
      <w:r>
        <w:rPr>
          <w:rFonts w:eastAsia="Georgia" w:cs="Georgia" w:ascii="Georgia" w:hAnsi="Georgia"/>
        </w:rPr>
        <w:t xml:space="preserve">Hauteur maximale de la première figure («fer à cheval») par rapport à la zone de lancement : </w:t>
      </w:r>
      <m:oMath>
        <m:r>
          <m:rPr>
            <m:sty m:val="i"/>
          </m:rPr>
          <m:t>h</m:t>
        </m:r>
        <m:r>
          <m:rPr>
            <m:sty m:val="p"/>
          </m:rPr>
          <m:t>=</m:t>
        </m:r>
        <m:r>
          <m:rPr>
            <m:sty m:val="p"/>
          </m:rPr>
          <m:t>37</m:t>
        </m:r>
        <m:r>
          <m:rPr>
            <m:nor/>
          </m:rPr>
          <m:t xml:space="preserve"> </m:t>
        </m:r>
        <m:r>
          <m:rPr>
            <m:sty m:val="p"/>
          </m:rPr>
          <m:t>m</m:t>
        </m:r>
      </m:oMath>
    </w:p>
    <w:p>
      <w:pPr>
        <w:numPr>
          <w:ilvl w:val="0"/>
          <w:numId w:val="7"/>
        </w:numPr>
        <w:spacing w:lineRule="auto"/>
      </w:pPr>
      <w:r>
        <w:rPr/>
        <w:t xml:space="preserve">Rayon du looping </w:t>
      </w:r>
      <m:oMath>
        <m:r>
          <m:rPr>
            <m:sty m:val="i"/>
          </m:rPr>
          <m:t>R</m:t>
        </m:r>
        <m:r>
          <m:rPr>
            <m:sty m:val="p"/>
          </m:rPr>
          <m:t>=</m:t>
        </m:r>
        <m:r>
          <m:rPr>
            <m:sty m:val="p"/>
          </m:rPr>
          <m:t>15</m:t>
        </m:r>
        <m:r>
          <m:rPr>
            <m:nor/>
          </m:rPr>
          <m:t xml:space="preserve"> </m:t>
        </m:r>
        <m:r>
          <m:rPr>
            <m:sty m:val="p"/>
          </m:rPr>
          <m:t>m</m:t>
        </m:r>
      </m:oMath>
      <w:r>
        <w:rPr/>
        <w:t xml:space="preserve">.</w:t>
      </w:r>
    </w:p>
    <w:p>
      <w:pPr>
        <w:numPr>
          <w:ilvl w:val="0"/>
          <w:numId w:val="7"/>
        </w:numPr>
        <w:spacing w:lineRule="auto"/>
      </w:pPr>
      <w:r>
        <w:rPr/>
        <w:t xml:space="preserve">Masse totale d'un train et de ses passagers : </w:t>
      </w:r>
      <m:oMath>
        <m:r>
          <m:rPr>
            <m:sty m:val="i"/>
          </m:rPr>
          <m:t>m</m:t>
        </m:r>
        <m:r>
          <m:rPr>
            <m:sty m:val="p"/>
          </m:rPr>
          <m:t>=</m:t>
        </m:r>
        <m:r>
          <m:rPr>
            <m:sty m:val="p"/>
          </m:rPr>
          <m:t>10</m:t>
        </m:r>
      </m:oMath>
      <w:r>
        <w:rPr/>
        <w:t xml:space="preserve"> tonnes</w:t>
      </w:r>
    </w:p>
    <w:p>
      <w:pPr>
        <w:numPr>
          <w:ilvl w:val="0"/>
          <w:numId w:val="7"/>
        </w:numPr>
        <w:spacing w:lineRule="auto"/>
      </w:pPr>
      <w:r>
        <w:rPr>
          <w:rFonts w:eastAsia="Georgia" w:cs="Georgia" w:ascii="Georgia" w:hAnsi="Georgia"/>
        </w:rPr>
        <w:t xml:space="preserve">Durée entre deux lancers successifs : </w:t>
      </w:r>
      <m:oMath>
        <m:r>
          <m:rPr>
            <m:sty m:val="p"/>
          </m:rPr>
          <m:t>Δ</m:t>
        </m:r>
        <m:r>
          <m:rPr>
            <m:sty m:val="i"/>
          </m:rPr>
          <m:t>t</m:t>
        </m:r>
        <m:r>
          <m:rPr>
            <m:sty m:val="p"/>
          </m:rPr>
          <m:t>=</m:t>
        </m:r>
        <m:r>
          <m:rPr>
            <m:sty m:val="p"/>
          </m:rPr>
          <m:t>2</m:t>
        </m:r>
        <m:r>
          <m:rPr>
            <m:sty m:val="p"/>
          </m:rPr>
          <m:t>min</m:t>
        </m:r>
        <m:r>
          <m:rPr>
            <m:sty m:val="p"/>
          </m:rPr>
          <m:t>30</m:t>
        </m:r>
        <m:r>
          <m:rPr>
            <m:nor/>
          </m:rPr>
          <m:t xml:space="preserve"> </m:t>
        </m:r>
        <m:r>
          <m:rPr>
            <m:sty m:val="p"/>
          </m:rPr>
          <m:t>s</m:t>
        </m:r>
      </m:oMath>
    </w:p>
    <w:p>
      <w:pPr>
        <w:numPr>
          <w:ilvl w:val="0"/>
          <w:numId w:val="7"/>
        </w:numPr>
        <w:spacing w:lineRule="auto"/>
      </w:pPr>
      <w:r>
        <w:rPr>
          <w:rFonts w:eastAsia="Georgia" w:cs="Georgia" w:ascii="Georgia" w:hAnsi="Georgia"/>
        </w:rPr>
        <w:t xml:space="preserve">Données sur une plaque du stator du moteur linéaire synchrone :</w:t>
      </w:r>
    </w:p>
    <w:p>
      <w:pPr>
        <w:numPr>
          <w:ilvl w:val="0"/>
          <w:numId w:val="7"/>
        </w:numPr>
        <w:spacing w:lineRule="auto"/>
      </w:pPr>
      <w:r>
        <w:rPr/>
        <w:t xml:space="preserve">Dimensions : </w:t>
      </w:r>
      <m:oMath>
        <m:r>
          <m:rPr>
            <m:sty m:val="i"/>
          </m:rPr>
          <m:t>a</m:t>
        </m:r>
        <m:r>
          <m:rPr>
            <m:sty m:val="p"/>
          </m:rPr>
          <m:t>=</m:t>
        </m:r>
        <m:r>
          <m:rPr>
            <m:sty m:val="p"/>
          </m:rPr>
          <m:t>1</m:t>
        </m:r>
        <m:r>
          <m:rPr>
            <m:sty m:val="p"/>
          </m:rPr>
          <m:t>,</m:t>
        </m:r>
        <m:r>
          <m:rPr>
            <m:sty m:val="p"/>
          </m:rPr>
          <m:t>0</m:t>
        </m:r>
        <m:r>
          <m:rPr>
            <m:nor/>
          </m:rPr>
          <m:t xml:space="preserve"> </m:t>
        </m:r>
        <m:r>
          <m:rPr>
            <m:sty m:val="p"/>
          </m:rPr>
          <m:t>m</m:t>
        </m:r>
        <m:r>
          <m:rPr>
            <m:sty m:val="p"/>
          </m:rPr>
          <m:t>,</m:t>
        </m:r>
        <m:r>
          <m:rPr>
            <m:sty m:val="i"/>
          </m:rPr>
          <m:t>b</m:t>
        </m:r>
        <m:r>
          <m:rPr>
            <m:sty m:val="p"/>
          </m:rPr>
          <m:t>=</m:t>
        </m:r>
        <m:r>
          <m:rPr>
            <m:sty m:val="p"/>
          </m:rPr>
          <m:t>0</m:t>
        </m:r>
        <m:r>
          <m:rPr>
            <m:sty m:val="p"/>
          </m:rPr>
          <m:t>,</m:t>
        </m:r>
        <m:r>
          <m:rPr>
            <m:sty m:val="p"/>
          </m:rPr>
          <m:t>2</m:t>
        </m:r>
        <m:r>
          <m:rPr>
            <m:nor/>
          </m:rPr>
          <m:t xml:space="preserve"> </m:t>
        </m:r>
        <m:r>
          <m:rPr>
            <m:sty m:val="p"/>
          </m:rPr>
          <m:t>m</m:t>
        </m:r>
        <m:r>
          <m:rPr>
            <m:sty m:val="p"/>
          </m:rPr>
          <m:t>,</m:t>
        </m:r>
        <m:r>
          <m:rPr>
            <m:sty m:val="i"/>
          </m:rPr>
          <m:t>e</m:t>
        </m:r>
        <m:r>
          <m:rPr>
            <m:sty m:val="p"/>
          </m:rPr>
          <m:t>=</m:t>
        </m:r>
        <m:r>
          <m:rPr>
            <m:sty m:val="p"/>
          </m:rPr>
          <m:t>5</m:t>
        </m:r>
        <m:r>
          <m:rPr>
            <m:sty m:val="p"/>
          </m:rPr>
          <m:t>×</m:t>
        </m:r>
        <m:sSup>
          <m:sSupPr/>
          <m:e>
            <m:r>
              <m:rPr>
                <m:sty m:val="p"/>
              </m:rPr>
              <m:t>10</m:t>
            </m:r>
          </m:e>
          <m:sup>
            <m:r>
              <m:rPr>
                <m:sty m:val="p"/>
              </m:rPr>
              <m:t>−</m:t>
            </m:r>
            <m:r>
              <m:rPr>
                <m:sty m:val="p"/>
              </m:rPr>
              <m:t>3</m:t>
            </m:r>
          </m:sup>
        </m:sSup>
        <m:r>
          <m:rPr>
            <m:nor/>
          </m:rPr>
          <m:t xml:space="preserve"> </m:t>
        </m:r>
        <m:r>
          <m:rPr>
            <m:sty m:val="p"/>
          </m:rPr>
          <m:t>m</m:t>
        </m:r>
      </m:oMath>
    </w:p>
    <w:p>
      <w:pPr>
        <w:numPr>
          <w:ilvl w:val="0"/>
          <w:numId w:val="7"/>
        </w:numPr>
        <w:spacing w:lineRule="auto"/>
      </w:pPr>
      <w:r>
        <w:rPr/>
        <w:t xml:space="preserve">Masse volumique de l'acier : </w:t>
      </w:r>
      <m:oMath>
        <m:sSub>
          <m:sSubPr/>
          <m:e>
            <m:r>
              <m:rPr>
                <m:sty m:val="i"/>
              </m:rPr>
              <m:t>ρ</m:t>
            </m:r>
          </m:e>
          <m:sub>
            <m:r>
              <m:rPr>
                <m:sty m:val="i"/>
              </m:rPr>
              <m:t>a</m:t>
            </m:r>
          </m:sub>
        </m:sSub>
        <m:r>
          <m:rPr>
            <m:sty m:val="p"/>
          </m:rPr>
          <m:t>=</m:t>
        </m:r>
        <m:r>
          <m:rPr>
            <m:sty m:val="p"/>
          </m:rPr>
          <m:t>7</m:t>
        </m:r>
        <m:r>
          <m:rPr>
            <m:sty m:val="p"/>
          </m:rPr>
          <m:t>,</m:t>
        </m:r>
        <m:r>
          <m:rPr>
            <m:sty m:val="p"/>
          </m:rPr>
          <m:t>8</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p>
    <w:p>
      <w:pPr>
        <w:numPr>
          <w:ilvl w:val="0"/>
          <w:numId w:val="7"/>
        </w:numPr>
        <w:spacing w:lineRule="auto"/>
      </w:pPr>
      <w:r>
        <w:rPr>
          <w:rFonts w:eastAsia="Georgia" w:cs="Georgia" w:ascii="Georgia" w:hAnsi="Georgia"/>
        </w:rPr>
        <w:t xml:space="preserve">Capacité thermique massique de l'acier : </w:t>
      </w:r>
      <m:oMath>
        <m:sSub>
          <m:sSubPr/>
          <m:e>
            <m:r>
              <m:rPr>
                <m:sty m:val="i"/>
              </m:rPr>
              <m:t>c</m:t>
            </m:r>
          </m:e>
          <m:sub>
            <m:r>
              <m:rPr>
                <m:sty m:val="i"/>
              </m:rPr>
              <m:t>a</m:t>
            </m:r>
          </m:sub>
        </m:sSub>
        <m:r>
          <m:rPr>
            <m:sty m:val="p"/>
          </m:rPr>
          <m:t>=</m:t>
        </m:r>
        <m:r>
          <m:rPr>
            <m:sty m:val="p"/>
          </m:rPr>
          <m:t>450</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kg</m:t>
            </m:r>
          </m:e>
          <m:sup>
            <m:r>
              <m:rPr>
                <m:sty m:val="p"/>
              </m:rPr>
              <m:t>−</m:t>
            </m:r>
            <m:r>
              <m:rPr>
                <m:sty m:val="p"/>
              </m:rPr>
              <m:t>1</m:t>
            </m:r>
          </m:sup>
        </m:sSup>
      </m:oMath>
    </w:p>
    <w:p>
      <w:pPr>
        <w:numPr>
          <w:ilvl w:val="0"/>
          <w:numId w:val="7"/>
        </w:numPr>
        <w:spacing w:lineRule="auto"/>
      </w:pPr>
      <w:r>
        <w:rPr/>
        <w:t xml:space="preserve">Coefficient de conducto-convection entre l'air et la plaque : </w:t>
      </w:r>
      <m:oMath>
        <m:r>
          <m:rPr>
            <m:sty m:val="i"/>
          </m:rPr>
          <m:t>h</m:t>
        </m:r>
        <m:r>
          <m:rPr>
            <m:sty m:val="p"/>
          </m:rPr>
          <m:t>=</m:t>
        </m:r>
        <m:r>
          <m:rPr>
            <m:sty m:val="p"/>
          </m:rPr>
          <m:t>30</m:t>
        </m:r>
        <m:r>
          <m:rPr>
            <m:nor/>
          </m:rPr>
          <m:t xml:space="preserve"> </m:t>
        </m:r>
        <m:r>
          <m:rPr>
            <m:sty m:val="p"/>
          </m:rPr>
          <m:t>W</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m:t>
            </m:r>
          </m:e>
          <m:sup>
            <m:r>
              <m:rPr>
                <m:sty m:val="p"/>
              </m:rPr>
              <m:t>−</m:t>
            </m:r>
            <m:r>
              <m:rPr>
                <m:sty m:val="p"/>
              </m:rPr>
              <m:t>2</m:t>
            </m:r>
          </m:sup>
        </m:sSup>
      </m:oMath>
    </w:p>
    <w:p>
      <w:pPr>
        <w:numPr>
          <w:ilvl w:val="0"/>
          <w:numId w:val="7"/>
        </w:numPr>
        <w:spacing w:lineRule="auto"/>
      </w:pPr>
      <w:r>
        <w:rPr>
          <w:rFonts w:eastAsia="Georgia" w:cs="Georgia" w:ascii="Georgia" w:hAnsi="Georgia"/>
        </w:rPr>
        <w:t xml:space="preserve">Utilisation de la fonction odeint pour résoudre une équation différentielle d'ordre 2 d'une fonction inconnue </w:t>
      </w:r>
      <m:oMath>
        <m:r>
          <m:rPr>
            <m:sty m:val="i"/>
          </m:rPr>
          <m:t>x</m:t>
        </m:r>
        <m:r>
          <m:rPr>
            <m:sty m:val="p"/>
          </m:rPr>
          <m:t>(</m:t>
        </m:r>
        <m:r>
          <m:rPr>
            <m:sty m:val="i"/>
          </m:rPr>
          <m:t>t</m:t>
        </m:r>
        <m:r>
          <m:rPr>
            <m:sty m:val="p"/>
          </m:rPr>
          <m:t>)</m:t>
        </m:r>
      </m:oMath>
      <w:r>
        <w:rPr/>
        <w:t xml:space="preserve"> :</w:t>
      </w:r>
    </w:p>
    <w:p>
      <w:pPr>
        <w:pStyle w:val="SourceCode"/>
        <w:shd w:val="clear" w:fill="F8F8FA"/>
        <w:spacing w:lineRule="auto"/>
      </w:pPr>
      <w:r>
        <w:rPr>
          <w:rStyle w:val="VerbatimChar"/>
          <w:rFonts w:eastAsia="Consolas" w:cs="Consolas" w:ascii="Consolas" w:hAnsi="Consolas"/>
        </w:rPr>
        <w:t xml:space="preserve">odeint(func,X0,t)</w:t>
        <w:br/>
        <w:t xml:space="preserve">Paramètres d'entrée :</w:t>
        <w:br/>
        <w:t xml:space="preserve">func : fonction de $X$ et du temps $t$ qui renvoie la dérivée $\dot{X}=[\dot{x}, \ddot{x}]$ du vecteur d'état $X=[x, \dot{x}]$ à l'instant $t$ sous forme d'une liste à 2 éléments.</w:t>
        <w:br/>
        <w:t xml:space="preserve">X0 : vecteur condition initiale $X(t=0)=[x(t=0), \dot{x}(t=0)]$</w:t>
        <w:br/>
        <w:t xml:space="preserve">t : tableau des temps pour lesquels la fonction doit calculer les valeurs de $X(t)$.</w:t>
        <w:br/>
        <w:t xml:space="preserve">Valeur de retour :</w:t>
        <w:br/>
        <w:t xml:space="preserve">Renvoie un tableau contenant les valeurs de $X(t)$</w:t>
        <w:br/>
        <w:t xml:space="preserve"/>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decimal"/>
      <w:lvlText w:val="%1."/>
      <w:lvlJc w:val="left"/>
      <w:pPr>
        <w:tabs>
          <w:tab w:val="num" w:pos="1080"/>
        </w:tabs>
        <w:ind w:left="720" w:hanging="360"/>
      </w:p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448a1b6257dbd8f1c45be59a05ed78f9fc0dbb30.jpg" TargetMode="Internal"/><Relationship Id="rId6" Type="http://schemas.openxmlformats.org/officeDocument/2006/relationships/image" Target="media/image-bf26cc1032adacfb6af3c6380c187e00d7f8e5a2.jpg" TargetMode="Internal"/><Relationship Id="rId7" Type="http://schemas.openxmlformats.org/officeDocument/2006/relationships/image" Target="media/image-f3ecb53b267fa3a3a3c3962b1ca16370bb6f4b91.jpg" TargetMode="Internal"/><Relationship Id="rId8" Type="http://schemas.openxmlformats.org/officeDocument/2006/relationships/image" Target="media/image-c78357dc252b127e8e62d4cbc2d8526d4b326ab2.jpg" TargetMode="Internal"/><Relationship Id="rId9" Type="http://schemas.openxmlformats.org/officeDocument/2006/relationships/image" Target="media/image-87b6ded56c90b06812b00ddf13a17cb7a12cfb47.jpg" TargetMode="Internal"/><Relationship Id="rId10" Type="http://schemas.openxmlformats.org/officeDocument/2006/relationships/image" Target="media/image-e21de4466ad2f55fd28f188fbe0cd1d38054bc7b.jpg" TargetMode="Internal"/><Relationship Id="rId11" Type="http://schemas.openxmlformats.org/officeDocument/2006/relationships/image" Target="media/image-0fc8339d5a0aef3c33042c4f14e069a1c7560f22.jpg" TargetMode="Internal"/><Relationship Id="rId12" Type="http://schemas.openxmlformats.org/officeDocument/2006/relationships/image" Target="media/image-4e1a47264e821e9ec95de6217612934376f15665.jpg" TargetMode="Internal"/><Relationship Id="rId13" Type="http://schemas.openxmlformats.org/officeDocument/2006/relationships/image" Target="media/image-2e3bbf47f4d14a044d9693b310739caa238581d2.jpg" TargetMode="Internal"/><Relationship Id="rId14" Type="http://schemas.openxmlformats.org/officeDocument/2006/relationships/image" Target="media/image-fd460dd4123cd25b64fdf3afe35dbf6d74115374.jpg" TargetMode="Internal"/><Relationship Id="rId15" Type="http://schemas.openxmlformats.org/officeDocument/2006/relationships/image" Target="media/image-8a3bdfaa990080dcbf5ccc24111d889cc598eb49.jpg" TargetMode="Internal"/><Relationship Id="rId16" Type="http://schemas.openxmlformats.org/officeDocument/2006/relationships/image" Target="media/image-accfd512fd91a8534b41e65715fed512ce2e736e.jpg" TargetMode="Internal"/><Relationship Id="rId17" Type="http://schemas.openxmlformats.org/officeDocument/2006/relationships/image" Target="media/image-96df83802967bdb63440dd449284ba24bde3f7d1.jpg" TargetMode="Internal"/><Relationship Id="rId18" Type="http://schemas.openxmlformats.org/officeDocument/2006/relationships/image" Target="media/image-1dc50f1c2e05f85149ded341950f68926e548ae6.jpg" TargetMode="Internal"/><Relationship Id="rId19" Type="http://schemas.openxmlformats.org/officeDocument/2006/relationships/image" Target="media/image-5a66bb7de1bf0819ca5d5c14c51db1b03746ea16.jpg" TargetMode="Internal"/><Relationship Id="rId20" Type="http://schemas.openxmlformats.org/officeDocument/2006/relationships/image" Target="media/image-05e95f08362b64523cae32716165a56255605500.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2025-09-04T17:56:17.874Z</dcterms:created>
  <dcterms:modified xsi:type="dcterms:W3CDTF">2025-09-04T17:56:17.874Z</dcterms:modified>
</cp:coreProperties>
</file>