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Étude d'une installation nucléaire REP</w:t>
      </w:r>
      <w:r>
        <w:rPr/>
        <w:br w:type="textWrapping"/>
      </w:r>
      <w:r>
        <w:rPr>
          <w:rFonts w:eastAsia="Georgia" w:cs="Georgia" w:ascii="Georgia" w:hAnsi="Georgia"/>
        </w:rPr>
        <w:t xml:space="preserve">Ce sujet comporte un document réponse à rendre avec la copie. Les données numériques utiles sont fournies en fin d'énoncé.</w:t>
      </w:r>
      <w:r>
        <w:rPr/>
        <w:br w:type="textWrapping"/>
      </w:r>
      <w:r>
        <w:rPr>
          <w:rFonts w:eastAsia="Georgia" w:cs="Georgia" w:ascii="Georgia" w:hAnsi="Georgia"/>
        </w:rPr>
        <w:t xml:space="preserve">La France compte 19 centrales nucléaires en exploitation, dans lesquelles tous les réacteurs ( 58 au total) sont des réacteurs à eau pressurisée. Actuellement, ces installations produisent près de </w:t>
      </w:r>
      <m:oMath>
        <m:r>
          <m:rPr>
            <m:sty m:val="p"/>
          </m:rPr>
          <m:t>80</m:t>
        </m:r>
        <m:r>
          <m:rPr>
            <m:sty m:val="p"/>
          </m:rPr>
          <m:t>%</m:t>
        </m:r>
      </m:oMath>
      <w:r>
        <w:rPr>
          <w:rFonts w:eastAsia="Georgia" w:cs="Georgia" w:ascii="Georgia" w:hAnsi="Georgia"/>
        </w:rPr>
        <w:t xml:space="preserve"> de l'électricité produite en France. Chaque centrale est soumise à un référentiel de normes de sureté et de sécurité évoluant en fonction des enseignements des incidents passés nationaux ou internationaux.</w:t>
      </w:r>
      <w:r>
        <w:rPr/>
        <w:br w:type="textWrapping"/>
      </w:r>
      <w:r>
        <w:rPr>
          <w:rFonts w:eastAsia="Georgia" w:cs="Georgia" w:ascii="Georgia" w:hAnsi="Georgia"/>
        </w:rPr>
        <w:t xml:space="preserve">Le but de ce problème est d'étudier quelques aspects liés au fonctionnement d'une centrale nucléaire REP, ainsi que plusieurs dispositions prises en matière de sureté nucléaire : contrôle des rejets de la centrale et surveillance sismique d'un site nucléaire.</w:t>
      </w:r>
    </w:p>
    <w:p>
      <w:pPr>
        <w:spacing w:line="271" w:before="330" w:lineRule="auto"/>
      </w:pPr>
      <w:r>
        <w:rPr>
          <w:b/>
          <w:sz w:val="42"/>
        </w:rPr>
        <w:t xml:space="preserve">I Circuit secondaire et enrichissement de l'uranium</w:t>
      </w:r>
    </w:p>
    <w:p>
      <w:pPr>
        <w:spacing w:lineRule="auto"/>
        <w:jc w:val="center"/>
      </w:pPr>
      <w:r>
        <w:rPr/>
        <w:drawing>
          <wp:inline distB="0" distL="0" distR="0" distT="0">
            <wp:extent cx="5486400" cy="3654346"/>
            <wp:effectExtent b="0" l="0" r="0" t="0"/>
            <wp:docPr id="1" name="image-ffea36fc3d32f82313ef2c2508e36caf76aada94.jpg"/>
            <a:graphic>
              <a:graphicData uri="http://schemas.openxmlformats.org/drawingml/2006/picture">
                <pic:pic>
                  <pic:nvPicPr>
                    <pic:cNvPr id="1" name="image-ffea36fc3d32f82313ef2c2508e36caf76aada94.jpg" descr=""/>
                    <pic:cNvPicPr/>
                  </pic:nvPicPr>
                  <pic:blipFill>
                    <a:blip r:embed="rId5" cstate="print"/>
                    <a:srcRect b="0" l="0" r="0" t="0"/>
                    <a:stretch>
                      <a:fillRect/>
                    </a:stretch>
                  </pic:blipFill>
                  <pic:spPr>
                    <a:xfrm>
                      <a:off x="0" y="0"/>
                      <a:ext cx="5486400" cy="3654346"/>
                    </a:xfrm>
                    <a:prstGeom prst="rect"/>
                  </pic:spPr>
                </pic:pic>
              </a:graphicData>
            </a:graphic>
          </wp:inline>
        </w:drawing>
      </w:r>
    </w:p>
    <w:p>
      <w:pPr>
        <w:spacing w:lineRule="auto"/>
      </w:pPr>
      <w:r>
        <w:rPr>
          <w:rFonts w:eastAsia="Georgia" w:cs="Georgia" w:ascii="Georgia" w:hAnsi="Georgia"/>
        </w:rPr>
        <w:t xml:space="preserve">Figure 1 Schéma global d'une centrale nucléaire</w:t>
      </w:r>
    </w:p>
    <w:p>
      <w:pPr>
        <w:spacing w:after="220" w:lineRule="auto"/>
      </w:pPr>
      <w:r>
        <w:rPr>
          <w:rFonts w:eastAsia="Georgia" w:cs="Georgia" w:ascii="Georgia" w:hAnsi="Georgia"/>
        </w:rPr>
        <w:t xml:space="preserve">Une centrale nucléaire est un site industriel destiné à la production d'électricité, qui utilise comme chaudière un réacteur nucléaire pour produire de la chaleur. Une centrale nucléaire REP (Réacteur à Eau Pressurisée) est constituée de deux grandes zones (voir figure 1):</w:t>
      </w:r>
    </w:p>
    <w:p>
      <w:pPr>
        <w:numPr>
          <w:ilvl w:val="0"/>
          <w:numId w:val="1"/>
        </w:numPr>
        <w:spacing w:lineRule="auto"/>
      </w:pPr>
      <w:r>
        <w:rPr>
          <w:rFonts w:eastAsia="Georgia" w:cs="Georgia" w:ascii="Georgia" w:hAnsi="Georgia"/>
        </w:rPr>
        <w:t xml:space="preserve">une zone non nucléaire (salle des machines). Dans cette partie, semblable à celle utilisée dans les centrales thermiques classiques, s'écoule de l'eau dans un circuit secondaire. Cette eau est évaporée dans le Générateur de Vapeur (GV) par absorption de la chaleur produite dans la zone nucléaire, puis elle entraine une turbine (T) couplée à un alternateur produisant de l'électricité, ensuite elle est condensée au contact d'un refroidisseur (rivière ou mer ou atmosphère via une tour aéroréfrigérante) et enfin, elle est comprimée avant d'être renvoyée vers le générateur de vapeur ;</w:t>
      </w:r>
    </w:p>
    <w:p>
      <w:pPr>
        <w:numPr>
          <w:ilvl w:val="0"/>
          <w:numId w:val="1"/>
        </w:numPr>
        <w:spacing w:lineRule="auto"/>
      </w:pPr>
      <w:r>
        <w:rPr>
          <w:rFonts w:eastAsia="Georgia" w:cs="Georgia" w:ascii="Georgia" w:hAnsi="Georgia"/>
        </w:rPr>
        <w:t xml:space="preserve">une zone nucléaire (dans le bâtiment réacteur), où ont lieu les réactions nucléaires de fission, qui produisent de l'énergie thermique et chauffent ainsi l'eau sous pression circulant dans le circuit primaire. Le transfert</w:t>
      </w:r>
      <w:r>
        <w:rPr/>
        <w:br w:type="textWrapping"/>
      </w:r>
      <w:r>
        <w:rPr>
          <w:rFonts w:eastAsia="Georgia" w:cs="Georgia" w:ascii="Georgia" w:hAnsi="Georgia"/>
        </w:rPr>
        <w:t xml:space="preserve">d'énergie thermique entre le circuit primaire et le circuit secondaire se fait dans le générateur de vapeur, où la surface d'échange entre les deux fluides peut atteindre près de </w:t>
      </w:r>
      <m:oMath>
        <m:r>
          <m:rPr>
            <m:sty m:val="p"/>
          </m:rPr>
          <m:t>5000</m:t>
        </m:r>
        <m:sSup>
          <m:sSupPr/>
          <m:e>
            <m:r>
              <m:rPr>
                <m:nor/>
              </m:rPr>
              <m:t xml:space="preserve"> </m:t>
            </m:r>
            <m:r>
              <m:rPr>
                <m:sty m:val="p"/>
              </m:rPr>
              <m:t>m</m:t>
            </m:r>
          </m:e>
          <m:sup>
            <m:r>
              <m:rPr>
                <m:sty m:val="p"/>
              </m:rPr>
              <m:t>2</m:t>
            </m:r>
          </m:sup>
        </m:sSup>
      </m:oMath>
      <w:r>
        <w:rPr>
          <w:rFonts w:eastAsia="Georgia" w:cs="Georgia" w:ascii="Georgia" w:hAnsi="Georgia"/>
        </w:rPr>
        <w:t xml:space="preserve"> (réseau de tubulures).</w:t>
      </w:r>
    </w:p>
    <w:p>
      <w:pPr>
        <w:spacing w:line="271" w:before="330" w:lineRule="auto"/>
      </w:pPr>
      <w:r>
        <w:rPr>
          <w:b/>
          <w:sz w:val="42"/>
        </w:rPr>
        <w:t xml:space="preserve">I.A - Description du circuit secondaire de la centrale</w:t>
      </w:r>
    </w:p>
    <w:p>
      <w:pPr>
        <w:spacing w:after="220" w:lineRule="auto"/>
      </w:pPr>
      <w:r>
        <w:rPr>
          <w:rFonts w:eastAsia="Georgia" w:cs="Georgia" w:ascii="Georgia" w:hAnsi="Georgia"/>
        </w:rPr>
        <w:t xml:space="preserve">Considérons une centrale nucléaire REP produisant une puissance électrique </w:t>
      </w:r>
      <m:oMath>
        <m:sSub>
          <m:sSubPr/>
          <m:e>
            <m:r>
              <m:rPr>
                <m:sty m:val="i"/>
              </m:rPr>
              <m:t>P</m:t>
            </m:r>
          </m:e>
          <m:sub>
            <m:r>
              <m:rPr>
                <m:sty m:val="i"/>
              </m:rPr>
              <m:t>e</m:t>
            </m:r>
          </m:sub>
        </m:sSub>
        <m:r>
          <m:rPr>
            <m:sty m:val="p"/>
          </m:rPr>
          <m:t>=</m:t>
        </m:r>
        <m:r>
          <m:rPr>
            <m:sty m:val="p"/>
          </m:rPr>
          <m:t>900</m:t>
        </m:r>
        <m:r>
          <m:rPr>
            <m:sty m:val="p"/>
          </m:rPr>
          <m:t>MW</m:t>
        </m:r>
      </m:oMath>
      <w:r>
        <w:rPr>
          <w:rFonts w:eastAsia="Georgia" w:cs="Georgia" w:ascii="Georgia" w:hAnsi="Georgia"/>
        </w:rPr>
        <w:t xml:space="preserve">. Le fluide circulant dans le circuit secondaire est de l'eau, dont l'écoulement est supposé stationnaire. Le cycle thermodynamique décrit par l'eau est un cycle ditherme moteur. L'eau liquide sera supposée incompressible et de capacité thermique massique isobare supposée constante. Le tableau en fin d'énoncé donne diverses données thermodynamiques relatives à l'équilibre liquide-vapeur de l'eau.</w:t>
      </w:r>
    </w:p>
    <w:p>
      <w:pPr>
        <w:spacing w:line="271" w:before="330" w:lineRule="auto"/>
      </w:pPr>
      <w:r>
        <w:rPr>
          <w:b/>
          <w:sz w:val="42"/>
        </w:rPr>
        <w:t xml:space="preserve">I.A.1) Cycle de Carnot</w:t>
      </w:r>
    </w:p>
    <w:p>
      <w:pPr>
        <w:spacing w:after="220" w:lineRule="auto"/>
      </w:pPr>
      <w:r>
        <w:rPr>
          <w:rFonts w:eastAsia="Georgia" w:cs="Georgia" w:ascii="Georgia" w:hAnsi="Georgia"/>
        </w:rPr>
        <w:t xml:space="preserve">Dans une première approche simplifiée, on considère le moteur ditherme de Carnot fonctionnant de manière réversible entre deux sources de température </w:t>
      </w:r>
      <m:oMath>
        <m:sSub>
          <m:sSubPr/>
          <m:e>
            <m:r>
              <m:rPr>
                <m:sty m:val="i"/>
              </m:rPr>
              <m:t>T</m:t>
            </m:r>
          </m:e>
          <m:sub>
            <m:r>
              <m:rPr>
                <m:sty m:val="p"/>
              </m:rPr>
              <m:t>ch</m:t>
            </m:r>
          </m:sub>
        </m:sSub>
      </m:oMath>
      <w:r>
        <w:rPr/>
        <w:t xml:space="preserve"> et </w:t>
      </w:r>
      <m:oMath>
        <m:sSub>
          <m:sSubPr/>
          <m:e>
            <m:r>
              <m:rPr>
                <m:sty m:val="i"/>
              </m:rPr>
              <m:t>T</m:t>
            </m:r>
          </m:e>
          <m:sub>
            <m:r>
              <m:rPr>
                <m:sty m:val="p"/>
              </m:rPr>
              <m:t>fr</m:t>
            </m:r>
          </m:sub>
        </m:sSub>
        <m:d>
          <m:dPr>
            <m:begChr m:val="("/>
            <m:endChr m:val=")"/>
            <m:ctrlPr>
              <w:rPr>
                <w:rFonts w:ascii="Cambria Math" w:hAnsi="Cambria Math"/>
              </w:rPr>
            </m:ctrlPr>
          </m:dPr>
          <m:e>
            <m:sSub>
              <m:sSubPr/>
              <m:e>
                <m:r>
                  <m:rPr>
                    <m:sty m:val="i"/>
                  </m:rPr>
                  <m:t>T</m:t>
                </m:r>
              </m:e>
              <m:sub>
                <m:r>
                  <m:rPr>
                    <m:sty m:val="p"/>
                  </m:rPr>
                  <m:t>fr</m:t>
                </m:r>
              </m:sub>
            </m:sSub>
            <m:r>
              <m:rPr>
                <m:sty m:val="p"/>
              </m:rPr>
              <m:t>&lt;</m:t>
            </m:r>
            <m:sSub>
              <m:sSubPr/>
              <m:e>
                <m:r>
                  <m:rPr>
                    <m:sty m:val="i"/>
                  </m:rPr>
                  <m:t>T</m:t>
                </m:r>
              </m:e>
              <m:sub>
                <m:r>
                  <m:rPr>
                    <m:sty m:val="p"/>
                  </m:rPr>
                  <m:t>ch</m:t>
                </m:r>
              </m:sub>
            </m:sSub>
          </m:e>
        </m:d>
      </m:oMath>
      <w:r>
        <w:rPr/>
        <w:t xml:space="preserve">.</w:t>
      </w:r>
      <w:r>
        <w:rPr/>
        <w:br w:type="textWrapping"/>
      </w:r>
      <w:r>
        <w:rPr>
          <w:rFonts w:eastAsia="Georgia" w:cs="Georgia" w:ascii="Georgia" w:hAnsi="Georgia"/>
        </w:rPr>
        <w:t xml:space="preserve">a) Donner, en la redémontrant, l'expression du rendement de Carnot associé à ce cycle.</w:t>
      </w:r>
      <w:r>
        <w:rPr/>
        <w:br w:type="textWrapping"/>
      </w:r>
      <w:r>
        <w:rPr>
          <w:rFonts w:eastAsia="Georgia" w:cs="Georgia" w:ascii="Georgia" w:hAnsi="Georgia"/>
        </w:rPr>
        <w:t xml:space="preserve">b) Donner la valeur numérique de ce rendement en prenant </w:t>
      </w:r>
      <m:oMath>
        <m:sSub>
          <m:sSubPr/>
          <m:e>
            <m:r>
              <m:rPr>
                <m:sty m:val="i"/>
              </m:rPr>
              <m:t>T</m:t>
            </m:r>
          </m:e>
          <m:sub>
            <m:r>
              <m:rPr>
                <m:sty m:val="p"/>
              </m:rPr>
              <m:t>ch</m:t>
            </m:r>
          </m:sub>
        </m:sSub>
        <m:r>
          <m:rPr>
            <m:sty m:val="p"/>
          </m:rPr>
          <m:t>=</m:t>
        </m:r>
        <m:r>
          <m:rPr>
            <m:sty m:val="p"/>
          </m:rPr>
          <m:t>543</m:t>
        </m:r>
        <m:r>
          <m:rPr>
            <m:nor/>
          </m:rPr>
          <m:t xml:space="preserve"> </m:t>
        </m:r>
        <m:r>
          <m:rPr>
            <m:sty m:val="p"/>
          </m:rPr>
          <m:t>K</m:t>
        </m:r>
      </m:oMath>
      <w:r>
        <w:rPr/>
        <w:t xml:space="preserve"> et </w:t>
      </w:r>
      <m:oMath>
        <m:sSub>
          <m:sSubPr/>
          <m:e>
            <m:r>
              <m:rPr>
                <m:sty m:val="i"/>
              </m:rPr>
              <m:t>T</m:t>
            </m:r>
          </m:e>
          <m:sub>
            <m:r>
              <m:rPr>
                <m:sty m:val="p"/>
              </m:rPr>
              <m:t>fr</m:t>
            </m:r>
          </m:sub>
        </m:sSub>
        <m:r>
          <m:rPr>
            <m:sty m:val="p"/>
          </m:rPr>
          <m:t>=</m:t>
        </m:r>
        <m:r>
          <m:rPr>
            <m:sty m:val="p"/>
          </m:rPr>
          <m:t>303</m:t>
        </m:r>
        <m:r>
          <m:rPr>
            <m:nor/>
          </m:rPr>
          <m:t xml:space="preserve"> </m:t>
        </m:r>
        <m:r>
          <m:rPr>
            <m:sty m:val="p"/>
          </m:rPr>
          <m:t>K</m:t>
        </m:r>
      </m:oMath>
      <w:r>
        <w:rPr>
          <w:rFonts w:eastAsia="Georgia" w:cs="Georgia" w:ascii="Georgia" w:hAnsi="Georgia"/>
        </w:rPr>
        <w:t xml:space="preserve">, les deux températures extrêmes de l'eau dans le circuit secondaire.</w:t>
      </w:r>
      <w:r>
        <w:rPr/>
        <w:br w:type="textWrapping"/>
      </w:r>
      <w:r>
        <w:rPr>
          <w:rFonts w:eastAsia="Georgia" w:cs="Georgia" w:ascii="Georgia" w:hAnsi="Georgia"/>
        </w:rPr>
        <w:t xml:space="preserve">c) Sachant qu'un réacteur REP fournit à l'eau du circuit secondaire, via le générateur de vapeur, une puissance thermique </w:t>
      </w:r>
      <m:oMath>
        <m:sSub>
          <m:sSubPr/>
          <m:e>
            <m:r>
              <m:rPr>
                <m:sty m:val="i"/>
              </m:rPr>
              <m:t>P</m:t>
            </m:r>
          </m:e>
          <m:sub>
            <m:r>
              <m:rPr>
                <m:sty m:val="i"/>
              </m:rPr>
              <m:t>t</m:t>
            </m:r>
          </m:sub>
        </m:sSub>
        <m:r>
          <m:rPr>
            <m:sty m:val="p"/>
          </m:rPr>
          <m:t>=</m:t>
        </m:r>
        <m:r>
          <m:rPr>
            <m:sty m:val="p"/>
          </m:rPr>
          <m:t>2785</m:t>
        </m:r>
        <m:r>
          <m:rPr>
            <m:sty m:val="p"/>
          </m:rPr>
          <m:t>MW</m:t>
        </m:r>
      </m:oMath>
      <w:r>
        <w:rPr>
          <w:rFonts w:eastAsia="Georgia" w:cs="Georgia" w:ascii="Georgia" w:hAnsi="Georgia"/>
        </w:rPr>
        <w:t xml:space="preserve">, que vaut le rendement thermodynamique réel de l'installation? On supposera que la puissance mécanique transmise à la turbine est intégralement convertie en puissance électrique. Commenter.</w:t>
      </w:r>
    </w:p>
    <w:p>
      <w:pPr>
        <w:spacing w:line="271" w:before="330" w:lineRule="auto"/>
      </w:pPr>
      <w:r>
        <w:rPr>
          <w:b/>
          <w:sz w:val="42"/>
        </w:rPr>
        <w:t xml:space="preserve">I.A.2) Cycle de Rankine</w:t>
      </w:r>
    </w:p>
    <w:p>
      <w:pPr>
        <w:spacing w:after="220" w:lineRule="auto"/>
      </w:pPr>
      <w:r>
        <w:rPr>
          <w:rFonts w:eastAsia="Georgia" w:cs="Georgia" w:ascii="Georgia" w:hAnsi="Georgia"/>
        </w:rPr>
        <w:t xml:space="preserve">L'eau du circuit secondaire subit les transformations suivantes (représentées dans la figure 2)</w:t>
      </w:r>
    </w:p>
    <w:p>
      <w:pPr>
        <w:numPr>
          <w:ilvl w:val="0"/>
          <w:numId w:val="2"/>
        </w:numPr>
        <w:spacing w:lineRule="auto"/>
      </w:pPr>
      <w:r>
        <w:rPr/>
        <w:t xml:space="preserve">de </w:t>
      </w:r>
      <m:oMath>
        <m:r>
          <m:rPr>
            <m:sty m:val="i"/>
          </m:rPr>
          <m:t>A</m:t>
        </m:r>
      </m:oMath>
      <w:r>
        <w:rPr>
          <w:rFonts w:eastAsia="Georgia" w:cs="Georgia" w:ascii="Georgia" w:hAnsi="Georgia"/>
        </w:rPr>
        <w:t xml:space="preserve"> à </w:t>
      </w:r>
      <m:oMath>
        <m:r>
          <m:rPr>
            <m:sty m:val="i"/>
          </m:rPr>
          <m:t>B</m:t>
        </m:r>
      </m:oMath>
      <w:r>
        <w:rPr>
          <w:rFonts w:eastAsia="Georgia" w:cs="Georgia" w:ascii="Georgia" w:hAnsi="Georgia"/>
        </w:rPr>
        <w:t xml:space="preserve"> : dans le générateur de vapeur, échauffement isobare du liquide à la pression </w:t>
      </w:r>
      <m:oMath>
        <m:sSub>
          <m:sSubPr/>
          <m:e>
            <m:r>
              <m:rPr>
                <m:sty m:val="i"/>
              </m:rPr>
              <m:t>P</m:t>
            </m:r>
          </m:e>
          <m:sub>
            <m:r>
              <m:rPr>
                <m:sty m:val="p"/>
              </m:rPr>
              <m:t>2</m:t>
            </m:r>
          </m:sub>
        </m:sSub>
        <m:r>
          <m:rPr>
            <m:sty m:val="p"/>
          </m:rPr>
          <m:t>=</m:t>
        </m:r>
        <m:r>
          <m:rPr>
            <m:sty m:val="p"/>
          </m:rPr>
          <m:t>55</m:t>
        </m:r>
      </m:oMath>
      <w:r>
        <w:rPr>
          <w:rFonts w:eastAsia="Georgia" w:cs="Georgia" w:ascii="Georgia" w:hAnsi="Georgia"/>
        </w:rPr>
        <w:t xml:space="preserve"> bar jusqu'à un état de liquide saturant (état noté </w:t>
      </w:r>
      <m:oMath>
        <m:sSup>
          <m:sSupPr/>
          <m:e>
            <m:r>
              <m:rPr>
                <m:sty m:val="i"/>
              </m:rPr>
              <m:t>A</m:t>
            </m:r>
          </m:e>
          <m:sup>
            <m:r>
              <m:rPr>
                <m:sty m:val="i"/>
              </m:rPr>
              <m:t>′</m:t>
            </m:r>
          </m:sup>
        </m:sSup>
      </m:oMath>
      <w:r>
        <w:rPr>
          <w:rFonts w:eastAsia="Georgia" w:cs="Georgia" w:ascii="Georgia" w:hAnsi="Georgia"/>
        </w:rPr>
        <w:t xml:space="preserve"> ), puis vaporisation totale isobare jusqu'à un état de vapeur saturante sèche (état </w:t>
      </w:r>
      <m:oMath>
        <m:r>
          <m:rPr>
            <m:sty m:val="i"/>
          </m:rPr>
          <m:t>B</m:t>
        </m:r>
      </m:oMath>
      <w:r>
        <w:rPr/>
        <w:t xml:space="preserve"> ) ;</w:t>
      </w:r>
    </w:p>
    <w:p>
      <w:pPr>
        <w:numPr>
          <w:ilvl w:val="0"/>
          <w:numId w:val="2"/>
        </w:numPr>
        <w:spacing w:lineRule="auto"/>
      </w:pPr>
      <w:r>
        <w:rPr/>
        <w:t xml:space="preserve">de </w:t>
      </w:r>
      <m:oMath>
        <m:r>
          <m:rPr>
            <m:sty m:val="i"/>
          </m:rPr>
          <m:t>B</m:t>
        </m:r>
      </m:oMath>
      <w:r>
        <w:rPr>
          <w:rFonts w:eastAsia="Georgia" w:cs="Georgia" w:ascii="Georgia" w:hAnsi="Georgia"/>
        </w:rPr>
        <w:t xml:space="preserve"> à </w:t>
      </w:r>
      <m:oMath>
        <m:r>
          <m:rPr>
            <m:sty m:val="i"/>
          </m:rPr>
          <m:t>C</m:t>
        </m:r>
      </m:oMath>
      <w:r>
        <w:rPr>
          <w:rFonts w:eastAsia="Georgia" w:cs="Georgia" w:ascii="Georgia" w:hAnsi="Georgia"/>
        </w:rPr>
        <w:t xml:space="preserve"> : détente adiabatique réversible dans la turbine, de la pression </w:t>
      </w:r>
      <m:oMath>
        <m:sSub>
          <m:sSubPr/>
          <m:e>
            <m:r>
              <m:rPr>
                <m:sty m:val="i"/>
              </m:rPr>
              <m:t>P</m:t>
            </m:r>
          </m:e>
          <m:sub>
            <m:r>
              <m:rPr>
                <m:sty m:val="p"/>
              </m:rPr>
              <m:t>2</m:t>
            </m:r>
          </m:sub>
        </m:sSub>
      </m:oMath>
      <w:r>
        <w:rPr>
          <w:rFonts w:eastAsia="Georgia" w:cs="Georgia" w:ascii="Georgia" w:hAnsi="Georgia"/>
        </w:rPr>
        <w:t xml:space="preserve"> à la pression </w:t>
      </w:r>
      <m:oMath>
        <m:sSub>
          <m:sSubPr/>
          <m:e>
            <m:r>
              <m:rPr>
                <m:sty m:val="i"/>
              </m:rPr>
              <m:t>P</m:t>
            </m:r>
          </m:e>
          <m:sub>
            <m:r>
              <m:rPr>
                <m:sty m:val="p"/>
              </m:rPr>
              <m:t>1</m:t>
            </m:r>
          </m:sub>
        </m:sSub>
        <m:r>
          <m:rPr>
            <m:sty m:val="p"/>
          </m:rPr>
          <m:t>=</m:t>
        </m:r>
        <m:r>
          <m:rPr>
            <m:sty m:val="p"/>
          </m:rPr>
          <m:t>43</m:t>
        </m:r>
      </m:oMath>
      <w:r>
        <w:rPr/>
        <w:t xml:space="preserve"> mbar ;</w:t>
      </w:r>
    </w:p>
    <w:p>
      <w:pPr>
        <w:numPr>
          <w:ilvl w:val="0"/>
          <w:numId w:val="2"/>
        </w:numPr>
        <w:spacing w:lineRule="auto"/>
      </w:pPr>
      <w:r>
        <w:rPr/>
        <w:t xml:space="preserve">en </w:t>
      </w:r>
      <m:oMath>
        <m:r>
          <m:rPr>
            <m:sty m:val="i"/>
          </m:rPr>
          <m:t>C</m:t>
        </m:r>
      </m:oMath>
      <w:r>
        <w:rPr>
          <w:rFonts w:eastAsia="Georgia" w:cs="Georgia" w:ascii="Georgia" w:hAnsi="Georgia"/>
        </w:rPr>
        <w:t xml:space="preserve">, le fluide est diphasé ;</w:t>
      </w:r>
    </w:p>
    <w:p>
      <w:pPr>
        <w:numPr>
          <w:ilvl w:val="0"/>
          <w:numId w:val="2"/>
        </w:numPr>
        <w:spacing w:lineRule="auto"/>
      </w:pPr>
      <w:r>
        <w:rPr/>
        <w:t xml:space="preserve">de </w:t>
      </w:r>
      <m:oMath>
        <m:r>
          <m:rPr>
            <m:sty m:val="i"/>
          </m:rPr>
          <m:t>C</m:t>
        </m:r>
      </m:oMath>
      <w:r>
        <w:rPr>
          <w:rFonts w:eastAsia="Georgia" w:cs="Georgia" w:ascii="Georgia" w:hAnsi="Georgia"/>
        </w:rPr>
        <w:t xml:space="preserve"> à </w:t>
      </w:r>
      <m:oMath>
        <m:r>
          <m:rPr>
            <m:sty m:val="i"/>
          </m:rPr>
          <m:t>D</m:t>
        </m:r>
      </m:oMath>
      <w:r>
        <w:rPr>
          <w:rFonts w:eastAsia="Georgia" w:cs="Georgia" w:ascii="Georgia" w:hAnsi="Georgia"/>
        </w:rPr>
        <w:t xml:space="preserve"> : liquéfaction totale isobare dans le condenseur, jusqu'à un état de liquide saturant ;</w:t>
      </w:r>
    </w:p>
    <w:p>
      <w:pPr>
        <w:numPr>
          <w:ilvl w:val="0"/>
          <w:numId w:val="2"/>
        </w:numPr>
        <w:spacing w:lineRule="auto"/>
      </w:pPr>
      <w:r>
        <w:rPr/>
        <w:t xml:space="preserve">de </w:t>
      </w:r>
      <m:oMath>
        <m:r>
          <m:rPr>
            <m:sty m:val="i"/>
          </m:rPr>
          <m:t>D</m:t>
        </m:r>
      </m:oMath>
      <w:r>
        <w:rPr>
          <w:rFonts w:eastAsia="Georgia" w:cs="Georgia" w:ascii="Georgia" w:hAnsi="Georgia"/>
        </w:rPr>
        <w:t xml:space="preserve"> à </w:t>
      </w:r>
      <m:oMath>
        <m:r>
          <m:rPr>
            <m:sty m:val="i"/>
          </m:rPr>
          <m:t>A</m:t>
        </m:r>
      </m:oMath>
      <w:r>
        <w:rPr>
          <w:rFonts w:eastAsia="Georgia" w:cs="Georgia" w:ascii="Georgia" w:hAnsi="Georgia"/>
        </w:rPr>
        <w:t xml:space="preserve"> : compression adiabatique réversible, dans la pompe d'alimentation, de la pression </w:t>
      </w:r>
      <m:oMath>
        <m:sSub>
          <m:sSubPr/>
          <m:e>
            <m:r>
              <m:rPr>
                <m:sty m:val="i"/>
              </m:rPr>
              <m:t>P</m:t>
            </m:r>
          </m:e>
          <m:sub>
            <m:r>
              <m:rPr>
                <m:sty m:val="p"/>
              </m:rPr>
              <m:t>1</m:t>
            </m:r>
          </m:sub>
        </m:sSub>
      </m:oMath>
      <w:r>
        <w:rPr>
          <w:rFonts w:eastAsia="Georgia" w:cs="Georgia" w:ascii="Georgia" w:hAnsi="Georgia"/>
        </w:rPr>
        <w:t xml:space="preserve"> à la pression </w:t>
      </w:r>
      <m:oMath>
        <m:sSub>
          <m:sSubPr/>
          <m:e>
            <m:r>
              <m:rPr>
                <m:sty m:val="i"/>
              </m:rPr>
              <m:t>P</m:t>
            </m:r>
          </m:e>
          <m:sub>
            <m:r>
              <m:rPr>
                <m:sty m:val="p"/>
              </m:rPr>
              <m:t>2</m:t>
            </m:r>
          </m:sub>
        </m:sSub>
      </m:oMath>
      <w:r>
        <w:rPr>
          <w:rFonts w:eastAsia="Georgia" w:cs="Georgia" w:ascii="Georgia" w:hAnsi="Georgia"/>
        </w:rPr>
        <w:t xml:space="preserve">, du liquide saturant sortant du condenseur. On négligera le travail consommé par cette pompe devant les autres énergies mises en jeu.</w:t>
      </w:r>
    </w:p>
    <w:p>
      <w:pPr>
        <w:spacing w:lineRule="auto"/>
        <w:jc w:val="center"/>
      </w:pPr>
      <w:r>
        <w:rPr/>
        <w:drawing>
          <wp:inline distB="0" distL="0" distR="0" distT="0">
            <wp:extent cx="5486400" cy="3689240"/>
            <wp:effectExtent b="0" l="0" r="0" t="0"/>
            <wp:docPr id="2" name="image-12bb8bf45b5dde823e0e0b72dca56a7303633f71.jpg"/>
            <a:graphic>
              <a:graphicData uri="http://schemas.openxmlformats.org/drawingml/2006/picture">
                <pic:pic>
                  <pic:nvPicPr>
                    <pic:cNvPr id="2" name="image-12bb8bf45b5dde823e0e0b72dca56a7303633f71.jpg" descr=""/>
                    <pic:cNvPicPr/>
                  </pic:nvPicPr>
                  <pic:blipFill>
                    <a:blip r:embed="rId6" cstate="print"/>
                    <a:srcRect b="0" l="0" r="0" t="0"/>
                    <a:stretch>
                      <a:fillRect/>
                    </a:stretch>
                  </pic:blipFill>
                  <pic:spPr>
                    <a:xfrm>
                      <a:off x="0" y="0"/>
                      <a:ext cx="5486400" cy="3689240"/>
                    </a:xfrm>
                    <a:prstGeom prst="rect"/>
                  </pic:spPr>
                </pic:pic>
              </a:graphicData>
            </a:graphic>
          </wp:inline>
        </w:drawing>
      </w:r>
    </w:p>
    <w:p>
      <w:pPr>
        <w:spacing w:lineRule="auto"/>
      </w:pPr>
      <w:r>
        <w:rPr/>
        <w:t xml:space="preserve">Figure 2 Cycle de Rankine</w:t>
      </w:r>
    </w:p>
    <w:p>
      <w:pPr>
        <w:spacing w:after="220" w:lineRule="auto"/>
      </w:pPr>
      <w:r>
        <w:rPr>
          <w:rFonts w:eastAsia="Georgia" w:cs="Georgia" w:ascii="Georgia" w:hAnsi="Georgia"/>
        </w:rPr>
        <w:t xml:space="preserve">a) Représenter dans le diagramme de Clapeyron ( </w:t>
      </w:r>
      <m:oMath>
        <m:r>
          <m:rPr>
            <m:sty m:val="i"/>
          </m:rPr>
          <m:t>P</m:t>
        </m:r>
        <m:r>
          <m:rPr>
            <m:sty m:val="p"/>
          </m:rPr>
          <m:t>,</m:t>
        </m:r>
        <m:r>
          <m:rPr>
            <m:sty m:val="i"/>
          </m:rPr>
          <m:t>v</m:t>
        </m:r>
      </m:oMath>
      <w:r>
        <w:rPr/>
        <w:t xml:space="preserve"> ) l'allure de la courbe de saturation de l'eau, ainsi que les isothermes </w:t>
      </w:r>
      <m:oMath>
        <m:sSub>
          <m:sSubPr/>
          <m:e>
            <m:r>
              <m:rPr>
                <m:sty m:val="i"/>
              </m:rPr>
              <m:t>T</m:t>
            </m:r>
          </m:e>
          <m:sub>
            <m:r>
              <m:rPr>
                <m:sty m:val="i"/>
              </m:rPr>
              <m:t>B</m:t>
            </m:r>
          </m:sub>
        </m:sSub>
        <m:r>
          <m:rPr>
            <m:sty m:val="p"/>
          </m:rPr>
          <m:t>,</m:t>
        </m:r>
        <m:sSub>
          <m:sSubPr/>
          <m:e>
            <m:r>
              <m:rPr>
                <m:sty m:val="i"/>
              </m:rPr>
              <m:t>T</m:t>
            </m:r>
          </m:e>
          <m:sub>
            <m:r>
              <m:rPr>
                <m:sty m:val="i"/>
              </m:rPr>
              <m:t>D</m:t>
            </m:r>
          </m:sub>
        </m:sSub>
      </m:oMath>
      <w:r>
        <w:rPr/>
        <w:t xml:space="preserve"> et </w:t>
      </w:r>
      <m:oMath>
        <m:sSub>
          <m:sSubPr/>
          <m:e>
            <m:r>
              <m:rPr>
                <m:sty m:val="i"/>
              </m:rPr>
              <m:t>T</m:t>
            </m:r>
          </m:e>
          <m:sub>
            <m:r>
              <m:rPr>
                <m:nor/>
              </m:rPr>
              <m:t>critique </m:t>
            </m:r>
          </m:sub>
        </m:sSub>
      </m:oMath>
      <w:r>
        <w:rPr>
          <w:rFonts w:eastAsia="Georgia" w:cs="Georgia" w:ascii="Georgia" w:hAnsi="Georgia"/>
        </w:rPr>
        <w:t xml:space="preserve">, cette dernière température étant celle du point critique de l'eau. Préciser les domaines du liquide, de la vapeur, de la vapeur saturante. Représenter sur ce même diagramme l'allure du cycle décrit par l'eau du circuit secondaire. Indiquer le sens de parcours du cycle et placer les points </w:t>
      </w:r>
      <m:oMath>
        <m:r>
          <m:rPr>
            <m:sty m:val="i"/>
          </m:rPr>
          <m:t>A</m:t>
        </m:r>
        <m:r>
          <m:rPr>
            <m:sty m:val="p"/>
          </m:rPr>
          <m:t>,</m:t>
        </m:r>
        <m:sSup>
          <m:sSupPr/>
          <m:e>
            <m:r>
              <m:rPr>
                <m:sty m:val="i"/>
              </m:rPr>
              <m:t>A</m:t>
            </m:r>
          </m:e>
          <m:sup>
            <m:r>
              <m:rPr>
                <m:sty m:val="i"/>
              </m:rPr>
              <m:t>′</m:t>
            </m:r>
          </m:sup>
        </m:sSup>
        <m:r>
          <m:rPr>
            <m:sty m:val="p"/>
          </m:rPr>
          <m:t>,</m:t>
        </m:r>
        <m:r>
          <m:rPr>
            <m:sty m:val="i"/>
          </m:rPr>
          <m:t>B</m:t>
        </m:r>
        <m:r>
          <m:rPr>
            <m:sty m:val="p"/>
          </m:rPr>
          <m:t>,</m:t>
        </m:r>
        <m:r>
          <m:rPr>
            <m:sty m:val="i"/>
          </m:rPr>
          <m:t>C</m:t>
        </m:r>
      </m:oMath>
      <w:r>
        <w:rPr/>
        <w:t xml:space="preserve"> et </w:t>
      </w:r>
      <m:oMath>
        <m:r>
          <m:rPr>
            <m:sty m:val="i"/>
          </m:rPr>
          <m:t>D</m:t>
        </m:r>
      </m:oMath>
      <w:r>
        <w:rPr/>
        <w:t xml:space="preserve">.</w:t>
      </w:r>
      <w:r>
        <w:rPr/>
        <w:br w:type="textWrapping"/>
      </w:r>
      <w:r>
        <w:rPr>
          <w:rFonts w:eastAsia="Georgia" w:cs="Georgia" w:ascii="Georgia" w:hAnsi="Georgia"/>
        </w:rPr>
        <w:t xml:space="preserve">b) D'après l'extrait de table thermodynamique donné en fin d'énoncé, quelles sont les valeurs des températures, des enthalpies massiques et des entropies massiques aux points </w:t>
      </w:r>
      <m:oMath>
        <m:sSup>
          <m:sSupPr/>
          <m:e>
            <m:r>
              <m:rPr>
                <m:sty m:val="i"/>
              </m:rPr>
              <m:t>A</m:t>
            </m:r>
          </m:e>
          <m:sup>
            <m:r>
              <m:rPr>
                <m:sty m:val="i"/>
              </m:rPr>
              <m:t>′</m:t>
            </m:r>
          </m:sup>
        </m:sSup>
        <m:r>
          <m:rPr>
            <m:sty m:val="p"/>
          </m:rPr>
          <m:t>,</m:t>
        </m:r>
        <m:r>
          <m:rPr>
            <m:sty m:val="i"/>
          </m:rPr>
          <m:t>B</m:t>
        </m:r>
      </m:oMath>
      <w:r>
        <w:rPr/>
        <w:t xml:space="preserve"> et </w:t>
      </w:r>
      <m:oMath>
        <m:r>
          <m:rPr>
            <m:sty m:val="i"/>
          </m:rPr>
          <m:t>D</m:t>
        </m:r>
      </m:oMath>
      <w:r>
        <w:rPr/>
        <w:t xml:space="preserve"> ? On pourra donner les valeurs sous forme de tableau.</w:t>
      </w:r>
      <w:r>
        <w:rPr/>
        <w:br w:type="textWrapping"/>
      </w:r>
      <w:r>
        <w:rPr>
          <w:rFonts w:eastAsia="Georgia" w:cs="Georgia" w:ascii="Georgia" w:hAnsi="Georgia"/>
        </w:rPr>
        <w:t xml:space="preserve">c) Dans le document réponse figure le diagramme enthalpique ( </w:t>
      </w:r>
      <m:oMath>
        <m:r>
          <m:rPr>
            <m:sty m:val="i"/>
          </m:rPr>
          <m:t>P</m:t>
        </m:r>
        <m:r>
          <m:rPr>
            <m:sty m:val="p"/>
          </m:rPr>
          <m:t>,</m:t>
        </m:r>
        <m:r>
          <m:rPr>
            <m:sty m:val="i"/>
          </m:rPr>
          <m:t>h</m:t>
        </m:r>
      </m:oMath>
      <w:r>
        <w:rPr>
          <w:rFonts w:eastAsia="Georgia" w:cs="Georgia" w:ascii="Georgia" w:hAnsi="Georgia"/>
        </w:rPr>
        <w:t xml:space="preserve"> ) de l'eau. Placer, avec soin et à l'échelle, les points </w:t>
      </w:r>
      <m:oMath>
        <m:sSup>
          <m:sSupPr/>
          <m:e>
            <m:r>
              <m:rPr>
                <m:sty m:val="i"/>
              </m:rPr>
              <m:t>A</m:t>
            </m:r>
          </m:e>
          <m:sup>
            <m:r>
              <m:rPr>
                <m:sty m:val="i"/>
              </m:rPr>
              <m:t>′</m:t>
            </m:r>
          </m:sup>
        </m:sSup>
        <m:r>
          <m:rPr>
            <m:sty m:val="p"/>
          </m:rPr>
          <m:t>,</m:t>
        </m:r>
        <m:r>
          <m:rPr>
            <m:sty m:val="i"/>
          </m:rPr>
          <m:t>B</m:t>
        </m:r>
        <m:r>
          <m:rPr>
            <m:sty m:val="p"/>
          </m:rPr>
          <m:t>,</m:t>
        </m:r>
        <m:r>
          <m:rPr>
            <m:sty m:val="i"/>
          </m:rPr>
          <m:t>C</m:t>
        </m:r>
        <m:r>
          <m:rPr>
            <m:sty m:val="p"/>
          </m:rPr>
          <m:t>,</m:t>
        </m:r>
        <m:r>
          <m:rPr>
            <m:sty m:val="i"/>
          </m:rPr>
          <m:t>D</m:t>
        </m:r>
      </m:oMath>
      <w:r>
        <w:rPr>
          <w:rFonts w:eastAsia="Georgia" w:cs="Georgia" w:ascii="Georgia" w:hAnsi="Georgia"/>
        </w:rPr>
        <w:t xml:space="preserve"> du cycle. On explicitera la méthode.</w:t>
      </w:r>
      <w:r>
        <w:rPr/>
        <w:br w:type="textWrapping"/>
      </w:r>
      <w:r>
        <w:rPr>
          <w:rFonts w:eastAsia="Georgia" w:cs="Georgia" w:ascii="Georgia" w:hAnsi="Georgia"/>
        </w:rPr>
        <w:t xml:space="preserve">d) Dans toute la suite, on négligera les variations d'énergie cinétique et potentielle dans les bilans énergétiques. Exprimer alors, sans démonstration, le premier principe de la thermodynamique pour un fluide en écoulement stationnaire recevant de manière algébrique le travail massique utile </w:t>
      </w:r>
      <m:oMath>
        <m:sSub>
          <m:sSubPr/>
          <m:e>
            <m:r>
              <m:rPr>
                <m:sty m:val="i"/>
              </m:rPr>
              <m:t>w</m:t>
            </m:r>
          </m:e>
          <m:sub>
            <m:r>
              <m:rPr>
                <m:sty m:val="i"/>
              </m:rPr>
              <m:t>u</m:t>
            </m:r>
          </m:sub>
        </m:sSub>
      </m:oMath>
      <w:r>
        <w:rPr/>
        <w:t xml:space="preserve"> et le transfert thermique massique </w:t>
      </w:r>
      <m:oMath>
        <m:r>
          <m:rPr>
            <m:sty m:val="i"/>
          </m:rPr>
          <m:t>q</m:t>
        </m:r>
      </m:oMath>
      <w:r>
        <w:rPr/>
        <w:t xml:space="preserve">.</w:t>
      </w:r>
      <w:r>
        <w:rPr/>
        <w:br w:type="textWrapping"/>
      </w:r>
      <w:r>
        <w:rPr/>
        <w:t xml:space="preserve">e) Exprimer le travail massique </w:t>
      </w:r>
      <m:oMath>
        <m:sSub>
          <m:sSubPr/>
          <m:e>
            <m:r>
              <m:rPr>
                <m:sty m:val="i"/>
              </m:rPr>
              <m:t>w</m:t>
            </m:r>
          </m:e>
          <m:sub>
            <m:r>
              <m:rPr>
                <m:sty m:val="i"/>
              </m:rPr>
              <m:t>B</m:t>
            </m:r>
            <m:r>
              <m:rPr>
                <m:sty m:val="i"/>
              </m:rPr>
              <m:t>C</m:t>
            </m:r>
          </m:sub>
        </m:sSub>
      </m:oMath>
      <w:r>
        <w:rPr>
          <w:rFonts w:eastAsia="Georgia" w:cs="Georgia" w:ascii="Georgia" w:hAnsi="Georgia"/>
        </w:rPr>
        <w:t xml:space="preserve"> reçu par l'eau dans la turbine. Donner sa valeur numérique, en s'aidant du diagramme enthalpique.</w:t>
      </w:r>
      <w:r>
        <w:rPr/>
        <w:br w:type="textWrapping"/>
      </w:r>
      <w:r>
        <w:rPr/>
        <w:t xml:space="preserve">f) Exprimer le transfert thermique massique </w:t>
      </w:r>
      <m:oMath>
        <m:sSub>
          <m:sSubPr/>
          <m:e>
            <m:r>
              <m:rPr>
                <m:sty m:val="i"/>
              </m:rPr>
              <m:t>q</m:t>
            </m:r>
          </m:e>
          <m:sub>
            <m:r>
              <m:rPr>
                <m:sty m:val="i"/>
              </m:rPr>
              <m:t>A</m:t>
            </m:r>
            <m:sSup>
              <m:sSupPr/>
              <m:e>
                <m:r>
                  <m:rPr>
                    <m:sty m:val="i"/>
                  </m:rPr>
                  <m:t>A</m:t>
                </m:r>
              </m:e>
              <m:sup>
                <m:r>
                  <m:rPr>
                    <m:sty m:val="i"/>
                  </m:rPr>
                  <m:t>′</m:t>
                </m:r>
              </m:sup>
            </m:sSup>
          </m:sub>
        </m:sSub>
      </m:oMath>
      <w:r>
        <w:rPr>
          <w:rFonts w:eastAsia="Georgia" w:cs="Georgia" w:ascii="Georgia" w:hAnsi="Georgia"/>
        </w:rPr>
        <w:t xml:space="preserve"> reçu par l'eau liquide quand elle passe de manière isobare de la température </w:t>
      </w:r>
      <m:oMath>
        <m:sSub>
          <m:sSubPr/>
          <m:e>
            <m:r>
              <m:rPr>
                <m:sty m:val="i"/>
              </m:rPr>
              <m:t>T</m:t>
            </m:r>
          </m:e>
          <m:sub>
            <m:r>
              <m:rPr>
                <m:sty m:val="i"/>
              </m:rPr>
              <m:t>A</m:t>
            </m:r>
          </m:sub>
        </m:sSub>
      </m:oMath>
      <w:r>
        <w:rPr>
          <w:rFonts w:eastAsia="Georgia" w:cs="Georgia" w:ascii="Georgia" w:hAnsi="Georgia"/>
        </w:rPr>
        <w:t xml:space="preserve"> à la température </w:t>
      </w:r>
      <m:oMath>
        <m:sSub>
          <m:sSubPr/>
          <m:e>
            <m:r>
              <m:rPr>
                <m:sty m:val="i"/>
              </m:rPr>
              <m:t>T</m:t>
            </m:r>
          </m:e>
          <m:sub>
            <m:sSup>
              <m:sSupPr/>
              <m:e>
                <m:r>
                  <m:rPr>
                    <m:sty m:val="i"/>
                  </m:rPr>
                  <m:t>A</m:t>
                </m:r>
              </m:e>
              <m:sup>
                <m:r>
                  <m:rPr>
                    <m:sty m:val="i"/>
                  </m:rPr>
                  <m:t>′</m:t>
                </m:r>
              </m:sup>
            </m:sSup>
          </m:sub>
        </m:sSub>
      </m:oMath>
      <w:r>
        <w:rPr>
          <w:rFonts w:eastAsia="Georgia" w:cs="Georgia" w:ascii="Georgia" w:hAnsi="Georgia"/>
        </w:rPr>
        <w:t xml:space="preserve"> dans le générateur de vapeur. Donner sa valeur numérique : on considérera </w:t>
      </w:r>
      <m:oMath>
        <m:sSub>
          <m:sSubPr/>
          <m:e>
            <m:r>
              <m:rPr>
                <m:sty m:val="i"/>
              </m:rPr>
              <m:t>T</m:t>
            </m:r>
          </m:e>
          <m:sub>
            <m:r>
              <m:rPr>
                <m:sty m:val="i"/>
              </m:rPr>
              <m:t>A</m:t>
            </m:r>
          </m:sub>
        </m:sSub>
        <m:r>
          <m:rPr>
            <m:sty m:val="p"/>
          </m:rPr>
          <m:t>≈</m:t>
        </m:r>
        <m:sSub>
          <m:sSubPr/>
          <m:e>
            <m:r>
              <m:rPr>
                <m:sty m:val="i"/>
              </m:rPr>
              <m:t>T</m:t>
            </m:r>
          </m:e>
          <m:sub>
            <m:r>
              <m:rPr>
                <m:sty m:val="i"/>
              </m:rPr>
              <m:t>D</m:t>
            </m:r>
          </m:sub>
        </m:sSub>
      </m:oMath>
      <w:r>
        <w:rPr/>
        <w:t xml:space="preserve">.</w:t>
      </w:r>
      <w:r>
        <w:rPr/>
        <w:br w:type="textWrapping"/>
      </w:r>
      <w:r>
        <w:rPr/>
        <w:t xml:space="preserve">g) Exprimer le transfert thermique massique </w:t>
      </w:r>
      <m:oMath>
        <m:sSub>
          <m:sSubPr/>
          <m:e>
            <m:r>
              <m:rPr>
                <m:sty m:val="i"/>
              </m:rPr>
              <m:t>q</m:t>
            </m:r>
          </m:e>
          <m:sub>
            <m:sSup>
              <m:sSupPr/>
              <m:e>
                <m:r>
                  <m:rPr>
                    <m:sty m:val="i"/>
                  </m:rPr>
                  <m:t>A</m:t>
                </m:r>
              </m:e>
              <m:sup>
                <m:r>
                  <m:rPr>
                    <m:sty m:val="i"/>
                  </m:rPr>
                  <m:t>′</m:t>
                </m:r>
              </m:sup>
            </m:sSup>
            <m:r>
              <m:rPr>
                <m:sty m:val="i"/>
              </m:rPr>
              <m:t>B</m:t>
            </m:r>
          </m:sub>
        </m:sSub>
      </m:oMath>
      <w:r>
        <w:rPr>
          <w:rFonts w:eastAsia="Georgia" w:cs="Georgia" w:ascii="Georgia" w:hAnsi="Georgia"/>
        </w:rPr>
        <w:t xml:space="preserve"> reçu par l'eau quand elle se vaporise complètement dans le générateur de vapeur. Donner sa valeur numérique.</w:t>
      </w:r>
      <w:r>
        <w:rPr/>
        <w:br w:type="textWrapping"/>
      </w:r>
      <w:r>
        <w:rPr>
          <w:rFonts w:eastAsia="Georgia" w:cs="Georgia" w:ascii="Georgia" w:hAnsi="Georgia"/>
        </w:rPr>
        <w:t xml:space="preserve">h) Calculer alors le rendement de Rankine de l'installation. Comparer au rendement de Carnot et commenter. Comparer au rendement réel et commenter.</w:t>
      </w:r>
      <w:r>
        <w:rPr/>
        <w:br w:type="textWrapping"/>
      </w:r>
      <w:r>
        <w:rPr>
          <w:rFonts w:eastAsia="Georgia" w:cs="Georgia" w:ascii="Georgia" w:hAnsi="Georgia"/>
        </w:rPr>
        <w:t xml:space="preserve">i) Dans quel état se trouve l'eau à la fin de la détente de la turbine? Donner le titre massique en vapeur à l'aide du diagramme enthalpique. En quoi est-ce un inconvénient pour les parties mobiles de la turbine?</w:t>
      </w:r>
    </w:p>
    <w:p>
      <w:pPr>
        <w:spacing w:line="271" w:before="330" w:lineRule="auto"/>
      </w:pPr>
      <w:r>
        <w:rPr>
          <w:rFonts w:eastAsia="Georgia" w:cs="Georgia" w:ascii="Georgia" w:hAnsi="Georgia"/>
          <w:b/>
          <w:sz w:val="42"/>
        </w:rPr>
        <w:t xml:space="preserve">I.A.3) Cycle de Rankine avec détente étagée</w:t>
      </w:r>
    </w:p>
    <w:p>
      <w:pPr>
        <w:spacing w:after="220" w:lineRule="auto"/>
      </w:pPr>
      <w:r>
        <w:rPr>
          <w:rFonts w:eastAsia="Georgia" w:cs="Georgia" w:ascii="Georgia" w:hAnsi="Georgia"/>
        </w:rPr>
        <w:t xml:space="preserve">Le cycle réel est plus compliqué que celui étudié précédemment (voir figure 3). En effet, d'une part, la détente est étagée : elle se fait d'abord dans une turbine «haute pression» puis dans une turbine «basse pression». D'autre part, entre les deux turbines, l'eau passe dans un «surchauffeur». Les transformations sont maintenant modélisées par</w:t>
      </w:r>
    </w:p>
    <w:p>
      <w:pPr>
        <w:numPr>
          <w:ilvl w:val="0"/>
          <w:numId w:val="3"/>
        </w:numPr>
        <w:spacing w:lineRule="auto"/>
      </w:pPr>
      <w:r>
        <w:rPr/>
        <w:t xml:space="preserve">de </w:t>
      </w:r>
      <m:oMath>
        <m:r>
          <m:rPr>
            <m:sty m:val="i"/>
          </m:rPr>
          <m:t>A</m:t>
        </m:r>
      </m:oMath>
      <w:r>
        <w:rPr>
          <w:rFonts w:eastAsia="Georgia" w:cs="Georgia" w:ascii="Georgia" w:hAnsi="Georgia"/>
        </w:rPr>
        <w:t xml:space="preserve"> à </w:t>
      </w:r>
      <m:oMath>
        <m:r>
          <m:rPr>
            <m:sty m:val="i"/>
          </m:rPr>
          <m:t>B</m:t>
        </m:r>
      </m:oMath>
      <w:r>
        <w:rPr>
          <w:rFonts w:eastAsia="Georgia" w:cs="Georgia" w:ascii="Georgia" w:hAnsi="Georgia"/>
        </w:rPr>
        <w:t xml:space="preserve"> : dans le générateur de vapeur, échauffement isobare du liquide à la pression </w:t>
      </w:r>
      <m:oMath>
        <m:sSub>
          <m:sSubPr/>
          <m:e>
            <m:r>
              <m:rPr>
                <m:sty m:val="i"/>
              </m:rPr>
              <m:t>P</m:t>
            </m:r>
          </m:e>
          <m:sub>
            <m:r>
              <m:rPr>
                <m:sty m:val="p"/>
              </m:rPr>
              <m:t>2</m:t>
            </m:r>
          </m:sub>
        </m:sSub>
        <m:r>
          <m:rPr>
            <m:sty m:val="p"/>
          </m:rPr>
          <m:t>=</m:t>
        </m:r>
        <m:r>
          <m:rPr>
            <m:sty m:val="p"/>
          </m:rPr>
          <m:t>55</m:t>
        </m:r>
      </m:oMath>
      <w:r>
        <w:rPr>
          <w:rFonts w:eastAsia="Georgia" w:cs="Georgia" w:ascii="Georgia" w:hAnsi="Georgia"/>
        </w:rPr>
        <w:t xml:space="preserve"> bar, jusqu'à un état de liquide saturant (état noté </w:t>
      </w:r>
      <m:oMath>
        <m:sSup>
          <m:sSupPr/>
          <m:e>
            <m:r>
              <m:rPr>
                <m:sty m:val="i"/>
              </m:rPr>
              <m:t>A</m:t>
            </m:r>
          </m:e>
          <m:sup>
            <m:r>
              <m:rPr>
                <m:sty m:val="i"/>
              </m:rPr>
              <m:t>′</m:t>
            </m:r>
          </m:sup>
        </m:sSup>
      </m:oMath>
      <w:r>
        <w:rPr>
          <w:rFonts w:eastAsia="Georgia" w:cs="Georgia" w:ascii="Georgia" w:hAnsi="Georgia"/>
        </w:rPr>
        <w:t xml:space="preserve"> ), puis vaporisation totale isobare jusqu'à un état de vapeur saturante sèche (point </w:t>
      </w:r>
      <m:oMath>
        <m:r>
          <m:rPr>
            <m:sty m:val="i"/>
          </m:rPr>
          <m:t>B</m:t>
        </m:r>
      </m:oMath>
      <w:r>
        <w:rPr/>
        <w:t xml:space="preserve"> ) ;</w:t>
      </w:r>
    </w:p>
    <w:p>
      <w:pPr>
        <w:numPr>
          <w:ilvl w:val="0"/>
          <w:numId w:val="3"/>
        </w:numPr>
        <w:spacing w:lineRule="auto"/>
      </w:pPr>
      <w:r>
        <w:rPr/>
        <w:t xml:space="preserve">de </w:t>
      </w:r>
      <m:oMath>
        <m:r>
          <m:rPr>
            <m:sty m:val="i"/>
          </m:rPr>
          <m:t>B</m:t>
        </m:r>
      </m:oMath>
      <w:r>
        <w:rPr>
          <w:rFonts w:eastAsia="Georgia" w:cs="Georgia" w:ascii="Georgia" w:hAnsi="Georgia"/>
        </w:rPr>
        <w:t xml:space="preserve"> à </w:t>
      </w:r>
      <m:oMath>
        <m:sSup>
          <m:sSupPr/>
          <m:e>
            <m:r>
              <m:rPr>
                <m:sty m:val="i"/>
              </m:rPr>
              <m:t>C</m:t>
            </m:r>
          </m:e>
          <m:sup>
            <m:r>
              <m:rPr>
                <m:sty m:val="i"/>
              </m:rPr>
              <m:t>′</m:t>
            </m:r>
          </m:sup>
        </m:sSup>
      </m:oMath>
      <w:r>
        <w:rPr>
          <w:rFonts w:eastAsia="Georgia" w:cs="Georgia" w:ascii="Georgia" w:hAnsi="Georgia"/>
        </w:rPr>
        <w:t xml:space="preserve"> : détente adiabatique réversible dans la turbine «haute pression», de la pression </w:t>
      </w:r>
      <m:oMath>
        <m:sSub>
          <m:sSubPr/>
          <m:e>
            <m:r>
              <m:rPr>
                <m:sty m:val="i"/>
              </m:rPr>
              <m:t>P</m:t>
            </m:r>
          </m:e>
          <m:sub>
            <m:r>
              <m:rPr>
                <m:sty m:val="p"/>
              </m:rPr>
              <m:t>2</m:t>
            </m:r>
          </m:sub>
        </m:sSub>
      </m:oMath>
      <w:r>
        <w:rPr>
          <w:rFonts w:eastAsia="Georgia" w:cs="Georgia" w:ascii="Georgia" w:hAnsi="Georgia"/>
        </w:rPr>
        <w:t xml:space="preserve"> à la pression </w:t>
      </w:r>
      <m:oMath>
        <m:sSub>
          <m:sSubPr/>
          <m:e>
            <m:r>
              <m:rPr>
                <m:sty m:val="i"/>
              </m:rPr>
              <m:t>P</m:t>
            </m:r>
          </m:e>
          <m:sub>
            <m:r>
              <m:rPr>
                <m:sty m:val="p"/>
              </m:rPr>
              <m:t>3</m:t>
            </m:r>
          </m:sub>
        </m:sSub>
        <m:r>
          <m:rPr>
            <m:sty m:val="p"/>
          </m:rPr>
          <m:t>=</m:t>
        </m:r>
        <m:r>
          <m:rPr>
            <m:sty m:val="p"/>
          </m:rPr>
          <m:t>10</m:t>
        </m:r>
      </m:oMath>
      <w:r>
        <w:rPr/>
        <w:t xml:space="preserve"> bar ;</w:t>
      </w:r>
    </w:p>
    <w:p>
      <w:pPr>
        <w:numPr>
          <w:ilvl w:val="0"/>
          <w:numId w:val="3"/>
        </w:numPr>
        <w:spacing w:lineRule="auto"/>
      </w:pPr>
      <w:r>
        <w:rPr/>
        <w:t xml:space="preserve">de </w:t>
      </w:r>
      <m:oMath>
        <m:sSup>
          <m:sSupPr/>
          <m:e>
            <m:r>
              <m:rPr>
                <m:sty m:val="i"/>
              </m:rPr>
              <m:t>C</m:t>
            </m:r>
          </m:e>
          <m:sup>
            <m:r>
              <m:rPr>
                <m:sty m:val="i"/>
              </m:rPr>
              <m:t>′</m:t>
            </m:r>
          </m:sup>
        </m:sSup>
      </m:oMath>
      <w:r>
        <w:rPr>
          <w:rFonts w:eastAsia="Georgia" w:cs="Georgia" w:ascii="Georgia" w:hAnsi="Georgia"/>
        </w:rPr>
        <w:t xml:space="preserve"> à </w:t>
      </w:r>
      <m:oMath>
        <m:sSup>
          <m:sSupPr/>
          <m:e>
            <m:r>
              <m:rPr>
                <m:sty m:val="i"/>
              </m:rPr>
              <m:t>B</m:t>
            </m:r>
          </m:e>
          <m:sup>
            <m:r>
              <m:rPr>
                <m:sty m:val="i"/>
              </m:rPr>
              <m:t>′</m:t>
            </m:r>
          </m:sup>
        </m:sSup>
      </m:oMath>
      <w:r>
        <w:rPr>
          <w:rFonts w:eastAsia="Georgia" w:cs="Georgia" w:ascii="Georgia" w:hAnsi="Georgia"/>
        </w:rPr>
        <w:t xml:space="preserve"> : échauffement isobare à la pression </w:t>
      </w:r>
      <m:oMath>
        <m:sSub>
          <m:sSubPr/>
          <m:e>
            <m:r>
              <m:rPr>
                <m:sty m:val="i"/>
              </m:rPr>
              <m:t>P</m:t>
            </m:r>
          </m:e>
          <m:sub>
            <m:r>
              <m:rPr>
                <m:sty m:val="p"/>
              </m:rPr>
              <m:t>3</m:t>
            </m:r>
          </m:sub>
        </m:sSub>
      </m:oMath>
      <w:r>
        <w:rPr>
          <w:rFonts w:eastAsia="Georgia" w:cs="Georgia" w:ascii="Georgia" w:hAnsi="Georgia"/>
        </w:rPr>
        <w:t xml:space="preserve">, dans le surchauffeur, jusqu'à un état de vapeur saturante sèche (point </w:t>
      </w:r>
      <m:oMath>
        <m:sSup>
          <m:sSupPr/>
          <m:e>
            <m:r>
              <m:rPr>
                <m:sty m:val="i"/>
              </m:rPr>
              <m:t>B</m:t>
            </m:r>
          </m:e>
          <m:sup>
            <m:r>
              <m:rPr>
                <m:sty m:val="i"/>
              </m:rPr>
              <m:t>′</m:t>
            </m:r>
          </m:sup>
        </m:sSup>
      </m:oMath>
      <w:r>
        <w:rPr/>
        <w:t xml:space="preserve"> );</w:t>
      </w:r>
    </w:p>
    <w:p>
      <w:pPr>
        <w:numPr>
          <w:ilvl w:val="0"/>
          <w:numId w:val="3"/>
        </w:numPr>
        <w:spacing w:lineRule="auto"/>
      </w:pPr>
      <w:r>
        <w:rPr/>
        <w:t xml:space="preserve">de </w:t>
      </w:r>
      <m:oMath>
        <m:sSup>
          <m:sSupPr/>
          <m:e>
            <m:r>
              <m:rPr>
                <m:sty m:val="i"/>
              </m:rPr>
              <m:t>B</m:t>
            </m:r>
          </m:e>
          <m:sup>
            <m:r>
              <m:rPr>
                <m:sty m:val="i"/>
              </m:rPr>
              <m:t>′</m:t>
            </m:r>
          </m:sup>
        </m:sSup>
      </m:oMath>
      <w:r>
        <w:rPr>
          <w:rFonts w:eastAsia="Georgia" w:cs="Georgia" w:ascii="Georgia" w:hAnsi="Georgia"/>
        </w:rPr>
        <w:t xml:space="preserve"> à </w:t>
      </w:r>
      <m:oMath>
        <m:sSup>
          <m:sSupPr/>
          <m:e>
            <m:r>
              <m:rPr>
                <m:sty m:val="i"/>
              </m:rPr>
              <m:t>C</m:t>
            </m:r>
          </m:e>
          <m:sup>
            <m:r>
              <m:rPr>
                <m:sty m:val="i"/>
              </m:rPr>
              <m:t>′</m:t>
            </m:r>
            <m:r>
              <m:rPr>
                <m:sty m:val="i"/>
              </m:rPr>
              <m:t>′</m:t>
            </m:r>
          </m:sup>
        </m:sSup>
      </m:oMath>
      <w:r>
        <w:rPr>
          <w:rFonts w:eastAsia="Georgia" w:cs="Georgia" w:ascii="Georgia" w:hAnsi="Georgia"/>
        </w:rPr>
        <w:t xml:space="preserve"> : détente adiabatique réversible dans la turbine «basse pression», de la pression </w:t>
      </w:r>
      <m:oMath>
        <m:sSub>
          <m:sSubPr/>
          <m:e>
            <m:r>
              <m:rPr>
                <m:sty m:val="i"/>
              </m:rPr>
              <m:t>P</m:t>
            </m:r>
          </m:e>
          <m:sub>
            <m:r>
              <m:rPr>
                <m:sty m:val="p"/>
              </m:rPr>
              <m:t>3</m:t>
            </m:r>
          </m:sub>
        </m:sSub>
      </m:oMath>
      <w:r>
        <w:rPr>
          <w:rFonts w:eastAsia="Georgia" w:cs="Georgia" w:ascii="Georgia" w:hAnsi="Georgia"/>
        </w:rPr>
        <w:t xml:space="preserve"> à la pression </w:t>
      </w:r>
      <m:oMath>
        <m:sSub>
          <m:sSubPr/>
          <m:e>
            <m:r>
              <m:rPr>
                <m:sty m:val="i"/>
              </m:rPr>
              <m:t>P</m:t>
            </m:r>
          </m:e>
          <m:sub>
            <m:r>
              <m:rPr>
                <m:sty m:val="p"/>
              </m:rPr>
              <m:t>1</m:t>
            </m:r>
          </m:sub>
        </m:sSub>
        <m:r>
          <m:rPr>
            <m:sty m:val="p"/>
          </m:rPr>
          <m:t>=</m:t>
        </m:r>
        <m:r>
          <m:rPr>
            <m:sty m:val="p"/>
          </m:rPr>
          <m:t>43</m:t>
        </m:r>
        <m:r>
          <m:rPr>
            <m:sty m:val="p"/>
          </m:rPr>
          <m:t>mbar</m:t>
        </m:r>
      </m:oMath>
      <w:r>
        <w:rPr/>
        <w:t xml:space="preserve">;</w:t>
      </w:r>
    </w:p>
    <w:p>
      <w:pPr>
        <w:numPr>
          <w:ilvl w:val="0"/>
          <w:numId w:val="3"/>
        </w:numPr>
        <w:spacing w:lineRule="auto"/>
      </w:pPr>
      <w:r>
        <w:rPr/>
        <w:t xml:space="preserve">de </w:t>
      </w:r>
      <m:oMath>
        <m:sSup>
          <m:sSupPr/>
          <m:e>
            <m:r>
              <m:rPr>
                <m:sty m:val="i"/>
              </m:rPr>
              <m:t>C</m:t>
            </m:r>
          </m:e>
          <m:sup>
            <m:r>
              <m:rPr>
                <m:sty m:val="i"/>
              </m:rPr>
              <m:t>′</m:t>
            </m:r>
            <m:r>
              <m:rPr>
                <m:sty m:val="i"/>
              </m:rPr>
              <m:t>′</m:t>
            </m:r>
          </m:sup>
        </m:sSup>
      </m:oMath>
      <w:r>
        <w:rPr>
          <w:rFonts w:eastAsia="Georgia" w:cs="Georgia" w:ascii="Georgia" w:hAnsi="Georgia"/>
        </w:rPr>
        <w:t xml:space="preserve"> à </w:t>
      </w:r>
      <m:oMath>
        <m:r>
          <m:rPr>
            <m:sty m:val="i"/>
          </m:rPr>
          <m:t>D</m:t>
        </m:r>
      </m:oMath>
      <w:r>
        <w:rPr>
          <w:rFonts w:eastAsia="Georgia" w:cs="Georgia" w:ascii="Georgia" w:hAnsi="Georgia"/>
        </w:rPr>
        <w:t xml:space="preserve"> : liquéfaction totale isobare dans le condenseur, jusqu'à un état de liquide saturant ;</w:t>
      </w:r>
    </w:p>
    <w:p>
      <w:pPr>
        <w:numPr>
          <w:ilvl w:val="0"/>
          <w:numId w:val="3"/>
        </w:numPr>
        <w:spacing w:lineRule="auto"/>
      </w:pPr>
      <w:r>
        <w:rPr/>
        <w:t xml:space="preserve">de </w:t>
      </w:r>
      <m:oMath>
        <m:r>
          <m:rPr>
            <m:sty m:val="i"/>
          </m:rPr>
          <m:t>D</m:t>
        </m:r>
      </m:oMath>
      <w:r>
        <w:rPr>
          <w:rFonts w:eastAsia="Georgia" w:cs="Georgia" w:ascii="Georgia" w:hAnsi="Georgia"/>
        </w:rPr>
        <w:t xml:space="preserve"> à </w:t>
      </w:r>
      <m:oMath>
        <m:r>
          <m:rPr>
            <m:sty m:val="i"/>
          </m:rPr>
          <m:t>A</m:t>
        </m:r>
      </m:oMath>
      <w:r>
        <w:rPr>
          <w:rFonts w:eastAsia="Georgia" w:cs="Georgia" w:ascii="Georgia" w:hAnsi="Georgia"/>
        </w:rPr>
        <w:t xml:space="preserve"> : compression adiabatique réversible, dans la pompe d'alimentation, de la pression </w:t>
      </w:r>
      <m:oMath>
        <m:sSub>
          <m:sSubPr/>
          <m:e>
            <m:r>
              <m:rPr>
                <m:sty m:val="i"/>
              </m:rPr>
              <m:t>P</m:t>
            </m:r>
          </m:e>
          <m:sub>
            <m:r>
              <m:rPr>
                <m:sty m:val="p"/>
              </m:rPr>
              <m:t>1</m:t>
            </m:r>
          </m:sub>
        </m:sSub>
      </m:oMath>
      <w:r>
        <w:rPr>
          <w:rFonts w:eastAsia="Georgia" w:cs="Georgia" w:ascii="Georgia" w:hAnsi="Georgia"/>
        </w:rPr>
        <w:t xml:space="preserve"> à la pression </w:t>
      </w:r>
      <m:oMath>
        <m:sSub>
          <m:sSubPr/>
          <m:e>
            <m:r>
              <m:rPr>
                <m:sty m:val="i"/>
              </m:rPr>
              <m:t>P</m:t>
            </m:r>
          </m:e>
          <m:sub>
            <m:r>
              <m:rPr>
                <m:sty m:val="p"/>
              </m:rPr>
              <m:t>2</m:t>
            </m:r>
          </m:sub>
        </m:sSub>
      </m:oMath>
      <w:r>
        <w:rPr>
          <w:rFonts w:eastAsia="Georgia" w:cs="Georgia" w:ascii="Georgia" w:hAnsi="Georgia"/>
        </w:rPr>
        <w:t xml:space="preserve">, du liquide saturant sortant du condenseur. On négligera le travail consommé par cette pompe devant les autres énergies mises en jeu.</w:t>
      </w:r>
    </w:p>
    <w:p>
      <w:pPr>
        <w:spacing w:lineRule="auto"/>
        <w:jc w:val="center"/>
      </w:pPr>
      <w:r>
        <w:rPr/>
        <w:drawing>
          <wp:inline distB="0" distL="0" distR="0" distT="0">
            <wp:extent cx="5486400" cy="2629365"/>
            <wp:effectExtent b="0" l="0" r="0" t="0"/>
            <wp:docPr id="3" name="image-2c1fda8b2b1bbb58d28b0a268cf9c60cbe7d1f7a.jpg"/>
            <a:graphic>
              <a:graphicData uri="http://schemas.openxmlformats.org/drawingml/2006/picture">
                <pic:pic>
                  <pic:nvPicPr>
                    <pic:cNvPr id="3" name="image-2c1fda8b2b1bbb58d28b0a268cf9c60cbe7d1f7a.jpg" descr=""/>
                    <pic:cNvPicPr/>
                  </pic:nvPicPr>
                  <pic:blipFill>
                    <a:blip r:embed="rId7" cstate="print"/>
                    <a:srcRect b="0" l="0" r="0" t="0"/>
                    <a:stretch>
                      <a:fillRect/>
                    </a:stretch>
                  </pic:blipFill>
                  <pic:spPr>
                    <a:xfrm>
                      <a:off x="0" y="0"/>
                      <a:ext cx="5486400" cy="2629365"/>
                    </a:xfrm>
                    <a:prstGeom prst="rect"/>
                  </pic:spPr>
                </pic:pic>
              </a:graphicData>
            </a:graphic>
          </wp:inline>
        </w:drawing>
      </w:r>
    </w:p>
    <w:p>
      <w:pPr>
        <w:spacing w:lineRule="auto"/>
      </w:pPr>
      <w:r>
        <w:rPr>
          <w:rFonts w:eastAsia="Georgia" w:cs="Georgia" w:ascii="Georgia" w:hAnsi="Georgia"/>
        </w:rPr>
        <w:t xml:space="preserve">Figure 3 Cycle de Rankine avec une détente étagée</w:t>
      </w:r>
    </w:p>
    <w:p>
      <w:pPr>
        <w:spacing w:after="220" w:lineRule="auto"/>
      </w:pPr>
      <w:r>
        <w:rPr/>
        <w:t xml:space="preserve">a) Placer les nouveaux points </w:t>
      </w:r>
      <m:oMath>
        <m:sSup>
          <m:sSupPr/>
          <m:e>
            <m:r>
              <m:rPr>
                <m:sty m:val="i"/>
              </m:rPr>
              <m:t>C</m:t>
            </m:r>
          </m:e>
          <m:sup>
            <m:r>
              <m:rPr>
                <m:sty m:val="i"/>
              </m:rPr>
              <m:t>′</m:t>
            </m:r>
          </m:sup>
        </m:sSup>
        <m:r>
          <m:rPr>
            <m:sty m:val="p"/>
          </m:rPr>
          <m:t>,</m:t>
        </m:r>
        <m:sSup>
          <m:sSupPr/>
          <m:e>
            <m:r>
              <m:rPr>
                <m:sty m:val="i"/>
              </m:rPr>
              <m:t>B</m:t>
            </m:r>
          </m:e>
          <m:sup>
            <m:r>
              <m:rPr>
                <m:sty m:val="i"/>
              </m:rPr>
              <m:t>′</m:t>
            </m:r>
          </m:sup>
        </m:sSup>
        <m:r>
          <m:rPr>
            <m:sty m:val="p"/>
          </m:rPr>
          <m:t>,</m:t>
        </m:r>
        <m:sSup>
          <m:sSupPr/>
          <m:e>
            <m:r>
              <m:rPr>
                <m:sty m:val="i"/>
              </m:rPr>
              <m:t>C</m:t>
            </m:r>
          </m:e>
          <m:sup>
            <m:r>
              <m:rPr>
                <m:sty m:val="i"/>
              </m:rPr>
              <m:t>′</m:t>
            </m:r>
            <m:r>
              <m:rPr>
                <m:sty m:val="i"/>
              </m:rPr>
              <m:t>′</m:t>
            </m:r>
          </m:sup>
        </m:sSup>
      </m:oMath>
      <w:r>
        <w:rPr>
          <w:rFonts w:eastAsia="Georgia" w:cs="Georgia" w:ascii="Georgia" w:hAnsi="Georgia"/>
        </w:rPr>
        <w:t xml:space="preserve"> sur le diagramme enthalpique du document réponse.</w:t>
      </w:r>
      <w:r>
        <w:rPr/>
        <w:br w:type="textWrapping"/>
      </w:r>
      <w:r>
        <w:rPr/>
        <w:t xml:space="preserve">b) Comparer les titres massiques en vapeur des points </w:t>
      </w:r>
      <m:oMath>
        <m:sSup>
          <m:sSupPr/>
          <m:e>
            <m:r>
              <m:rPr>
                <m:sty m:val="i"/>
              </m:rPr>
              <m:t>C</m:t>
            </m:r>
          </m:e>
          <m:sup>
            <m:r>
              <m:rPr>
                <m:sty m:val="i"/>
              </m:rPr>
              <m:t>′</m:t>
            </m:r>
          </m:sup>
        </m:sSup>
      </m:oMath>
      <w:r>
        <w:rPr/>
        <w:t xml:space="preserve"> et </w:t>
      </w:r>
      <m:oMath>
        <m:sSup>
          <m:sSupPr/>
          <m:e>
            <m:r>
              <m:rPr>
                <m:sty m:val="i"/>
              </m:rPr>
              <m:t>C</m:t>
            </m:r>
          </m:e>
          <m:sup>
            <m:r>
              <m:rPr>
                <m:sty m:val="i"/>
              </m:rPr>
              <m:t>′</m:t>
            </m:r>
            <m:r>
              <m:rPr>
                <m:sty m:val="i"/>
              </m:rPr>
              <m:t>′</m:t>
            </m:r>
          </m:sup>
        </m:sSup>
      </m:oMath>
      <w:r>
        <w:rPr/>
        <w:t xml:space="preserve"> au titre massique en vapeur du point </w:t>
      </w:r>
      <m:oMath>
        <m:r>
          <m:rPr>
            <m:sty m:val="i"/>
          </m:rPr>
          <m:t>C</m:t>
        </m:r>
      </m:oMath>
      <w:r>
        <w:rPr>
          <w:rFonts w:eastAsia="Georgia" w:cs="Georgia" w:ascii="Georgia" w:hAnsi="Georgia"/>
        </w:rPr>
        <w:t xml:space="preserve">. Quel est l'intérêt de la surchauffe?</w:t>
      </w:r>
      <w:r>
        <w:rPr/>
        <w:br w:type="textWrapping"/>
      </w:r>
      <w:r>
        <w:rPr>
          <w:rFonts w:eastAsia="Georgia" w:cs="Georgia" w:ascii="Georgia" w:hAnsi="Georgia"/>
        </w:rPr>
        <w:t xml:space="preserve">c) À l'aide du diagramme enthalpique, déterminer le nouveau rendement du cycle. Commenter.</w:t>
      </w:r>
    </w:p>
    <w:p>
      <w:pPr>
        <w:spacing w:line="271" w:before="330" w:lineRule="auto"/>
      </w:pPr>
      <w:r>
        <w:rPr>
          <w:b/>
          <w:sz w:val="42"/>
        </w:rPr>
        <w:t xml:space="preserve">I.B - Enrichissement de l'uranium par centrifugation</w:t>
      </w:r>
    </w:p>
    <w:p>
      <w:pPr>
        <w:spacing w:after="220" w:lineRule="auto"/>
      </w:pPr>
      <w:r>
        <w:rPr>
          <w:rFonts w:eastAsia="Georgia" w:cs="Georgia" w:ascii="Georgia" w:hAnsi="Georgia"/>
        </w:rPr>
        <w:t xml:space="preserve">Certains noyaux sont susceptibles de fissionner sous l'effet d'un bombardement de neutrons «lents» (vitesse de </w:t>
      </w:r>
      <m:oMath>
        <m:r>
          <m:rPr>
            <m:sty m:val="p"/>
          </m:rPr>
          <m:t>2</m:t>
        </m:r>
        <m:r>
          <m:rPr>
            <m:sty m:val="p"/>
          </m:rPr>
          <m:t>,</m:t>
        </m:r>
        <m:r>
          <m:rPr>
            <m:sty m:val="p"/>
          </m:rPr>
          <m:t>2</m:t>
        </m:r>
        <m:r>
          <m:rPr>
            <m:nor/>
          </m:rPr>
          <m:t xml:space="preserve"> </m:t>
        </m:r>
        <m:r>
          <m:rPr>
            <m:sty m:val="p"/>
          </m:rPr>
          <m:t>km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 : on parle alors de noyaux fissiles. Le seul isotope fissile naturel est l'uranium-235. Dans les réacteurs REP, on privilégie cette fission par neutrons lents. Or l'uranium est un mélange naturel de deux isotopes principaux : l'uranium-238 ( </w:t>
      </w:r>
      <m:oMath>
        <m:r>
          <m:rPr>
            <m:sty m:val="p"/>
          </m:rPr>
          <m:t>99</m:t>
        </m:r>
        <m:r>
          <m:rPr>
            <m:sty m:val="p"/>
          </m:rPr>
          <m:t>,</m:t>
        </m:r>
        <m:r>
          <m:rPr>
            <m:sty m:val="p"/>
          </m:rPr>
          <m:t>28</m:t>
        </m:r>
        <m:r>
          <m:rPr>
            <m:sty m:val="p"/>
          </m:rPr>
          <m:t>%</m:t>
        </m:r>
      </m:oMath>
      <w:r>
        <w:rPr/>
        <w:t xml:space="preserve"> ) et l'uranium-235 ( </w:t>
      </w:r>
      <m:oMath>
        <m:r>
          <m:rPr>
            <m:sty m:val="p"/>
          </m:rPr>
          <m:t>0</m:t>
        </m:r>
        <m:r>
          <m:rPr>
            <m:sty m:val="p"/>
          </m:rPr>
          <m:t>,</m:t>
        </m:r>
        <m:r>
          <m:rPr>
            <m:sty m:val="p"/>
          </m:rPr>
          <m:t>714</m:t>
        </m:r>
        <m:r>
          <m:rPr>
            <m:sty m:val="p"/>
          </m:rPr>
          <m:t>%</m:t>
        </m:r>
      </m:oMath>
      <w:r>
        <w:rPr>
          <w:rFonts w:eastAsia="Georgia" w:cs="Georgia" w:ascii="Georgia" w:hAnsi="Georgia"/>
        </w:rPr>
        <w:t xml:space="preserve"> ). On améliore alors le rendement de la réaction de fission en enrichissant l'uranium naturel avec de l'uranium-235.</w:t>
      </w:r>
      <w:r>
        <w:rPr/>
        <w:br w:type="textWrapping"/>
      </w:r>
      <w:r>
        <w:rPr>
          <w:rFonts w:eastAsia="Georgia" w:cs="Georgia" w:ascii="Georgia" w:hAnsi="Georgia"/>
        </w:rPr>
        <w:t xml:space="preserve">Une fois extrait du sol, le minerai d'uranium est transformé chimiquement en hexafluorure d'uranium </w:t>
      </w:r>
      <m:oMath>
        <m:sSub>
          <m:sSubPr/>
          <m:e>
            <m:r>
              <m:rPr>
                <m:sty m:val="p"/>
              </m:rPr>
              <m:t>UF</m:t>
            </m:r>
          </m:e>
          <m:sub>
            <m:r>
              <m:rPr>
                <m:sty m:val="p"/>
              </m:rPr>
              <m:t>6</m:t>
            </m:r>
          </m:sub>
        </m:sSub>
      </m:oMath>
      <w:r>
        <w:rPr>
          <w:rFonts w:eastAsia="Georgia" w:cs="Georgia" w:ascii="Georgia" w:hAnsi="Georgia"/>
        </w:rPr>
        <w:t xml:space="preserve">. Dans le procédé d'enrichissement par centrifugation, l'hexafluorure d'uranium est chauffé pour être transformé en vapeur, puis le gaz passe par une série de centrifugeuses qui vont l'enrichir en jusqu'à la teneur souhaitée (de 3 à </w:t>
      </w:r>
      <m:oMath>
        <m:r>
          <m:rPr>
            <m:sty m:val="p"/>
          </m:rPr>
          <m:t>5</m:t>
        </m:r>
        <m:r>
          <m:rPr>
            <m:sty m:val="p"/>
          </m:rPr>
          <m:t>%</m:t>
        </m:r>
      </m:oMath>
      <w:r>
        <w:rPr>
          <w:rFonts w:eastAsia="Georgia" w:cs="Georgia" w:ascii="Georgia" w:hAnsi="Georgia"/>
        </w:rPr>
        <w:t xml:space="preserve"> ). Ensuite refroidi et solidifié, l'hexafluorure d'uranium sera transformé en combustible nucléaire prêt à l'emploi, sous forme de pastilles.</w:t>
      </w:r>
    </w:p>
    <w:p>
      <w:pPr>
        <w:spacing w:after="220" w:lineRule="auto"/>
      </w:pPr>
      <w:r>
        <w:rPr>
          <w:rFonts w:eastAsia="Georgia" w:cs="Georgia" w:ascii="Georgia" w:hAnsi="Georgia"/>
        </w:rPr>
        <w:t xml:space="preserve">Une centrifugeuse est constituée d'un cylindre de rayon </w:t>
      </w:r>
      <m:oMath>
        <m:r>
          <m:rPr>
            <m:sty m:val="i"/>
          </m:rPr>
          <m:t>R</m:t>
        </m:r>
        <m:r>
          <m:rPr>
            <m:sty m:val="p"/>
          </m:rPr>
          <m:t>=</m:t>
        </m:r>
        <m:r>
          <m:rPr>
            <m:sty m:val="p"/>
          </m:rPr>
          <m:t>10</m:t>
        </m:r>
        <m:r>
          <m:rPr>
            <m:nor/>
          </m:rPr>
          <m:t xml:space="preserve"> </m:t>
        </m:r>
        <m:r>
          <m:rPr>
            <m:sty m:val="p"/>
          </m:rPr>
          <m:t>cm</m:t>
        </m:r>
      </m:oMath>
      <w:r>
        <w:rPr/>
        <w:t xml:space="preserve"> et de hauteur </w:t>
      </w:r>
      <m:oMath>
        <m:r>
          <m:rPr>
            <m:sty m:val="i"/>
          </m:rPr>
          <m:t>h</m:t>
        </m:r>
        <m:r>
          <m:rPr>
            <m:sty m:val="p"/>
          </m:rPr>
          <m:t>=</m:t>
        </m:r>
        <m:r>
          <m:rPr>
            <m:sty m:val="p"/>
          </m:rPr>
          <m:t>5</m:t>
        </m:r>
        <m:r>
          <m:rPr>
            <m:nor/>
          </m:rPr>
          <m:t xml:space="preserve"> </m:t>
        </m:r>
        <m:r>
          <m:rPr>
            <m:sty m:val="p"/>
          </m:rPr>
          <m:t>cm</m:t>
        </m:r>
      </m:oMath>
      <w:r>
        <w:rPr/>
        <w:t xml:space="preserve">, tournant autour d'un axe vertical ( </w:t>
      </w:r>
      <m:oMath>
        <m:r>
          <m:rPr>
            <m:sty m:val="i"/>
          </m:rPr>
          <m:t>O</m:t>
        </m:r>
        <m:r>
          <m:rPr>
            <m:sty m:val="i"/>
          </m:rPr>
          <m:t>z</m:t>
        </m:r>
      </m:oMath>
      <w:r>
        <w:rPr>
          <w:rFonts w:eastAsia="Georgia" w:cs="Georgia" w:ascii="Georgia" w:hAnsi="Georgia"/>
        </w:rPr>
        <w:t xml:space="preserve"> ) à la vitesse angulaire constante </w:t>
      </w:r>
      <m:oMath>
        <m:r>
          <m:rPr>
            <m:sty m:val="i"/>
          </m:rPr>
          <m:t>ω</m:t>
        </m:r>
        <m:r>
          <m:rPr>
            <m:sty m:val="p"/>
          </m:rPr>
          <m:t>=</m:t>
        </m:r>
        <m:r>
          <m:rPr>
            <m:sty m:val="p"/>
          </m:rPr>
          <m:t>50000</m:t>
        </m:r>
        <m:r>
          <m:rPr>
            <m:sty m:val="p"/>
          </m:rPr>
          <m:t>tr</m:t>
        </m:r>
        <m:r>
          <m:rPr>
            <m:sty m:val="p"/>
          </m:rPr>
          <m:t>⋅</m:t>
        </m:r>
        <m:sSup>
          <m:sSupPr/>
          <m:e>
            <m:r>
              <m:rPr>
                <m:sty m:val="p"/>
              </m:rPr>
              <m:t>min</m:t>
            </m:r>
          </m:e>
          <m:sup>
            <m:r>
              <m:rPr>
                <m:sty m:val="p"/>
              </m:rPr>
              <m:t>−</m:t>
            </m:r>
            <m:r>
              <m:rPr>
                <m:sty m:val="p"/>
              </m:rPr>
              <m:t>1</m:t>
            </m:r>
          </m:sup>
        </m:sSup>
      </m:oMath>
      <w:r>
        <w:rPr/>
        <w:t xml:space="preserve">. Le gaz d'hexafluorure d'uranium </w:t>
      </w:r>
      <m:oMath>
        <m:sSub>
          <m:sSubPr/>
          <m:e>
            <m:r>
              <m:rPr>
                <m:sty m:val="p"/>
              </m:rPr>
              <m:t>UF</m:t>
            </m:r>
          </m:e>
          <m:sub>
            <m:r>
              <m:rPr>
                <m:sty m:val="p"/>
              </m:rPr>
              <m:t>6</m:t>
            </m:r>
          </m:sub>
        </m:sSub>
      </m:oMath>
      <w:r>
        <w:rPr>
          <w:rFonts w:eastAsia="Georgia" w:cs="Georgia" w:ascii="Georgia" w:hAnsi="Georgia"/>
        </w:rPr>
        <w:t xml:space="preserve"> est introduit dans le cylindre. Les molécules </w:t>
      </w:r>
      <m:oMath>
        <m:sSup>
          <m:sSupPr/>
          <m:e>
            <m:r>
              <m:t xml:space="preserve"> </m:t>
            </m:r>
          </m:e>
          <m:sup>
            <m:r>
              <m:rPr>
                <m:sty m:val="p"/>
              </m:rPr>
              <m:t>235</m:t>
            </m:r>
          </m:sup>
        </m:sSup>
        <m:sSub>
          <m:sSubPr/>
          <m:e>
            <m:r>
              <m:rPr>
                <m:sty m:val="p"/>
              </m:rPr>
              <m:t>UF</m:t>
            </m:r>
          </m:e>
          <m:sub>
            <m:r>
              <m:rPr>
                <m:sty m:val="p"/>
              </m:rPr>
              <m:t>6</m:t>
            </m:r>
          </m:sub>
        </m:sSub>
      </m:oMath>
      <w:r>
        <w:rPr/>
        <w:t xml:space="preserve"> et </w:t>
      </w:r>
      <m:oMath>
        <m:sSup>
          <m:sSupPr/>
          <m:e>
            <m:r>
              <m:t xml:space="preserve"> </m:t>
            </m:r>
          </m:e>
          <m:sup>
            <m:r>
              <m:rPr>
                <m:sty m:val="p"/>
              </m:rPr>
              <m:t>238</m:t>
            </m:r>
          </m:sup>
        </m:sSup>
        <m:sSub>
          <m:sSubPr/>
          <m:e>
            <m:r>
              <m:rPr>
                <m:sty m:val="p"/>
              </m:rPr>
              <m:t>UF</m:t>
            </m:r>
          </m:e>
          <m:sub>
            <m:r>
              <m:rPr>
                <m:sty m:val="p"/>
              </m:rPr>
              <m:t>6</m:t>
            </m:r>
          </m:sub>
        </m:sSub>
      </m:oMath>
      <w:r>
        <w:rPr>
          <w:rFonts w:eastAsia="Georgia" w:cs="Georgia" w:ascii="Georgia" w:hAnsi="Georgia"/>
        </w:rPr>
        <w:t xml:space="preserve"> de masses différentes se répartissent alors différemment et il est possible de déterminer la distribution spatiale des molécules dans la centrifugeuse.</w:t>
      </w:r>
      <w:r>
        <w:rPr/>
        <w:br w:type="textWrapping"/>
      </w:r>
      <w:r>
        <w:rPr/>
        <w:t xml:space="preserve">On note </w:t>
      </w:r>
      <m:oMath>
        <m:sSub>
          <m:sSubPr/>
          <m:e>
            <m:r>
              <m:rPr>
                <m:scr m:val="script"/>
              </m:rPr>
              <m:t>R</m:t>
            </m:r>
          </m:e>
          <m:sub>
            <m:r>
              <m:rPr>
                <m:sty m:val="p"/>
              </m:rPr>
              <m:t>0</m:t>
            </m:r>
          </m:sub>
        </m:sSub>
      </m:oMath>
      <w:r>
        <w:rPr>
          <w:rFonts w:eastAsia="Georgia" w:cs="Georgia" w:ascii="Georgia" w:hAnsi="Georgia"/>
        </w:rPr>
        <w:t xml:space="preserve"> un référentiel lié au laboratoire, d'axe vertical ( </w:t>
      </w:r>
      <m:oMath>
        <m:r>
          <m:rPr>
            <m:sty m:val="i"/>
          </m:rPr>
          <m:t>O</m:t>
        </m:r>
        <m:r>
          <m:rPr>
            <m:sty m:val="i"/>
          </m:rPr>
          <m:t>z</m:t>
        </m:r>
      </m:oMath>
      <w:r>
        <w:rPr/>
        <w:t xml:space="preserve"> ). On suppose que </w:t>
      </w:r>
      <m:oMath>
        <m:sSub>
          <m:sSubPr/>
          <m:e>
            <m:r>
              <m:rPr>
                <m:scr m:val="script"/>
              </m:rPr>
              <m:t>R</m:t>
            </m:r>
          </m:e>
          <m:sub>
            <m:r>
              <m:rPr>
                <m:sty m:val="p"/>
              </m:rPr>
              <m:t>0</m:t>
            </m:r>
          </m:sub>
        </m:sSub>
      </m:oMath>
      <w:r>
        <w:rPr>
          <w:rFonts w:eastAsia="Georgia" w:cs="Georgia" w:ascii="Georgia" w:hAnsi="Georgia"/>
        </w:rPr>
        <w:t xml:space="preserve"> est galiléen. On considère, dans un premier temps, que le cylindre est rempli d'un gaz, supposé parfait, constitué de molécules identiques de masse </w:t>
      </w:r>
      <m:oMath>
        <m:r>
          <m:rPr>
            <m:sty m:val="i"/>
          </m:rPr>
          <m:t>m</m:t>
        </m:r>
      </m:oMath>
      <w:r>
        <w:rPr>
          <w:rFonts w:eastAsia="Georgia" w:cs="Georgia" w:ascii="Georgia" w:hAnsi="Georgia"/>
        </w:rPr>
        <w:t xml:space="preserve">. L'ensemble est à la température </w:t>
      </w:r>
      <m:oMath>
        <m:r>
          <m:rPr>
            <m:sty m:val="i"/>
          </m:rPr>
          <m:t>T</m:t>
        </m:r>
        <m:r>
          <m:rPr>
            <m:sty m:val="p"/>
          </m:rPr>
          <m:t>=</m:t>
        </m:r>
        <m:r>
          <m:rPr>
            <m:sty m:val="p"/>
          </m:rPr>
          <m:t>353</m:t>
        </m:r>
        <m:r>
          <m:rPr>
            <m:nor/>
          </m:rPr>
          <m:t xml:space="preserve"> </m:t>
        </m:r>
        <m:r>
          <m:rPr>
            <m:sty m:val="p"/>
          </m:rPr>
          <m:t>K</m:t>
        </m:r>
      </m:oMath>
      <w:r>
        <w:rPr/>
        <w:t xml:space="preserve">.</w:t>
      </w:r>
      <w:r>
        <w:rPr/>
        <w:br w:type="textWrapping"/>
      </w:r>
      <w:r>
        <w:rPr>
          <w:rFonts w:eastAsia="Georgia" w:cs="Georgia" w:ascii="Georgia" w:hAnsi="Georgia"/>
        </w:rPr>
        <w:t xml:space="preserve">Soit un volume élémentaire de gaz </w:t>
      </w:r>
      <m:oMath>
        <m:sSup>
          <m:sSupPr/>
          <m:e>
            <m:r>
              <m:rPr>
                <m:sty m:val="p"/>
              </m:rPr>
              <m:t>d</m:t>
            </m:r>
          </m:e>
          <m:sup>
            <m:r>
              <m:rPr>
                <m:sty m:val="p"/>
              </m:rPr>
              <m:t>3</m:t>
            </m:r>
          </m:sup>
        </m:sSup>
        <m:r>
          <m:rPr>
            <m:sty m:val="i"/>
          </m:rPr>
          <m:t>τ</m:t>
        </m:r>
      </m:oMath>
      <w:r>
        <w:rPr/>
        <w:t xml:space="preserve"> autour d'un point </w:t>
      </w:r>
      <m:oMath>
        <m:r>
          <m:rPr>
            <m:sty m:val="i"/>
          </m:rPr>
          <m:t>M</m:t>
        </m:r>
      </m:oMath>
      <w:r>
        <w:rPr>
          <w:rFonts w:eastAsia="Georgia" w:cs="Georgia" w:ascii="Georgia" w:hAnsi="Georgia"/>
        </w:rPr>
        <w:t xml:space="preserve"> situé à la distance </w:t>
      </w:r>
      <m:oMath>
        <m:r>
          <m:rPr>
            <m:sty m:val="i"/>
          </m:rPr>
          <m:t>r</m:t>
        </m:r>
      </m:oMath>
      <w:r>
        <w:rPr/>
        <w:t xml:space="preserve"> de l'axe </w:t>
      </w:r>
      <m:oMath>
        <m:r>
          <m:rPr>
            <m:sty m:val="p"/>
          </m:rPr>
          <m:t>(</m:t>
        </m:r>
        <m:r>
          <m:rPr>
            <m:sty m:val="i"/>
          </m:rPr>
          <m:t>O</m:t>
        </m:r>
        <m:r>
          <m:rPr>
            <m:sty m:val="i"/>
          </m:rPr>
          <m:t>z</m:t>
        </m:r>
        <m:r>
          <m:rPr>
            <m:sty m:val="p"/>
          </m:rPr>
          <m:t>)</m:t>
        </m:r>
      </m:oMath>
      <w:r>
        <w:rPr/>
        <w:t xml:space="preserve"> de la centrifugeuse. On note </w:t>
      </w:r>
      <m:oMath>
        <m:r>
          <m:rPr>
            <m:sty m:val="i"/>
          </m:rPr>
          <m:t>P</m:t>
        </m:r>
        <m:r>
          <m:rPr>
            <m:sty m:val="p"/>
          </m:rPr>
          <m:t>(</m:t>
        </m:r>
        <m:r>
          <m:rPr>
            <m:sty m:val="i"/>
          </m:rPr>
          <m:t>M</m:t>
        </m:r>
        <m:r>
          <m:rPr>
            <m:sty m:val="p"/>
          </m:rPr>
          <m:t>)</m:t>
        </m:r>
        <m:r>
          <m:rPr>
            <m:sty m:val="p"/>
          </m:rPr>
          <m:t>=</m:t>
        </m:r>
        <m:r>
          <m:rPr>
            <m:sty m:val="i"/>
          </m:rPr>
          <m:t>P</m:t>
        </m:r>
        <m:r>
          <m:rPr>
            <m:sty m:val="p"/>
          </m:rPr>
          <m:t>(</m:t>
        </m:r>
        <m:r>
          <m:rPr>
            <m:sty m:val="i"/>
          </m:rPr>
          <m:t>r</m:t>
        </m:r>
        <m:r>
          <m:rPr>
            <m:sty m:val="p"/>
          </m:rPr>
          <m:t>)</m:t>
        </m:r>
      </m:oMath>
      <w:r>
        <w:rPr/>
        <w:t xml:space="preserve"> le champ de pression dans le gaz, </w:t>
      </w:r>
      <m:oMath>
        <m:r>
          <m:rPr>
            <m:sty m:val="i"/>
          </m:rPr>
          <m:t>ρ</m:t>
        </m:r>
        <m:r>
          <m:rPr>
            <m:sty m:val="p"/>
          </m:rPr>
          <m:t>(</m:t>
        </m:r>
        <m:r>
          <m:rPr>
            <m:sty m:val="i"/>
          </m:rPr>
          <m:t>r</m:t>
        </m:r>
        <m:r>
          <m:rPr>
            <m:sty m:val="p"/>
          </m:rPr>
          <m:t>)</m:t>
        </m:r>
      </m:oMath>
      <w:r>
        <w:rPr/>
        <w:t xml:space="preserve"> la masse volumique du gaz et </w:t>
      </w:r>
      <m:oMath>
        <m:sSup>
          <m:sSupPr/>
          <m:e>
            <m:r>
              <m:rPr>
                <m:sty m:val="i"/>
              </m:rPr>
              <m:t>n</m:t>
            </m:r>
          </m:e>
          <m:sup>
            <m:r>
              <m:rPr>
                <m:sty m:val="p"/>
              </m:rPr>
              <m:t>∗</m:t>
            </m:r>
          </m:sup>
        </m:sSup>
        <m:r>
          <m:rPr>
            <m:sty m:val="p"/>
          </m:rPr>
          <m:t>(</m:t>
        </m:r>
        <m:r>
          <m:rPr>
            <m:sty m:val="i"/>
          </m:rPr>
          <m:t>r</m:t>
        </m:r>
        <m:r>
          <m:rPr>
            <m:sty m:val="p"/>
          </m:rPr>
          <m:t>)</m:t>
        </m:r>
      </m:oMath>
      <w:r>
        <w:rPr>
          <w:rFonts w:eastAsia="Georgia" w:cs="Georgia" w:ascii="Georgia" w:hAnsi="Georgia"/>
        </w:rPr>
        <w:t xml:space="preserve"> sa densité particulaire.</w:t>
      </w:r>
      <w:r>
        <w:rPr/>
        <w:br w:type="textWrapping"/>
      </w:r>
      <w:r>
        <w:rPr/>
        <w:t xml:space="preserve">I.B.1) Soit </w:t>
      </w:r>
      <m:oMath>
        <m:sSub>
          <m:sSubPr/>
          <m:e>
            <m:r>
              <m:rPr>
                <m:scr m:val="script"/>
              </m:rPr>
              <m:t>R</m:t>
            </m:r>
          </m:e>
          <m:sub>
            <m:r>
              <m:rPr>
                <m:sty m:val="p"/>
              </m:rPr>
              <m:t>1</m:t>
            </m:r>
          </m:sub>
        </m:sSub>
      </m:oMath>
      <w:r>
        <w:rPr>
          <w:rFonts w:eastAsia="Georgia" w:cs="Georgia" w:ascii="Georgia" w:hAnsi="Georgia"/>
        </w:rPr>
        <w:t xml:space="preserve"> le référentiel lié au cylindre en rotation. Est-il galiléen ? Pourquoi ?</w:t>
      </w:r>
      <w:r>
        <w:rPr/>
        <w:br w:type="textWrapping"/>
      </w:r>
      <w:r>
        <w:rPr>
          <w:rFonts w:eastAsia="Georgia" w:cs="Georgia" w:ascii="Georgia" w:hAnsi="Georgia"/>
        </w:rPr>
        <w:t xml:space="preserve">I.B.2) Faire un bilan des forces exercées sur la particule de fluide en équilibre dans le référentiel </w:t>
      </w:r>
      <m:oMath>
        <m:sSub>
          <m:sSubPr/>
          <m:e>
            <m:r>
              <m:rPr>
                <m:scr m:val="script"/>
              </m:rPr>
              <m:t>R</m:t>
            </m:r>
          </m:e>
          <m:sub>
            <m:r>
              <m:rPr>
                <m:sty m:val="p"/>
              </m:rPr>
              <m:t>1</m:t>
            </m:r>
          </m:sub>
        </m:sSub>
      </m:oMath>
      <w:r>
        <w:rPr>
          <w:rFonts w:eastAsia="Georgia" w:cs="Georgia" w:ascii="Georgia" w:hAnsi="Georgia"/>
        </w:rPr>
        <w:t xml:space="preserve">. On exprimera la résultante élémentaire des forces de pression sous la forme de son équivalent volumique (sans démonstration).</w:t>
      </w:r>
      <w:r>
        <w:rPr/>
        <w:br w:type="textWrapping"/>
      </w:r>
      <w:r>
        <w:rPr>
          <w:rFonts w:eastAsia="Georgia" w:cs="Georgia" w:ascii="Georgia" w:hAnsi="Georgia"/>
        </w:rPr>
        <w:t xml:space="preserve">I.B.3) Évaluer numériquement l'accélération d'entrainement subie par la particule de fluide en rotation. Justifier que, par la suite, on néglige le poids dans le bilan des forces.</w:t>
      </w:r>
      <w:r>
        <w:rPr/>
        <w:br w:type="textWrapping"/>
      </w:r>
      <w:r>
        <w:rPr>
          <w:rFonts w:eastAsia="Georgia" w:cs="Georgia" w:ascii="Georgia" w:hAnsi="Georgia"/>
        </w:rPr>
        <w:t xml:space="preserve">I.B.4) Déduire de la condition d'équilibre relatif de la particule de fluide la répartition </w:t>
      </w:r>
      <m:oMath>
        <m:sSup>
          <m:sSupPr/>
          <m:e>
            <m:r>
              <m:rPr>
                <m:sty m:val="i"/>
              </m:rPr>
              <m:t>n</m:t>
            </m:r>
          </m:e>
          <m:sup>
            <m:r>
              <m:rPr>
                <m:sty m:val="p"/>
              </m:rPr>
              <m:t>∗</m:t>
            </m:r>
          </m:sup>
        </m:sSup>
        <m:r>
          <m:rPr>
            <m:sty m:val="p"/>
          </m:rPr>
          <m:t>(</m:t>
        </m:r>
        <m:r>
          <m:rPr>
            <m:sty m:val="i"/>
          </m:rPr>
          <m:t>r</m:t>
        </m:r>
        <m:r>
          <m:rPr>
            <m:sty m:val="p"/>
          </m:rPr>
          <m:t>)</m:t>
        </m:r>
      </m:oMath>
      <w:r>
        <w:rPr>
          <w:rFonts w:eastAsia="Georgia" w:cs="Georgia" w:ascii="Georgia" w:hAnsi="Georgia"/>
        </w:rPr>
        <w:t xml:space="preserve"> des molécules dans le cylindre. On notera </w:t>
      </w:r>
      <m:oMath>
        <m:sSup>
          <m:sSupPr/>
          <m:e>
            <m:r>
              <m:rPr>
                <m:sty m:val="i"/>
              </m:rPr>
              <m:t>n</m:t>
            </m:r>
          </m:e>
          <m:sup>
            <m:r>
              <m:rPr>
                <m:sty m:val="p"/>
              </m:rPr>
              <m:t>∗</m:t>
            </m:r>
          </m:sup>
        </m:sSup>
        <m:r>
          <m:rPr>
            <m:sty m:val="p"/>
          </m:rPr>
          <m:t>(</m:t>
        </m:r>
        <m:r>
          <m:rPr>
            <m:sty m:val="p"/>
          </m:rPr>
          <m:t>0</m:t>
        </m:r>
        <m:r>
          <m:rPr>
            <m:sty m:val="p"/>
          </m:rPr>
          <m:t>)</m:t>
        </m:r>
      </m:oMath>
      <w:r>
        <w:rPr>
          <w:rFonts w:eastAsia="Georgia" w:cs="Georgia" w:ascii="Georgia" w:hAnsi="Georgia"/>
        </w:rPr>
        <w:t xml:space="preserve"> la densité particulaire sur l'axe de rotation et on donnera l'expression de </w:t>
      </w:r>
      <m:oMath>
        <m:sSup>
          <m:sSupPr/>
          <m:e>
            <m:r>
              <m:rPr>
                <m:sty m:val="i"/>
              </m:rPr>
              <m:t>n</m:t>
            </m:r>
          </m:e>
          <m:sup>
            <m:r>
              <m:rPr>
                <m:sty m:val="p"/>
              </m:rPr>
              <m:t>∗</m:t>
            </m:r>
          </m:sup>
        </m:sSup>
        <m:r>
          <m:rPr>
            <m:sty m:val="p"/>
          </m:rPr>
          <m:t>(</m:t>
        </m:r>
        <m:r>
          <m:rPr>
            <m:sty m:val="i"/>
          </m:rPr>
          <m:t>r</m:t>
        </m:r>
        <m:r>
          <m:rPr>
            <m:sty m:val="p"/>
          </m:rPr>
          <m:t>)</m:t>
        </m:r>
      </m:oMath>
      <w:r>
        <w:rPr/>
        <w:t xml:space="preserve"> en fonction de </w:t>
      </w:r>
      <m:oMath>
        <m:sSup>
          <m:sSupPr/>
          <m:e>
            <m:r>
              <m:rPr>
                <m:sty m:val="i"/>
              </m:rPr>
              <m:t>n</m:t>
            </m:r>
          </m:e>
          <m:sup>
            <m:r>
              <m:rPr>
                <m:sty m:val="p"/>
              </m:rPr>
              <m:t>∗</m:t>
            </m:r>
          </m:sup>
        </m:sSup>
        <m:r>
          <m:rPr>
            <m:sty m:val="p"/>
          </m:rPr>
          <m:t>(</m:t>
        </m:r>
        <m:r>
          <m:rPr>
            <m:sty m:val="p"/>
          </m:rPr>
          <m:t>0</m:t>
        </m:r>
        <m:r>
          <m:rPr>
            <m:sty m:val="p"/>
          </m:rPr>
          <m:t>)</m:t>
        </m:r>
        <m:r>
          <m:rPr>
            <m:sty m:val="p"/>
          </m:rPr>
          <m:t>,</m:t>
        </m:r>
        <m:r>
          <m:rPr>
            <m:sty m:val="i"/>
          </m:rPr>
          <m:t>m</m:t>
        </m:r>
        <m:r>
          <m:rPr>
            <m:sty m:val="p"/>
          </m:rPr>
          <m:t>,</m:t>
        </m:r>
        <m:r>
          <m:rPr>
            <m:sty m:val="i"/>
          </m:rPr>
          <m:t>T</m:t>
        </m:r>
        <m:r>
          <m:rPr>
            <m:sty m:val="p"/>
          </m:rPr>
          <m:t>,</m:t>
        </m:r>
        <m:sSub>
          <m:sSubPr/>
          <m:e>
            <m:r>
              <m:rPr>
                <m:sty m:val="i"/>
              </m:rPr>
              <m:t>k</m:t>
            </m:r>
          </m:e>
          <m:sub>
            <m:r>
              <m:rPr>
                <m:sty m:val="i"/>
              </m:rPr>
              <m:t>B</m:t>
            </m:r>
          </m:sub>
        </m:sSub>
        <m:r>
          <m:rPr>
            <m:sty m:val="p"/>
          </m:rPr>
          <m:t>,</m:t>
        </m:r>
        <m:r>
          <m:rPr>
            <m:sty m:val="i"/>
          </m:rPr>
          <m:t>r</m:t>
        </m:r>
      </m:oMath>
      <w:r>
        <w:rPr/>
        <w:t xml:space="preserve"> et </w:t>
      </w:r>
      <m:oMath>
        <m:r>
          <m:rPr>
            <m:sty m:val="i"/>
          </m:rPr>
          <m:t>ω</m:t>
        </m:r>
      </m:oMath>
      <w:r>
        <w:rPr/>
        <w:t xml:space="preserve">.</w:t>
      </w:r>
      <w:r>
        <w:rPr/>
        <w:br w:type="textWrapping"/>
      </w:r>
      <w:r>
        <w:rPr>
          <w:rFonts w:eastAsia="Georgia" w:cs="Georgia" w:ascii="Georgia" w:hAnsi="Georgia"/>
        </w:rPr>
        <w:t xml:space="preserve">I.B.5) Montrer que la répartition </w:t>
      </w:r>
      <m:oMath>
        <m:sSup>
          <m:sSupPr/>
          <m:e>
            <m:r>
              <m:rPr>
                <m:sty m:val="i"/>
              </m:rPr>
              <m:t>n</m:t>
            </m:r>
          </m:e>
          <m:sup>
            <m:r>
              <m:rPr>
                <m:sty m:val="p"/>
              </m:rPr>
              <m:t>∗</m:t>
            </m:r>
          </m:sup>
        </m:sSup>
        <m:r>
          <m:rPr>
            <m:sty m:val="p"/>
          </m:rPr>
          <m:t>(</m:t>
        </m:r>
        <m:r>
          <m:rPr>
            <m:sty m:val="i"/>
          </m:rPr>
          <m:t>r</m:t>
        </m:r>
        <m:r>
          <m:rPr>
            <m:sty m:val="p"/>
          </m:rPr>
          <m:t>)</m:t>
        </m:r>
      </m:oMath>
      <w:r>
        <w:rPr>
          <w:rFonts w:eastAsia="Georgia" w:cs="Georgia" w:ascii="Georgia" w:hAnsi="Georgia"/>
        </w:rPr>
        <w:t xml:space="preserve"> ainsi trouvée obéit à une statistique de Maxwell-Boltzmann, avec une énergie potentielle </w:t>
      </w:r>
      <m:oMath>
        <m:sSub>
          <m:sSubPr/>
          <m:e>
            <m:r>
              <m:rPr>
                <m:sty m:val="i"/>
              </m:rPr>
              <m:t>E</m:t>
            </m:r>
          </m:e>
          <m:sub>
            <m:r>
              <m:rPr>
                <m:sty m:val="i"/>
              </m:rPr>
              <m:t>p</m:t>
            </m:r>
          </m:sub>
        </m:sSub>
      </m:oMath>
      <w:r>
        <w:rPr>
          <w:rFonts w:eastAsia="Georgia" w:cs="Georgia" w:ascii="Georgia" w:hAnsi="Georgia"/>
        </w:rPr>
        <w:t xml:space="preserve"> dont dérive la force d'inertie d'entrainement.</w:t>
      </w:r>
      <w:r>
        <w:rPr/>
        <w:br w:type="textWrapping"/>
      </w:r>
      <w:r>
        <w:rPr>
          <w:rFonts w:eastAsia="Georgia" w:cs="Georgia" w:ascii="Georgia" w:hAnsi="Georgia"/>
        </w:rPr>
        <w:t xml:space="preserve">I.B.6) On donne, en figure 4, l'allure des densités particulaires </w:t>
      </w:r>
      <m:oMath>
        <m:sSubSup>
          <m:sSubSupPr/>
          <m:e>
            <m:r>
              <m:rPr>
                <m:sty m:val="i"/>
              </m:rPr>
              <m:t>n</m:t>
            </m:r>
          </m:e>
          <m:sub>
            <m:r>
              <m:rPr>
                <m:sty m:val="p"/>
              </m:rPr>
              <m:t>1</m:t>
            </m:r>
          </m:sub>
          <m:sup>
            <m:r>
              <m:rPr>
                <m:sty m:val="p"/>
              </m:rPr>
              <m:t>∗</m:t>
            </m:r>
          </m:sup>
        </m:sSubSup>
        <m:r>
          <m:rPr>
            <m:sty m:val="p"/>
          </m:rPr>
          <m:t>(</m:t>
        </m:r>
        <m:r>
          <m:rPr>
            <m:sty m:val="i"/>
          </m:rPr>
          <m:t>r</m:t>
        </m:r>
        <m:r>
          <m:rPr>
            <m:sty m:val="p"/>
          </m:rPr>
          <m:t>)</m:t>
        </m:r>
      </m:oMath>
      <w:r>
        <w:rPr/>
        <w:t xml:space="preserve"> et </w:t>
      </w:r>
      <m:oMath>
        <m:sSubSup>
          <m:sSubSupPr/>
          <m:e>
            <m:r>
              <m:rPr>
                <m:sty m:val="i"/>
              </m:rPr>
              <m:t>n</m:t>
            </m:r>
          </m:e>
          <m:sub>
            <m:r>
              <m:rPr>
                <m:sty m:val="p"/>
              </m:rPr>
              <m:t>2</m:t>
            </m:r>
          </m:sub>
          <m:sup>
            <m:r>
              <m:rPr>
                <m:sty m:val="p"/>
              </m:rPr>
              <m:t>∗</m:t>
            </m:r>
          </m:sup>
        </m:sSubSup>
        <m:r>
          <m:rPr>
            <m:sty m:val="p"/>
          </m:rPr>
          <m:t>(</m:t>
        </m:r>
        <m:r>
          <m:rPr>
            <m:sty m:val="i"/>
          </m:rPr>
          <m:t>r</m:t>
        </m:r>
        <m:r>
          <m:rPr>
            <m:sty m:val="p"/>
          </m:rPr>
          <m:t>)</m:t>
        </m:r>
      </m:oMath>
      <w:r>
        <w:rPr>
          <w:rFonts w:eastAsia="Georgia" w:cs="Georgia" w:ascii="Georgia" w:hAnsi="Georgia"/>
        </w:rPr>
        <w:t xml:space="preserve"> des molécules </w:t>
      </w:r>
      <m:oMath>
        <m:sSup>
          <m:sSupPr/>
          <m:e>
            <m:r>
              <m:t xml:space="preserve"> </m:t>
            </m:r>
          </m:e>
          <m:sup>
            <m:r>
              <m:rPr>
                <m:sty m:val="p"/>
              </m:rPr>
              <m:t>235</m:t>
            </m:r>
          </m:sup>
        </m:sSup>
        <m:sSub>
          <m:sSubPr/>
          <m:e>
            <m:r>
              <m:rPr>
                <m:sty m:val="p"/>
              </m:rPr>
              <m:t>UF</m:t>
            </m:r>
          </m:e>
          <m:sub>
            <m:r>
              <m:rPr>
                <m:sty m:val="p"/>
              </m:rPr>
              <m:t>6</m:t>
            </m:r>
          </m:sub>
        </m:sSub>
      </m:oMath>
      <w:r>
        <w:rPr/>
        <w:t xml:space="preserve"> et </w:t>
      </w:r>
      <m:oMath>
        <m:sSup>
          <m:sSupPr/>
          <m:e>
            <m:r>
              <m:t xml:space="preserve"> </m:t>
            </m:r>
          </m:e>
          <m:sup>
            <m:r>
              <m:rPr>
                <m:sty m:val="p"/>
              </m:rPr>
              <m:t>238</m:t>
            </m:r>
          </m:sup>
        </m:sSup>
        <m:sSub>
          <m:sSubPr/>
          <m:e>
            <m:r>
              <m:rPr>
                <m:sty m:val="p"/>
              </m:rPr>
              <m:t>UF</m:t>
            </m:r>
          </m:e>
          <m:sub>
            <m:r>
              <m:rPr>
                <m:sty m:val="p"/>
              </m:rPr>
              <m:t>6</m:t>
            </m:r>
          </m:sub>
        </m:sSub>
      </m:oMath>
      <w:r>
        <w:rPr/>
        <w:t xml:space="preserve"> en fonction de </w:t>
      </w:r>
      <m:oMath>
        <m:r>
          <m:rPr>
            <m:sty m:val="i"/>
          </m:rPr>
          <m:t>r</m:t>
        </m:r>
      </m:oMath>
      <w:r>
        <w:rPr>
          <w:rFonts w:eastAsia="Georgia" w:cs="Georgia" w:ascii="Georgia" w:hAnsi="Georgia"/>
        </w:rPr>
        <w:t xml:space="preserve">. En déduire le principe de base de l'enrichissement de l'uranium : on explicitera le protocole qui permet d'obtenir le gaz enrichi en </w:t>
      </w:r>
      <m:oMath>
        <m:sSup>
          <m:sSupPr/>
          <m:e>
            <m:r>
              <m:t xml:space="preserve"> </m:t>
            </m:r>
          </m:e>
          <m:sup>
            <m:r>
              <m:rPr>
                <m:sty m:val="p"/>
              </m:rPr>
              <m:t>235</m:t>
            </m:r>
          </m:sup>
        </m:sSup>
        <m:r>
          <m:rPr>
            <m:sty m:val="p"/>
          </m:rPr>
          <m:t>U</m:t>
        </m:r>
      </m:oMath>
      <w:r>
        <w:rPr/>
        <w:t xml:space="preserve">.</w:t>
      </w:r>
    </w:p>
    <w:p>
      <w:pPr>
        <w:spacing w:lineRule="auto"/>
        <w:jc w:val="center"/>
      </w:pPr>
      <w:r>
        <w:rPr/>
        <w:drawing>
          <wp:inline distB="0" distL="0" distR="0" distT="0">
            <wp:extent cx="5486400" cy="4244122"/>
            <wp:effectExtent b="0" l="0" r="0" t="0"/>
            <wp:docPr id="4" name="image-8f2d647865cd6b64d475d349ee899f099caa21a2.jpg"/>
            <a:graphic>
              <a:graphicData uri="http://schemas.openxmlformats.org/drawingml/2006/picture">
                <pic:pic>
                  <pic:nvPicPr>
                    <pic:cNvPr id="4" name="image-8f2d647865cd6b64d475d349ee899f099caa21a2.jpg" descr=""/>
                    <pic:cNvPicPr/>
                  </pic:nvPicPr>
                  <pic:blipFill>
                    <a:blip r:embed="rId8" cstate="print"/>
                    <a:srcRect b="0" l="0" r="0" t="0"/>
                    <a:stretch>
                      <a:fillRect/>
                    </a:stretch>
                  </pic:blipFill>
                  <pic:spPr>
                    <a:xfrm>
                      <a:off x="0" y="0"/>
                      <a:ext cx="5486400" cy="4244122"/>
                    </a:xfrm>
                    <a:prstGeom prst="rect"/>
                  </pic:spPr>
                </pic:pic>
              </a:graphicData>
            </a:graphic>
          </wp:inline>
        </w:drawing>
      </w:r>
    </w:p>
    <w:p>
      <w:pPr>
        <w:spacing w:lineRule="auto"/>
      </w:pPr>
      <w:r>
        <w:rPr>
          <w:rFonts w:eastAsia="Georgia" w:cs="Georgia" w:ascii="Georgia" w:hAnsi="Georgia"/>
        </w:rPr>
        <w:t xml:space="preserve">Figure 4 Densités particulaires des molécules </w:t>
      </w:r>
      <m:oMath>
        <m:sSup>
          <m:sSupPr/>
          <m:e>
            <m:r>
              <m:t xml:space="preserve"> </m:t>
            </m:r>
          </m:e>
          <m:sup>
            <m:r>
              <m:rPr>
                <m:sty m:val="p"/>
              </m:rPr>
              <m:t>235</m:t>
            </m:r>
          </m:sup>
        </m:sSup>
        <m:sSub>
          <m:sSubPr/>
          <m:e>
            <m:r>
              <m:rPr>
                <m:sty m:val="p"/>
              </m:rPr>
              <m:t>UF</m:t>
            </m:r>
          </m:e>
          <m:sub>
            <m:r>
              <m:rPr>
                <m:sty m:val="p"/>
              </m:rPr>
              <m:t>6</m:t>
            </m:r>
          </m:sub>
        </m:sSub>
      </m:oMath>
      <w:r>
        <w:rPr/>
        <w:t xml:space="preserve"> et </w:t>
      </w:r>
      <m:oMath>
        <m:sSup>
          <m:sSupPr/>
          <m:e>
            <m:r>
              <m:t xml:space="preserve"> </m:t>
            </m:r>
          </m:e>
          <m:sup>
            <m:r>
              <m:rPr>
                <m:sty m:val="p"/>
              </m:rPr>
              <m:t>238</m:t>
            </m:r>
          </m:sup>
        </m:sSup>
        <m:sSub>
          <m:sSubPr/>
          <m:e>
            <m:r>
              <m:rPr>
                <m:sty m:val="p"/>
              </m:rPr>
              <m:t>UF</m:t>
            </m:r>
          </m:e>
          <m:sub>
            <m:r>
              <m:rPr>
                <m:sty m:val="p"/>
              </m:rPr>
              <m:t>6</m:t>
            </m:r>
          </m:sub>
        </m:sSub>
      </m:oMath>
      <w:r>
        <w:rPr/>
        <w:t xml:space="preserve"> en fonction de </w:t>
      </w:r>
      <m:oMath>
        <m:r>
          <m:rPr>
            <m:sty m:val="i"/>
          </m:rPr>
          <m:t>r</m:t>
        </m:r>
      </m:oMath>
    </w:p>
    <w:p>
      <w:pPr>
        <w:spacing w:line="271" w:before="330" w:lineRule="auto"/>
      </w:pPr>
      <w:r>
        <w:rPr>
          <w:rFonts w:eastAsia="Georgia" w:cs="Georgia" w:ascii="Georgia" w:hAnsi="Georgia"/>
          <w:b/>
          <w:sz w:val="42"/>
        </w:rPr>
        <w:t xml:space="preserve">II Contrôle des effluents de la centrale</w:t>
      </w:r>
    </w:p>
    <w:p>
      <w:pPr>
        <w:spacing w:line="271" w:before="330" w:lineRule="auto"/>
      </w:pPr>
      <w:r>
        <w:rPr>
          <w:b/>
          <w:sz w:val="42"/>
        </w:rPr>
        <w:t xml:space="preserve">II.A - Rejet de tritium</w:t>
      </w:r>
    </w:p>
    <w:p>
      <w:pPr>
        <w:spacing w:after="220" w:lineRule="auto"/>
      </w:pPr>
      <w:r>
        <w:rPr>
          <w:rFonts w:eastAsia="Georgia" w:cs="Georgia" w:ascii="Georgia" w:hAnsi="Georgia"/>
        </w:rPr>
        <w:t xml:space="preserve">L'exploitation des centrales nucléaires entraine la production d'effluents liquides et gazeux radioactifs, provenant du circuit primaire et des circuits auxiliaires dont la gestion obéit à une réglementation très stricte. Parmi les radionucléides présents dans les effluents, le tritium </w:t>
      </w:r>
      <m:oMath>
        <m:sSup>
          <m:sSupPr/>
          <m:e>
            <m:r>
              <m:t xml:space="preserve"> </m:t>
            </m:r>
          </m:e>
          <m:sup>
            <m:r>
              <m:rPr>
                <m:sty m:val="p"/>
              </m:rPr>
              <m:t>3</m:t>
            </m:r>
          </m:sup>
        </m:sSup>
        <m:r>
          <m:rPr>
            <m:sty m:val="p"/>
          </m:rPr>
          <m:t>H</m:t>
        </m:r>
      </m:oMath>
      <w:r>
        <w:rPr>
          <w:rFonts w:eastAsia="Georgia" w:cs="Georgia" w:ascii="Georgia" w:hAnsi="Georgia"/>
        </w:rPr>
        <w:t xml:space="preserve"> (que l'on notera T par la suite, tandis que H désignera l'isotope </w:t>
      </w:r>
      <m:oMath>
        <m:sSup>
          <m:sSupPr/>
          <m:e>
            <m:r>
              <m:t xml:space="preserve"> </m:t>
            </m:r>
          </m:e>
          <m:sup>
            <m:r>
              <m:rPr>
                <m:sty m:val="p"/>
              </m:rPr>
              <m:t>1</m:t>
            </m:r>
          </m:sup>
        </m:sSup>
        <m:r>
          <m:rPr>
            <m:sty m:val="p"/>
          </m:rPr>
          <m:t>H</m:t>
        </m:r>
      </m:oMath>
      <w:r>
        <w:rPr>
          <w:rFonts w:eastAsia="Georgia" w:cs="Georgia" w:ascii="Georgia" w:hAnsi="Georgia"/>
        </w:rPr>
        <w:t xml:space="preserve"> de l'hydrogène) est un isotope «lourd» de l'hydrogène, </w:t>
      </w:r>
      <m:oMath>
        <m:r>
          <m:rPr>
            <m:sty m:val="i"/>
          </m:rPr>
          <m:t>β</m:t>
        </m:r>
      </m:oMath>
      <w:r>
        <w:rPr>
          <w:rFonts w:eastAsia="Georgia" w:cs="Georgia" w:ascii="Georgia" w:hAnsi="Georgia"/>
        </w:rPr>
        <w:t xml:space="preserve">-émetteur. Une surveillance systématique</w:t>
      </w:r>
      <w:r>
        <w:rPr/>
        <w:br w:type="textWrapping"/>
      </w:r>
      <w:r>
        <w:rPr>
          <w:rFonts w:eastAsia="Georgia" w:cs="Georgia" w:ascii="Georgia" w:hAnsi="Georgia"/>
        </w:rPr>
        <w:t xml:space="preserve">autour des centrales nucléaires permet de vérifier que l'activité radioactive dans l'environnement reste très largement inférieure aux normes réglementaires. La concentration en tritium des eaux dans les effluents est parfois trop faible pour les méthodes usuelles de détection (compteurs à scintillation liquide). Dans ce cas, un enrichissement isotopique permet d'atteindre un seuil de concentration mesurable. Nous étudierons dans cette partie l'enrichissement par électrolyse d'un échantillon liquide contenant du tritium sous forme d'eau tritiée HTO.</w:t>
      </w:r>
    </w:p>
    <w:p>
      <w:pPr>
        <w:spacing w:line="271" w:before="330" w:lineRule="auto"/>
      </w:pPr>
      <w:r>
        <w:rPr>
          <w:rFonts w:eastAsia="Georgia" w:cs="Georgia" w:ascii="Georgia" w:hAnsi="Georgia"/>
          <w:b/>
          <w:sz w:val="42"/>
        </w:rPr>
        <w:t xml:space="preserve">II.A.1) Électrolyse de l'eau</w:t>
      </w:r>
    </w:p>
    <w:p>
      <w:pPr>
        <w:spacing w:after="220" w:lineRule="auto"/>
      </w:pPr>
      <w:r>
        <w:rPr>
          <w:rFonts w:eastAsia="Georgia" w:cs="Georgia" w:ascii="Georgia" w:hAnsi="Georgia"/>
        </w:rPr>
        <w:t xml:space="preserve">La figure 5 schématise la constitution d'un électrolyseur à électrolyte polymère solide pour l'électrolyse de l'eau : dans ce dispositif, l'électrolyte est une membrane polymère échangeuse de proton (Nafion </w:t>
      </w:r>
      <m:oMath>
        <m:sSup>
          <m:sSupPr/>
          <m:e>
            <m:r>
              <m:t xml:space="preserve"> </m:t>
            </m:r>
          </m:e>
          <m:sup>
            <m:r>
              <m:rPr>
                <m:sty m:val="i"/>
              </m:rPr>
              <m:t>®</m:t>
            </m:r>
          </m:sup>
        </m:sSup>
      </m:oMath>
      <w:r>
        <w:rPr>
          <w:rFonts w:eastAsia="Georgia" w:cs="Georgia" w:ascii="Georgia" w:hAnsi="Georgia"/>
        </w:rPr>
        <w:t xml:space="preserve"> ), placée entre deux électrodes recouvertes de matériau catalytique.</w:t>
      </w:r>
    </w:p>
    <w:p>
      <w:pPr>
        <w:spacing w:lineRule="auto"/>
        <w:jc w:val="center"/>
      </w:pPr>
      <w:r>
        <w:rPr/>
        <w:drawing>
          <wp:inline distB="0" distL="0" distR="0" distT="0">
            <wp:extent cx="5486400" cy="3895461"/>
            <wp:effectExtent b="0" l="0" r="0" t="0"/>
            <wp:docPr id="5" name="image-d97ccd1ab286d8cae603e08f30ebbb6bea159feb.jpg"/>
            <a:graphic>
              <a:graphicData uri="http://schemas.openxmlformats.org/drawingml/2006/picture">
                <pic:pic>
                  <pic:nvPicPr>
                    <pic:cNvPr id="5" name="image-d97ccd1ab286d8cae603e08f30ebbb6bea159feb.jpg" descr=""/>
                    <pic:cNvPicPr/>
                  </pic:nvPicPr>
                  <pic:blipFill>
                    <a:blip r:embed="rId9" cstate="print"/>
                    <a:srcRect b="0" l="0" r="0" t="0"/>
                    <a:stretch>
                      <a:fillRect/>
                    </a:stretch>
                  </pic:blipFill>
                  <pic:spPr>
                    <a:xfrm>
                      <a:off x="0" y="0"/>
                      <a:ext cx="5486400" cy="3895461"/>
                    </a:xfrm>
                    <a:prstGeom prst="rect"/>
                  </pic:spPr>
                </pic:pic>
              </a:graphicData>
            </a:graphic>
          </wp:inline>
        </w:drawing>
      </w:r>
    </w:p>
    <w:p>
      <w:pPr>
        <w:spacing w:lineRule="auto"/>
      </w:pPr>
      <w:r>
        <w:rPr>
          <w:rFonts w:eastAsia="Georgia" w:cs="Georgia" w:ascii="Georgia" w:hAnsi="Georgia"/>
        </w:rPr>
        <w:t xml:space="preserve">Figure 5 Schéma d'un électrolyseur à électrolyte polymère solide</w:t>
      </w:r>
    </w:p>
    <w:p>
      <w:pPr>
        <w:spacing w:after="220" w:lineRule="auto"/>
      </w:pPr>
      <w:r>
        <w:rPr>
          <w:rFonts w:eastAsia="Georgia" w:cs="Georgia" w:ascii="Georgia" w:hAnsi="Georgia"/>
        </w:rPr>
        <w:t xml:space="preserve">a) Écrire les demi-équations mises en jeu à l'anode et à la cathode lors de l'électrolyse de l'eau non tritiée </w:t>
      </w:r>
      <m:oMath>
        <m:sSub>
          <m:sSubPr/>
          <m:e>
            <m:r>
              <m:rPr>
                <m:sty m:val="p"/>
              </m:rPr>
              <m:t>H</m:t>
            </m:r>
          </m:e>
          <m:sub>
            <m:r>
              <m:rPr>
                <m:sty m:val="p"/>
              </m:rPr>
              <m:t>2</m:t>
            </m:r>
          </m:sub>
        </m:sSub>
        <m:r>
          <m:rPr>
            <m:sty m:val="p"/>
          </m:rPr>
          <m:t>O</m:t>
        </m:r>
      </m:oMath>
      <w:r>
        <w:rPr/>
        <w:t xml:space="preserve">.</w:t>
      </w:r>
      <w:r>
        <w:rPr/>
        <w:br w:type="textWrapping"/>
      </w:r>
      <w:r>
        <w:rPr>
          <w:rFonts w:eastAsia="Georgia" w:cs="Georgia" w:ascii="Georgia" w:hAnsi="Georgia"/>
        </w:rPr>
        <w:t xml:space="preserve">b) En déduire l'équation bilan de la réaction d'électrolyse.</w:t>
      </w:r>
      <w:r>
        <w:rPr/>
        <w:br w:type="textWrapping"/>
      </w:r>
      <w:r>
        <w:rPr>
          <w:rFonts w:eastAsia="Georgia" w:cs="Georgia" w:ascii="Georgia" w:hAnsi="Georgia"/>
        </w:rPr>
        <w:t xml:space="preserve">c) Indiquer la nature des espèces 1 à 4 de la figure 5 et la nature des électrodes 5 et 6 . Préciser le sens de transfert des protons à travers la membrane de l'électrolyseur.</w:t>
      </w:r>
      <w:r>
        <w:rPr/>
        <w:br w:type="textWrapping"/>
      </w:r>
      <w:r>
        <w:rPr>
          <w:rFonts w:eastAsia="Georgia" w:cs="Georgia" w:ascii="Georgia" w:hAnsi="Georgia"/>
        </w:rPr>
        <w:t xml:space="preserve">d) Sachant que l'électrolyse de l'eau tritiée conduit à la libération de </w:t>
      </w:r>
      <m:oMath>
        <m:sSub>
          <m:sSubPr/>
          <m:e>
            <m:r>
              <m:rPr>
                <m:sty m:val="p"/>
              </m:rPr>
              <m:t>HT</m:t>
            </m:r>
          </m:e>
          <m:sub>
            <m:r>
              <m:rPr>
                <m:sty m:val="p"/>
              </m:rPr>
              <m:t>(</m:t>
            </m:r>
            <m:r>
              <m:rPr>
                <m:sty m:val="p"/>
              </m:rPr>
              <m:t>g</m:t>
            </m:r>
            <m:r>
              <m:rPr>
                <m:sty m:val="p"/>
              </m:rPr>
              <m:t>)</m:t>
            </m:r>
          </m:sub>
        </m:sSub>
      </m:oMath>
      <w:r>
        <w:rPr>
          <w:rFonts w:eastAsia="Georgia" w:cs="Georgia" w:ascii="Georgia" w:hAnsi="Georgia"/>
        </w:rPr>
        <w:t xml:space="preserve">, écrire l'équation de la réaction d'électrolyse correspondante.</w:t>
      </w:r>
      <w:r>
        <w:rPr/>
        <w:br w:type="textWrapping"/>
      </w:r>
      <w:r>
        <w:rPr>
          <w:rFonts w:eastAsia="Georgia" w:cs="Georgia" w:ascii="Georgia" w:hAnsi="Georgia"/>
        </w:rPr>
        <w:t xml:space="preserve">e) Avant d'être introduit dans l'électrolyseur, l'échantillon d'effluent à enrichir doit préalablement subir un traitement visant à éliminer les particules en suspension, ions, bactéries, matière organique. Justifier la nécessité de ce traitement.</w:t>
      </w:r>
    </w:p>
    <w:p>
      <w:pPr>
        <w:spacing w:line="271" w:before="330" w:lineRule="auto"/>
      </w:pPr>
      <w:r>
        <w:rPr>
          <w:b/>
          <w:sz w:val="42"/>
        </w:rPr>
        <w:t xml:space="preserve">II.A.2) Enrichissement isotopique</w:t>
      </w:r>
    </w:p>
    <w:p>
      <w:pPr>
        <w:spacing w:after="220" w:lineRule="auto"/>
      </w:pPr>
      <w:r>
        <w:rPr>
          <w:rFonts w:eastAsia="Georgia" w:cs="Georgia" w:ascii="Georgia" w:hAnsi="Georgia"/>
        </w:rPr>
        <w:t xml:space="preserve">Un échantillon d'eau de volume </w:t>
      </w:r>
      <m:oMath>
        <m:sSub>
          <m:sSubPr/>
          <m:e>
            <m:r>
              <m:rPr>
                <m:sty m:val="i"/>
              </m:rPr>
              <m:t>V</m:t>
            </m:r>
          </m:e>
          <m:sub>
            <m:r>
              <m:rPr>
                <m:sty m:val="p"/>
              </m:rPr>
              <m:t>0</m:t>
            </m:r>
          </m:sub>
        </m:sSub>
      </m:oMath>
      <w:r>
        <w:rPr>
          <w:rFonts w:eastAsia="Georgia" w:cs="Georgia" w:ascii="Georgia" w:hAnsi="Georgia"/>
        </w:rPr>
        <w:t xml:space="preserve"> contient les isotopes H et T de l'hydrogène en quantités respectives </w:t>
      </w:r>
      <m:oMath>
        <m:sSub>
          <m:sSubPr/>
          <m:e>
            <m:r>
              <m:rPr>
                <m:sty m:val="i"/>
              </m:rPr>
              <m:t>n</m:t>
            </m:r>
          </m:e>
          <m:sub>
            <m:r>
              <m:rPr>
                <m:sty m:val="p"/>
              </m:rPr>
              <m:t>H</m:t>
            </m:r>
            <m:r>
              <m:rPr>
                <m:sty m:val="p"/>
              </m:rPr>
              <m:t>,</m:t>
            </m:r>
            <m:r>
              <m:rPr>
                <m:sty m:val="p"/>
              </m:rPr>
              <m:t>0</m:t>
            </m:r>
          </m:sub>
        </m:sSub>
      </m:oMath>
      <w:r>
        <w:rPr/>
        <w:t xml:space="preserve"> et </w:t>
      </w:r>
      <m:oMath>
        <m:sSub>
          <m:sSubPr/>
          <m:e>
            <m:r>
              <m:rPr>
                <m:sty m:val="i"/>
              </m:rPr>
              <m:t>n</m:t>
            </m:r>
          </m:e>
          <m:sub>
            <m:r>
              <m:rPr>
                <m:sty m:val="p"/>
              </m:rPr>
              <m:t>T</m:t>
            </m:r>
            <m:r>
              <m:rPr>
                <m:sty m:val="p"/>
              </m:rPr>
              <m:t>,</m:t>
            </m:r>
            <m:r>
              <m:rPr>
                <m:sty m:val="p"/>
              </m:rPr>
              <m:t>0</m:t>
            </m:r>
          </m:sub>
        </m:sSub>
      </m:oMath>
      <w:r>
        <w:rPr>
          <w:rFonts w:eastAsia="Georgia" w:cs="Georgia" w:ascii="Georgia" w:hAnsi="Georgia"/>
        </w:rPr>
        <w:t xml:space="preserve">. Après électrolyse, les quantités de matière de H et T sont notées </w:t>
      </w:r>
      <m:oMath>
        <m:sSub>
          <m:sSubPr/>
          <m:e>
            <m:r>
              <m:rPr>
                <m:sty m:val="i"/>
              </m:rPr>
              <m:t>n</m:t>
            </m:r>
          </m:e>
          <m:sub>
            <m:r>
              <m:rPr>
                <m:sty m:val="p"/>
              </m:rPr>
              <m:t>H</m:t>
            </m:r>
          </m:sub>
        </m:sSub>
      </m:oMath>
      <w:r>
        <w:rPr/>
        <w:t xml:space="preserve"> et </w:t>
      </w:r>
      <m:oMath>
        <m:sSub>
          <m:sSubPr/>
          <m:e>
            <m:r>
              <m:rPr>
                <m:sty m:val="i"/>
              </m:rPr>
              <m:t>n</m:t>
            </m:r>
          </m:e>
          <m:sub>
            <m:r>
              <m:rPr>
                <m:sty m:val="p"/>
              </m:rPr>
              <m:t>T</m:t>
            </m:r>
          </m:sub>
        </m:sSub>
      </m:oMath>
      <w:r>
        <w:rPr>
          <w:rFonts w:eastAsia="Georgia" w:cs="Georgia" w:ascii="Georgia" w:hAnsi="Georgia"/>
        </w:rPr>
        <w:t xml:space="preserve">. Le procédé d'enrichissement isotopique repose sur la différence entre les vitesses d'électrolyse de l'eau non tritiée </w:t>
      </w:r>
      <m:oMath>
        <m:sSub>
          <m:sSubPr/>
          <m:e>
            <m:r>
              <m:rPr>
                <m:sty m:val="p"/>
              </m:rPr>
              <m:t>H</m:t>
            </m:r>
          </m:e>
          <m:sub>
            <m:r>
              <m:rPr>
                <m:sty m:val="p"/>
              </m:rPr>
              <m:t>2</m:t>
            </m:r>
          </m:sub>
        </m:sSub>
        <m:r>
          <m:rPr>
            <m:sty m:val="p"/>
          </m:rPr>
          <m:t>O</m:t>
        </m:r>
      </m:oMath>
      <w:r>
        <w:rPr>
          <w:rFonts w:eastAsia="Georgia" w:cs="Georgia" w:ascii="Georgia" w:hAnsi="Georgia"/>
        </w:rPr>
        <w:t xml:space="preserve"> et de l'eau tritiée HTO. On observe expérimentalement que l'eau non tritiée est réduite plus rapidement que l'eau tritiée au cours de l'électrolyse. Cette différence est traduite par le facteur de séparation </w:t>
      </w:r>
      <m:oMath>
        <m:r>
          <m:rPr>
            <m:sty m:val="i"/>
          </m:rPr>
          <m:t>β</m:t>
        </m:r>
      </m:oMath>
      <w:r>
        <w:rPr>
          <w:rFonts w:eastAsia="Georgia" w:cs="Georgia" w:ascii="Georgia" w:hAnsi="Georgia"/>
        </w:rPr>
        <w:t xml:space="preserve">, défini comme le rapport entre l'abondance relative du tritium dans l'échantillon aqueux sur l'abondance relative du tritium dans la phase gazeuse produite par électrolyse :</w:t>
      </w:r>
    </w:p>
    <w:p>
      <w:pPr>
        <w:spacing w:after="220" w:lineRule="auto"/>
      </w:pPr>
      <m:oMathPara>
        <m:oMath>
          <m:r>
            <m:rPr>
              <m:sty m:val="i"/>
            </m:rPr>
            <m:t>β</m:t>
          </m:r>
          <m:r>
            <m:rPr>
              <m:sty m:val="p"/>
            </m:rPr>
            <m:t>=</m:t>
          </m:r>
          <m:f>
            <m:fPr>
              <m:ctrlPr>
                <w:rPr>
                  <w:rFonts w:ascii="Cambria Math" w:hAnsi="Cambria Math"/>
                </w:rPr>
              </m:ctrlPr>
            </m:fPr>
            <m:num>
              <m:sSub>
                <m:sSubPr/>
                <m:e>
                  <m:d>
                    <m:dPr>
                      <m:begChr m:val="("/>
                      <m:endChr m:val=")"/>
                      <m:ctrlPr>
                        <w:rPr>
                          <w:rFonts w:ascii="Cambria Math" w:hAnsi="Cambria Math"/>
                        </w:rPr>
                      </m:ctrlPr>
                    </m:dPr>
                    <m:e>
                      <m:sSub>
                        <m:sSubPr/>
                        <m:e>
                          <m:r>
                            <m:rPr>
                              <m:sty m:val="i"/>
                            </m:rPr>
                            <m:t>n</m:t>
                          </m:r>
                        </m:e>
                        <m:sub>
                          <m:r>
                            <m:rPr>
                              <m:sty m:val="p"/>
                            </m:rPr>
                            <m:t>T</m:t>
                          </m:r>
                        </m:sub>
                      </m:sSub>
                      <m:r>
                        <m:rPr>
                          <m:sty m:val="p"/>
                        </m:rPr>
                        <m:t>/</m:t>
                      </m:r>
                      <m:sSub>
                        <m:sSubPr/>
                        <m:e>
                          <m:r>
                            <m:rPr>
                              <m:sty m:val="i"/>
                            </m:rPr>
                            <m:t>n</m:t>
                          </m:r>
                        </m:e>
                        <m:sub>
                          <m:r>
                            <m:rPr>
                              <m:sty m:val="p"/>
                            </m:rPr>
                            <m:t>H</m:t>
                          </m:r>
                        </m:sub>
                      </m:sSub>
                    </m:e>
                  </m:d>
                </m:e>
                <m:sub>
                  <m:r>
                    <m:rPr>
                      <m:sty m:val="p"/>
                    </m:rPr>
                    <m:t>(</m:t>
                  </m:r>
                  <m:r>
                    <m:rPr>
                      <m:sty m:val="p"/>
                    </m:rPr>
                    <m:t>aq</m:t>
                  </m:r>
                  <m:r>
                    <m:rPr>
                      <m:sty m:val="p"/>
                    </m:rPr>
                    <m:t>)</m:t>
                  </m:r>
                </m:sub>
              </m:sSub>
            </m:num>
            <m:den>
              <m:sSub>
                <m:sSubPr/>
                <m:e>
                  <m:d>
                    <m:dPr>
                      <m:begChr m:val="("/>
                      <m:endChr m:val=")"/>
                      <m:ctrlPr>
                        <w:rPr>
                          <w:rFonts w:ascii="Cambria Math" w:hAnsi="Cambria Math"/>
                        </w:rPr>
                      </m:ctrlPr>
                    </m:dPr>
                    <m:e>
                      <m:sSub>
                        <m:sSubPr/>
                        <m:e>
                          <m:r>
                            <m:rPr>
                              <m:sty m:val="i"/>
                            </m:rPr>
                            <m:t>n</m:t>
                          </m:r>
                        </m:e>
                        <m:sub>
                          <m:r>
                            <m:rPr>
                              <m:sty m:val="p"/>
                            </m:rPr>
                            <m:t>T</m:t>
                          </m:r>
                        </m:sub>
                      </m:sSub>
                      <m:r>
                        <m:rPr>
                          <m:sty m:val="p"/>
                        </m:rPr>
                        <m:t>/</m:t>
                      </m:r>
                      <m:sSub>
                        <m:sSubPr/>
                        <m:e>
                          <m:r>
                            <m:rPr>
                              <m:sty m:val="i"/>
                            </m:rPr>
                            <m:t>n</m:t>
                          </m:r>
                        </m:e>
                        <m:sub>
                          <m:r>
                            <m:rPr>
                              <m:sty m:val="p"/>
                            </m:rPr>
                            <m:t>H</m:t>
                          </m:r>
                        </m:sub>
                      </m:sSub>
                    </m:e>
                  </m:d>
                </m:e>
                <m:sub>
                  <m:r>
                    <m:rPr>
                      <m:sty m:val="p"/>
                    </m:rPr>
                    <m:t>(</m:t>
                  </m:r>
                  <m:r>
                    <m:rPr>
                      <m:sty m:val="p"/>
                    </m:rPr>
                    <m:t>g</m:t>
                  </m:r>
                  <m:r>
                    <m:rPr>
                      <m:sty m:val="p"/>
                    </m:rPr>
                    <m:t>)</m:t>
                  </m:r>
                </m:sub>
              </m:sSub>
            </m:den>
          </m:f>
        </m:oMath>
      </m:oMathPara>
    </w:p>
    <w:p>
      <w:pPr>
        <w:spacing w:after="220" w:lineRule="auto"/>
      </w:pPr>
      <w:r>
        <w:rPr>
          <w:rFonts w:eastAsia="Georgia" w:cs="Georgia" w:ascii="Georgia" w:hAnsi="Georgia"/>
        </w:rPr>
        <w:t xml:space="preserve">L'efficacité du processus d'enrichissement isotopique est d'autant plus élevée que </w:t>
      </w:r>
      <m:oMath>
        <m:r>
          <m:rPr>
            <m:sty m:val="i"/>
          </m:rPr>
          <m:t>β</m:t>
        </m:r>
      </m:oMath>
      <w:r>
        <w:rPr>
          <w:rFonts w:eastAsia="Georgia" w:cs="Georgia" w:ascii="Georgia" w:hAnsi="Georgia"/>
        </w:rPr>
        <w:t xml:space="preserve"> est élevé. Dans les études réalisées sur la séparation isotopique hydrogène/tritium, les facteurs de séparation mesurés varient de l'ordre de 3 à 20 .</w:t>
      </w:r>
      <w:r>
        <w:rPr/>
        <w:br w:type="textWrapping"/>
      </w:r>
      <w:r>
        <w:rPr>
          <w:rFonts w:eastAsia="Georgia" w:cs="Georgia" w:ascii="Georgia" w:hAnsi="Georgia"/>
        </w:rPr>
        <w:t xml:space="preserve">a) À la lumière des considérations cinétiques ci-dessus, expliquer en quoi la réaction cathodique est à l'origine de l'enrichissement de l'eau en tritium.</w:t>
      </w:r>
      <w:r>
        <w:rPr/>
        <w:br w:type="textWrapping"/>
      </w:r>
      <w:r>
        <w:rPr/>
        <w:t xml:space="preserve">b) Proposer plusieurs facteurs qui peuvent influer sur la valeur de </w:t>
      </w:r>
      <m:oMath>
        <m:r>
          <m:rPr>
            <m:sty m:val="i"/>
          </m:rPr>
          <m:t>β</m:t>
        </m:r>
      </m:oMath>
      <w:r>
        <w:rPr>
          <w:rFonts w:eastAsia="Georgia" w:cs="Georgia" w:ascii="Georgia" w:hAnsi="Georgia"/>
        </w:rPr>
        <w:t xml:space="preserve">. Une réponse soigneusement argumentée, en lien avec les connaissances sur l'électrochimie, est attendue.</w:t>
      </w:r>
    </w:p>
    <w:p>
      <w:pPr>
        <w:spacing w:line="271" w:before="330" w:lineRule="auto"/>
      </w:pPr>
      <w:r>
        <w:rPr>
          <w:rFonts w:eastAsia="Georgia" w:cs="Georgia" w:ascii="Georgia" w:hAnsi="Georgia"/>
          <w:b/>
          <w:sz w:val="42"/>
        </w:rPr>
        <w:t xml:space="preserve">II.A.3) Optimisation des performances de l'électrolyseur</w:t>
      </w:r>
    </w:p>
    <w:p>
      <w:pPr>
        <w:spacing w:after="220" w:lineRule="auto"/>
      </w:pPr>
      <w:r>
        <w:rPr>
          <w:rFonts w:eastAsia="Georgia" w:cs="Georgia" w:ascii="Georgia" w:hAnsi="Georgia"/>
        </w:rPr>
        <w:t xml:space="preserve">L'efficacité énergétique des électrolyseurs à membrane échangeuse de cations repose principalement sur la nature des électrodes et de la membrane. On donne figure 6 l'allure de la caractéristique tension-densité de courant </w:t>
      </w:r>
      <m:oMath>
        <m:sSub>
          <m:sSubPr/>
          <m:e>
            <m:r>
              <m:rPr>
                <m:sty m:val="i"/>
              </m:rPr>
              <m:t>U</m:t>
            </m:r>
          </m:e>
          <m:sub>
            <m:r>
              <m:rPr>
                <m:sty m:val="i"/>
              </m:rPr>
              <m:t>c</m:t>
            </m:r>
          </m:sub>
        </m:sSub>
        <m:r>
          <m:rPr>
            <m:sty m:val="p"/>
          </m:rPr>
          <m:t>=</m:t>
        </m:r>
        <m:r>
          <m:rPr>
            <m:sty m:val="i"/>
          </m:rPr>
          <m:t>f</m:t>
        </m:r>
        <m:r>
          <m:rPr>
            <m:sty m:val="p"/>
          </m:rPr>
          <m:t>(</m:t>
        </m:r>
        <m:r>
          <m:rPr>
            <m:sty m:val="i"/>
          </m:rPr>
          <m:t>j</m:t>
        </m:r>
        <m:r>
          <m:rPr>
            <m:sty m:val="p"/>
          </m:rPr>
          <m:t>)</m:t>
        </m:r>
      </m:oMath>
      <w:r>
        <w:rPr>
          <w:rFonts w:eastAsia="Georgia" w:cs="Georgia" w:ascii="Georgia" w:hAnsi="Georgia"/>
        </w:rPr>
        <w:t xml:space="preserve"> obtenue à </w:t>
      </w:r>
      <m:oMath>
        <m:sSup>
          <m:sSupPr/>
          <m:e>
            <m:r>
              <m:rPr>
                <m:sty m:val="p"/>
              </m:rPr>
              <m:t>80</m:t>
            </m:r>
          </m:e>
          <m:sup>
            <m:r>
              <m:rPr>
                <m:sty m:val="p"/>
              </m:rPr>
              <m:t>∘</m:t>
            </m:r>
          </m:sup>
        </m:sSup>
        <m:r>
          <m:rPr>
            <m:sty m:val="p"/>
          </m:rPr>
          <m:t>C</m:t>
        </m:r>
      </m:oMath>
      <w:r>
        <w:rPr>
          <w:rFonts w:eastAsia="Georgia" w:cs="Georgia" w:ascii="Georgia" w:hAnsi="Georgia"/>
        </w:rPr>
        <w:t xml:space="preserve"> pour une cellule d'électrolyse avec une membrane polymère Nafion </w:t>
      </w:r>
      <m:oMath>
        <m:sSup>
          <m:sSupPr/>
          <m:e>
            <m:r>
              <m:t xml:space="preserve"> </m:t>
            </m:r>
          </m:e>
          <m:sup>
            <m:r>
              <m:rPr>
                <m:sty m:val="i"/>
              </m:rPr>
              <m:t>®</m:t>
            </m:r>
          </m:sup>
        </m:sSup>
      </m:oMath>
      <w:r>
        <w:rPr>
          <w:rFonts w:eastAsia="Georgia" w:cs="Georgia" w:ascii="Georgia" w:hAnsi="Georgia"/>
        </w:rPr>
        <w:t xml:space="preserve"> - 115 . L'anode est constituée d'un dépôt de platine sur composite de carbone Vulcan XC-72, la cathode est constituée d'oxyde de ruthénium. </w:t>
      </w:r>
      <m:oMath>
        <m:sSub>
          <m:sSubPr/>
          <m:e>
            <m:r>
              <m:rPr>
                <m:sty m:val="i"/>
              </m:rPr>
              <m:t>U</m:t>
            </m:r>
          </m:e>
          <m:sub>
            <m:r>
              <m:rPr>
                <m:sty m:val="i"/>
              </m:rPr>
              <m:t>c</m:t>
            </m:r>
          </m:sub>
        </m:sSub>
      </m:oMath>
      <w:r>
        <w:rPr>
          <w:rFonts w:eastAsia="Georgia" w:cs="Georgia" w:ascii="Georgia" w:hAnsi="Georgia"/>
        </w:rPr>
        <w:t xml:space="preserve"> est la tension aux bornes de l'électrolyseur et </w:t>
      </w:r>
      <m:oMath>
        <m:r>
          <m:rPr>
            <m:sty m:val="i"/>
          </m:rPr>
          <m:t>j</m:t>
        </m:r>
      </m:oMath>
      <w:r>
        <w:rPr>
          <w:rFonts w:eastAsia="Georgia" w:cs="Georgia" w:ascii="Georgia" w:hAnsi="Georgia"/>
        </w:rPr>
        <w:t xml:space="preserve"> la densité de courant parcourant les électrodes.</w:t>
      </w:r>
    </w:p>
    <w:p>
      <w:pPr>
        <w:spacing w:lineRule="auto"/>
        <w:jc w:val="center"/>
      </w:pPr>
      <w:r>
        <w:rPr/>
        <w:drawing>
          <wp:inline distB="0" distL="0" distR="0" distT="0">
            <wp:extent cx="5486400" cy="3030224"/>
            <wp:effectExtent b="0" l="0" r="0" t="0"/>
            <wp:docPr id="6" name="image-7f055968fc3421c7c1bdb678b04e0f6aa8b84932.jpg"/>
            <a:graphic>
              <a:graphicData uri="http://schemas.openxmlformats.org/drawingml/2006/picture">
                <pic:pic>
                  <pic:nvPicPr>
                    <pic:cNvPr id="6" name="image-7f055968fc3421c7c1bdb678b04e0f6aa8b84932.jpg" descr=""/>
                    <pic:cNvPicPr/>
                  </pic:nvPicPr>
                  <pic:blipFill>
                    <a:blip r:embed="rId10" cstate="print"/>
                    <a:srcRect b="0" l="0" r="0" t="0"/>
                    <a:stretch>
                      <a:fillRect/>
                    </a:stretch>
                  </pic:blipFill>
                  <pic:spPr>
                    <a:xfrm>
                      <a:off x="0" y="0"/>
                      <a:ext cx="5486400" cy="3030224"/>
                    </a:xfrm>
                    <a:prstGeom prst="rect"/>
                  </pic:spPr>
                </pic:pic>
              </a:graphicData>
            </a:graphic>
          </wp:inline>
        </w:drawing>
      </w:r>
    </w:p>
    <w:p>
      <w:pPr>
        <w:spacing w:lineRule="auto"/>
      </w:pPr>
      <w:r>
        <w:rPr>
          <w:rFonts w:eastAsia="Georgia" w:cs="Georgia" w:ascii="Georgia" w:hAnsi="Georgia"/>
        </w:rPr>
        <w:t xml:space="preserve">Figure 6 Caractéristique </w:t>
      </w:r>
      <m:oMath>
        <m:sSub>
          <m:sSubPr/>
          <m:e>
            <m:r>
              <m:rPr>
                <m:sty m:val="i"/>
              </m:rPr>
              <m:t>U</m:t>
            </m:r>
          </m:e>
          <m:sub>
            <m:r>
              <m:rPr>
                <m:sty m:val="i"/>
              </m:rPr>
              <m:t>c</m:t>
            </m:r>
          </m:sub>
        </m:sSub>
        <m:r>
          <m:rPr>
            <m:sty m:val="p"/>
          </m:rPr>
          <m:t>=</m:t>
        </m:r>
        <m:r>
          <m:rPr>
            <m:sty m:val="i"/>
          </m:rPr>
          <m:t>f</m:t>
        </m:r>
        <m:r>
          <m:rPr>
            <m:sty m:val="p"/>
          </m:rPr>
          <m:t>(</m:t>
        </m:r>
        <m:r>
          <m:rPr>
            <m:sty m:val="i"/>
          </m:rPr>
          <m:t>j</m:t>
        </m:r>
        <m:r>
          <m:rPr>
            <m:sty m:val="p"/>
          </m:rPr>
          <m:t>)</m:t>
        </m:r>
      </m:oMath>
      <w:r>
        <w:rPr>
          <w:rFonts w:eastAsia="Georgia" w:cs="Georgia" w:ascii="Georgia" w:hAnsi="Georgia"/>
        </w:rPr>
        <w:t xml:space="preserve"> d'un électrolyseur</w:t>
      </w:r>
    </w:p>
    <w:p>
      <w:pPr>
        <w:spacing w:after="220" w:lineRule="auto"/>
      </w:pPr>
      <w:r>
        <w:rPr>
          <w:rFonts w:eastAsia="Georgia" w:cs="Georgia" w:ascii="Georgia" w:hAnsi="Georgia"/>
        </w:rPr>
        <w:t xml:space="preserve">a) À partir de la courbe de la figure 6, représenter sur un même graphe l'allure des courbes densité de courantpotentiel </w:t>
      </w:r>
      <m:oMath>
        <m:r>
          <m:rPr>
            <m:sty m:val="i"/>
          </m:rPr>
          <m:t>j</m:t>
        </m:r>
        <m:r>
          <m:rPr>
            <m:sty m:val="p"/>
          </m:rPr>
          <m:t>=</m:t>
        </m:r>
        <m:r>
          <m:rPr>
            <m:sty m:val="i"/>
          </m:rPr>
          <m:t>f</m:t>
        </m:r>
        <m:r>
          <m:rPr>
            <m:sty m:val="p"/>
          </m:rPr>
          <m:t>(</m:t>
        </m:r>
        <m:r>
          <m:rPr>
            <m:sty m:val="i"/>
          </m:rPr>
          <m:t>E</m:t>
        </m:r>
        <m:r>
          <m:rPr>
            <m:sty m:val="p"/>
          </m:rPr>
          <m:t>)</m:t>
        </m:r>
      </m:oMath>
      <w:r>
        <w:rPr>
          <w:rFonts w:eastAsia="Georgia" w:cs="Georgia" w:ascii="Georgia" w:hAnsi="Georgia"/>
        </w:rPr>
        <w:t xml:space="preserve"> anodique et cathodique de la cellule d'électrolyse. Légender les courbes et mettre soigneusement en évidence sur le schéma la tension minimale d'électrolyse, dont on donnera la valeur. On indique que le couple </w:t>
      </w:r>
      <m:oMath>
        <m:sSup>
          <m:sSupPr/>
          <m:e>
            <m:r>
              <m:rPr>
                <m:sty m:val="p"/>
              </m:rPr>
              <m:t>H</m:t>
            </m:r>
          </m:e>
          <m:sup>
            <m:r>
              <m:rPr>
                <m:sty m:val="p"/>
              </m:rPr>
              <m:t>+</m:t>
            </m:r>
          </m:sup>
        </m:sSup>
        <m:r>
          <m:rPr>
            <m:sty m:val="p"/>
          </m:rPr>
          <m:t>/</m:t>
        </m:r>
        <m:sSub>
          <m:sSubPr/>
          <m:e>
            <m:r>
              <m:rPr>
                <m:sty m:val="p"/>
              </m:rPr>
              <m:t>H</m:t>
            </m:r>
          </m:e>
          <m:sub>
            <m:r>
              <m:rPr>
                <m:sty m:val="p"/>
              </m:rPr>
              <m:t>2</m:t>
            </m:r>
          </m:sub>
        </m:sSub>
      </m:oMath>
      <w:r>
        <w:rPr>
          <w:rFonts w:eastAsia="Georgia" w:cs="Georgia" w:ascii="Georgia" w:hAnsi="Georgia"/>
        </w:rPr>
        <w:t xml:space="preserve"> est rapide sur les électrodes considérées.</w:t>
      </w:r>
      <w:r>
        <w:rPr/>
        <w:br w:type="textWrapping"/>
      </w:r>
      <w:r>
        <w:rPr>
          <w:rFonts w:eastAsia="Georgia" w:cs="Georgia" w:ascii="Georgia" w:hAnsi="Georgia"/>
        </w:rPr>
        <w:t xml:space="preserve">Sur la figure 7, la caractéristique </w:t>
      </w:r>
      <m:oMath>
        <m:sSub>
          <m:sSubPr/>
          <m:e>
            <m:r>
              <m:rPr>
                <m:sty m:val="i"/>
              </m:rPr>
              <m:t>U</m:t>
            </m:r>
          </m:e>
          <m:sub>
            <m:r>
              <m:rPr>
                <m:sty m:val="i"/>
              </m:rPr>
              <m:t>c</m:t>
            </m:r>
          </m:sub>
        </m:sSub>
        <m:r>
          <m:rPr>
            <m:sty m:val="p"/>
          </m:rPr>
          <m:t>=</m:t>
        </m:r>
        <m:r>
          <m:rPr>
            <m:sty m:val="i"/>
          </m:rPr>
          <m:t>f</m:t>
        </m:r>
        <m:r>
          <m:rPr>
            <m:sty m:val="p"/>
          </m:rPr>
          <m:t>(</m:t>
        </m:r>
        <m:r>
          <m:rPr>
            <m:sty m:val="i"/>
          </m:rPr>
          <m:t>j</m:t>
        </m:r>
        <m:r>
          <m:rPr>
            <m:sty m:val="p"/>
          </m:rPr>
          <m:t>)</m:t>
        </m:r>
      </m:oMath>
      <w:r>
        <w:rPr>
          <w:rFonts w:eastAsia="Georgia" w:cs="Georgia" w:ascii="Georgia" w:hAnsi="Georgia"/>
        </w:rPr>
        <w:t xml:space="preserve"> a été tracée pour deux membranes polymères (Nafion </w:t>
      </w:r>
      <m:oMath>
        <m:sSup>
          <m:sSupPr/>
          <m:e>
            <m:r>
              <m:t xml:space="preserve"> </m:t>
            </m:r>
          </m:e>
          <m:sup>
            <m:r>
              <m:rPr>
                <m:sty m:val="i"/>
              </m:rPr>
              <m:t>®</m:t>
            </m:r>
          </m:sup>
        </m:sSup>
      </m:oMath>
      <w:r>
        <w:rPr/>
        <w:t xml:space="preserve"> - 112 et Nafion </w:t>
      </w:r>
      <m:oMath>
        <m:sSup>
          <m:sSupPr/>
          <m:e>
            <m:r>
              <m:t xml:space="preserve"> </m:t>
            </m:r>
          </m:e>
          <m:sup>
            <m:r>
              <m:rPr>
                <m:sty m:val="p"/>
              </m:rPr>
              <m:t>(</m:t>
            </m:r>
            <m:r>
              <m:rPr>
                <m:sty m:val="p"/>
              </m:rPr>
              <m:t>B</m:t>
            </m:r>
            <m:r>
              <m:rPr>
                <m:sty m:val="p"/>
              </m:rPr>
              <m:t>)</m:t>
            </m:r>
          </m:sup>
        </m:sSup>
      </m:oMath>
      <w:r>
        <w:rPr>
          <w:rFonts w:eastAsia="Georgia" w:cs="Georgia" w:ascii="Georgia" w:hAnsi="Georgia"/>
        </w:rPr>
        <w:t xml:space="preserve">-117) d'épaisseur différente, à température ambiante.</w:t>
      </w:r>
    </w:p>
    <w:p>
      <w:pPr>
        <w:spacing w:lineRule="auto"/>
        <w:jc w:val="center"/>
      </w:pPr>
      <w:r>
        <w:rPr/>
        <w:drawing>
          <wp:inline distB="0" distL="0" distR="0" distT="0">
            <wp:extent cx="5486400" cy="2583180"/>
            <wp:effectExtent b="0" l="0" r="0" t="0"/>
            <wp:docPr id="7" name="image-54ac50cc8688c297a0f9b1cc4bc235c945b24a91.jpg"/>
            <a:graphic>
              <a:graphicData uri="http://schemas.openxmlformats.org/drawingml/2006/picture">
                <pic:pic>
                  <pic:nvPicPr>
                    <pic:cNvPr id="7" name="image-54ac50cc8688c297a0f9b1cc4bc235c945b24a91.jpg" descr=""/>
                    <pic:cNvPicPr/>
                  </pic:nvPicPr>
                  <pic:blipFill>
                    <a:blip r:embed="rId11" cstate="print"/>
                    <a:srcRect b="0" l="0" r="0" t="0"/>
                    <a:stretch>
                      <a:fillRect/>
                    </a:stretch>
                  </pic:blipFill>
                  <pic:spPr>
                    <a:xfrm>
                      <a:off x="0" y="0"/>
                      <a:ext cx="5486400" cy="2583180"/>
                    </a:xfrm>
                    <a:prstGeom prst="rect"/>
                  </pic:spPr>
                </pic:pic>
              </a:graphicData>
            </a:graphic>
          </wp:inline>
        </w:drawing>
      </w:r>
    </w:p>
    <w:p>
      <w:pPr>
        <w:spacing w:lineRule="auto"/>
      </w:pPr>
      <w:r>
        <w:rPr>
          <w:rFonts w:eastAsia="Georgia" w:cs="Georgia" w:ascii="Georgia" w:hAnsi="Georgia"/>
        </w:rPr>
        <w:t xml:space="preserve">Figure 7 Caractéristique </w:t>
      </w:r>
      <m:oMath>
        <m:sSub>
          <m:sSubPr/>
          <m:e>
            <m:r>
              <m:rPr>
                <m:sty m:val="i"/>
              </m:rPr>
              <m:t>U</m:t>
            </m:r>
          </m:e>
          <m:sub>
            <m:r>
              <m:rPr>
                <m:sty m:val="i"/>
              </m:rPr>
              <m:t>c</m:t>
            </m:r>
          </m:sub>
        </m:sSub>
        <m:r>
          <m:rPr>
            <m:sty m:val="p"/>
          </m:rPr>
          <m:t>=</m:t>
        </m:r>
        <m:r>
          <m:rPr>
            <m:sty m:val="i"/>
          </m:rPr>
          <m:t>f</m:t>
        </m:r>
        <m:r>
          <m:rPr>
            <m:sty m:val="p"/>
          </m:rPr>
          <m:t>(</m:t>
        </m:r>
        <m:r>
          <m:rPr>
            <m:sty m:val="i"/>
          </m:rPr>
          <m:t>j</m:t>
        </m:r>
        <m:r>
          <m:rPr>
            <m:sty m:val="p"/>
          </m:rPr>
          <m:t>)</m:t>
        </m:r>
      </m:oMath>
      <w:r>
        <w:rPr>
          <w:rFonts w:eastAsia="Georgia" w:cs="Georgia" w:ascii="Georgia" w:hAnsi="Georgia"/>
        </w:rPr>
        <w:t xml:space="preserve"> pour 2 membranes polymères différentes</w:t>
      </w:r>
    </w:p>
    <w:p>
      <w:pPr>
        <w:spacing w:after="220" w:lineRule="auto"/>
      </w:pPr>
      <w:r>
        <w:rPr>
          <w:rFonts w:eastAsia="Georgia" w:cs="Georgia" w:ascii="Georgia" w:hAnsi="Georgia"/>
        </w:rPr>
        <w:t xml:space="preserve">b) Montrer que ces courbes permettent de calculer la différence entre les résistances (exprimées en </w:t>
      </w:r>
      <m:oMath>
        <m:r>
          <m:rPr>
            <m:sty m:val="p"/>
          </m:rPr>
          <m:t>Ω</m:t>
        </m:r>
        <m:r>
          <m:rPr>
            <m:sty m:val="p"/>
          </m:rPr>
          <m:t>⋅</m:t>
        </m:r>
        <m:sSup>
          <m:sSupPr/>
          <m:e>
            <m:r>
              <m:rPr>
                <m:sty m:val="p"/>
              </m:rPr>
              <m:t>cm</m:t>
            </m:r>
          </m:e>
          <m:sup>
            <m:r>
              <m:rPr>
                <m:sty m:val="p"/>
              </m:rPr>
              <m:t>2</m:t>
            </m:r>
          </m:sup>
        </m:sSup>
      </m:oMath>
      <w:r>
        <w:rPr/>
        <w:t xml:space="preserve"> ) des membranes Nafion </w:t>
      </w:r>
      <m:oMath>
        <m:sSup>
          <m:sSupPr/>
          <m:e>
            <m:r>
              <m:t xml:space="preserve"> </m:t>
            </m:r>
          </m:e>
          <m:sup>
            <m:r>
              <m:rPr>
                <m:sty m:val="i"/>
              </m:rPr>
              <m:t>®</m:t>
            </m:r>
          </m:sup>
        </m:sSup>
      </m:oMath>
      <w:r>
        <w:rPr/>
        <w:t xml:space="preserve">-112 et Nafion </w:t>
      </w:r>
      <m:oMath>
        <m:sSup>
          <m:sSupPr/>
          <m:e>
            <m:r>
              <m:t xml:space="preserve"> </m:t>
            </m:r>
          </m:e>
          <m:sup>
            <m:r>
              <m:rPr>
                <m:sty m:val="i"/>
              </m:rPr>
              <m:t>®</m:t>
            </m:r>
          </m:sup>
        </m:sSup>
      </m:oMath>
      <w:r>
        <w:rPr/>
        <w:t xml:space="preserve">-117 pour une valeur de </w:t>
      </w:r>
      <m:oMath>
        <m:r>
          <m:rPr>
            <m:sty m:val="i"/>
          </m:rPr>
          <m:t>j</m:t>
        </m:r>
      </m:oMath>
      <w:r>
        <w:rPr>
          <w:rFonts w:eastAsia="Georgia" w:cs="Georgia" w:ascii="Georgia" w:hAnsi="Georgia"/>
        </w:rPr>
        <w:t xml:space="preserve"> donnée. Calculer sa valeur pour </w:t>
      </w:r>
      <m:oMath>
        <m:r>
          <m:rPr>
            <m:sty m:val="i"/>
          </m:rPr>
          <m:t>j</m:t>
        </m:r>
        <m:r>
          <m:rPr>
            <m:sty m:val="p"/>
          </m:rPr>
          <m:t>=</m:t>
        </m:r>
        <m:r>
          <m:rPr>
            <m:sty m:val="p"/>
          </m:rPr>
          <m:t>1</m:t>
        </m:r>
        <m:r>
          <m:rPr>
            <m:nor/>
          </m:rPr>
          <m:t xml:space="preserve"> </m:t>
        </m:r>
        <m:r>
          <m:rPr>
            <m:sty m:val="p"/>
          </m:rPr>
          <m:t>A</m:t>
        </m:r>
        <m:r>
          <m:rPr>
            <m:sty m:val="p"/>
          </m:rPr>
          <m:t>⋅</m:t>
        </m:r>
        <m:sSup>
          <m:sSupPr/>
          <m:e>
            <m:r>
              <m:rPr>
                <m:nor/>
              </m:rPr>
              <m:t xml:space="preserve"> </m:t>
            </m:r>
            <m:r>
              <m:rPr>
                <m:sty m:val="p"/>
              </m:rPr>
              <m:t>cm</m:t>
            </m:r>
          </m:e>
          <m:sup>
            <m:r>
              <m:rPr>
                <m:sty m:val="p"/>
              </m:rPr>
              <m:t>−</m:t>
            </m:r>
            <m:r>
              <m:rPr>
                <m:sty m:val="p"/>
              </m:rPr>
              <m:t>2</m:t>
            </m:r>
          </m:sup>
        </m:sSup>
      </m:oMath>
      <w:r>
        <w:rPr/>
        <w:t xml:space="preserve">.</w:t>
      </w:r>
      <w:r>
        <w:rPr/>
        <w:br w:type="textWrapping"/>
      </w:r>
      <w:r>
        <w:rPr>
          <w:rFonts w:eastAsia="Georgia" w:cs="Georgia" w:ascii="Georgia" w:hAnsi="Georgia"/>
        </w:rPr>
        <w:t xml:space="preserve">c) Quelle membrane faut-il choisir pour optimiser les performances de l'électrolyseur ? Quel inconvénient cette membrane peut-elle cependant présenter ?</w:t>
      </w:r>
    </w:p>
    <w:p>
      <w:pPr>
        <w:spacing w:line="271" w:before="330" w:lineRule="auto"/>
      </w:pPr>
      <w:r>
        <w:rPr>
          <w:rFonts w:eastAsia="Georgia" w:cs="Georgia" w:ascii="Georgia" w:hAnsi="Georgia"/>
          <w:b/>
          <w:sz w:val="42"/>
        </w:rPr>
        <w:t xml:space="preserve">II.B - Risques associés à la libération de </w:t>
      </w:r>
      <m:oMath>
        <m:sSub>
          <m:sSubPr>
            <m:ctrlPr>
              <w:rPr>
                <w:rFonts w:ascii="Cambria Math" w:hAnsi="Cambria Math"/>
                <w:sz w:val="42"/>
              </w:rPr>
            </m:ctrlPr>
          </m:sSubPr>
          <m:e>
            <m:r>
              <m:rPr>
                <m:sty m:val="p"/>
              </m:rPr>
              <w:rPr>
                <w:sz w:val="42"/>
              </w:rPr>
              <m:t>RuO</m:t>
            </m:r>
          </m:e>
          <m:sub>
            <m:r>
              <m:rPr>
                <m:sty m:val="p"/>
              </m:rPr>
              <w:rPr>
                <w:sz w:val="42"/>
              </w:rPr>
              <m:t>4</m:t>
            </m:r>
          </m:sub>
        </m:sSub>
      </m:oMath>
      <w:r>
        <w:rPr>
          <w:b/>
          <w:sz w:val="42"/>
        </w:rPr>
        <w:t xml:space="preserve"> en cas d'un accident grave de centrale</w:t>
      </w:r>
    </w:p>
    <w:p>
      <w:pPr>
        <w:spacing w:after="220" w:lineRule="auto"/>
      </w:pPr>
      <w:r>
        <w:rPr>
          <w:rFonts w:eastAsia="Georgia" w:cs="Georgia" w:ascii="Georgia" w:hAnsi="Georgia"/>
        </w:rPr>
        <w:t xml:space="preserve">L'accident de la centrale nucléaire japonaise de Fukushima, en mars 2011, a soulevé de nouvelles questions en matière de sécurité nucléaire. Dans une centrale, l'enceinte de confinement d'un réacteur est la dernière «barrière de sécurité » qui empêche la dissémination de produits radioactifs vers l'extérieur. À Fukushima, ces rejets n'ont pu être évités au lendemain de la fusion des cœurs de 3 réacteurs à eau bouillante et de l'endommagement des enceintes de confinement. Le comportement du ruthénium en cas d'accident grave de centrale REP a récemment été étudié par l'IRSN. Une entrée d'air dans la cuve du réacteur pourrait entrainer la formation d'oxydes de ruthénium </w:t>
      </w:r>
      <m:oMath>
        <m:sSub>
          <m:sSubPr/>
          <m:e>
            <m:r>
              <m:rPr>
                <m:sty m:val="p"/>
              </m:rPr>
              <m:t>RuO</m:t>
            </m:r>
          </m:e>
          <m:sub>
            <m:r>
              <m:rPr>
                <m:sty m:val="p"/>
              </m:rPr>
              <m:t>2</m:t>
            </m:r>
          </m:sub>
        </m:sSub>
      </m:oMath>
      <w:r>
        <w:rPr/>
        <w:t xml:space="preserve"> et </w:t>
      </w:r>
      <m:oMath>
        <m:sSub>
          <m:sSubPr/>
          <m:e>
            <m:r>
              <m:rPr>
                <m:sty m:val="p"/>
              </m:rPr>
              <m:t>RuO</m:t>
            </m:r>
          </m:e>
          <m:sub>
            <m:r>
              <m:rPr>
                <m:sty m:val="p"/>
              </m:rPr>
              <m:t>4</m:t>
            </m:r>
          </m:sub>
        </m:sSub>
      </m:oMath>
      <w:r>
        <w:rPr>
          <w:rFonts w:eastAsia="Georgia" w:cs="Georgia" w:ascii="Georgia" w:hAnsi="Georgia"/>
        </w:rPr>
        <w:t xml:space="preserve">. Le tableau 1 fournit quelques données relatives à ces oxydes.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Composé</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Aspect sous 1,013 bar et à</w:t>
            </w:r>
          </w:p>
          <w:p>
            <w:pPr>
              <w:spacing w:lineRule="auto"/>
              <w:jc w:val="center"/>
            </w:pPr>
            <m:oMathPara>
              <m:oMathParaPr>
                <m:jc m:val="center"/>
              </m:oMathParaPr>
              <m:oMath>
                <m:sSup>
                  <m:sSupPr/>
                  <m:e>
                    <m:r>
                      <m:rPr>
                        <m:sty m:val="p"/>
                      </m:rPr>
                      <m:t>20</m:t>
                    </m:r>
                  </m:e>
                  <m:sup>
                    <m:r>
                      <m:rPr>
                        <m:sty m:val="p"/>
                      </m:rPr>
                      <m:t>∘</m:t>
                    </m:r>
                  </m:sup>
                </m:sSup>
                <m:r>
                  <m:rPr>
                    <m:sty m:val="p"/>
                  </m:rPr>
                  <m:t>C</m:t>
                </m:r>
              </m:oMath>
            </m:oMathPara>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de fusion sous</w:t>
            </w:r>
          </w:p>
          <w:p>
            <w:pPr>
              <w:spacing w:lineRule="auto"/>
              <w:jc w:val="center"/>
            </w:pPr>
            <w:r>
              <w:rPr/>
              <w:t xml:space="preserve">1,013 bar</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Propriétés électriques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Solubilité dans l'eau</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RuO</m:t>
                    </m:r>
                  </m:e>
                  <m:sub>
                    <m:r>
                      <m:rPr>
                        <m:sty m:val="p"/>
                      </m:rPr>
                      <m:t>4</m:t>
                    </m:r>
                  </m:sub>
                </m:sSub>
              </m:oMath>
            </m:oMathPara>
          </w:p>
        </w:tc>
        <w:tc>
          <w:tcPr>
            <w:tcBorders>
              <w:bottom w:val="single" w:sz="8" w:space="0" w:color="000000"/>
              <w:right w:val="single" w:sz="8" w:space="0" w:color="000000"/>
            </w:tcBorders>
            <w:vAlign w:val="center"/>
          </w:tcPr>
          <w:p>
            <w:pPr>
              <w:spacing w:lineRule="auto"/>
              <w:jc w:val="center"/>
            </w:pPr>
            <w:r>
              <w:rPr/>
              <w:t xml:space="preserve">solide cristallin jaune</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25</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center"/>
            </w:pPr>
            <w:r>
              <w:rPr/>
              <w:t xml:space="preserve">Isolant</w:t>
            </w:r>
          </w:p>
        </w:tc>
        <w:tc>
          <w:tcPr>
            <w:tcBorders>
              <w:bottom w:val="single" w:sz="8" w:space="0" w:color="000000"/>
              <w:right w:val="single" w:sz="8" w:space="0" w:color="000000"/>
            </w:tcBorders>
            <w:vAlign w:val="center"/>
          </w:tcPr>
          <w:p>
            <w:pPr>
              <w:spacing w:lineRule="auto"/>
              <w:jc w:val="center"/>
            </w:pPr>
            <w:r>
              <w:rPr/>
              <w:t xml:space="preserve">Faiblement soluble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RuO</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w:r>
              <w:rPr/>
              <w:t xml:space="preserve">solide cristallin noir</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1300</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center"/>
            </w:pPr>
            <w:r>
              <w:rPr/>
              <w:t xml:space="preserve">Conducteur</w:t>
            </w:r>
          </w:p>
        </w:tc>
        <w:tc>
          <w:tcPr>
            <w:tcBorders>
              <w:bottom w:val="single" w:sz="8" w:space="0" w:color="000000"/>
              <w:right w:val="single" w:sz="8" w:space="0" w:color="000000"/>
            </w:tcBorders>
            <w:vAlign w:val="center"/>
          </w:tcPr>
          <w:p>
            <w:pPr>
              <w:spacing w:lineRule="auto"/>
              <w:jc w:val="center"/>
            </w:pPr>
            <w:r>
              <w:rPr/>
              <w:t xml:space="preserve">Insoluble</w:t>
            </w:r>
          </w:p>
        </w:tc>
      </w:tr>
    </w:tbl>
    <w:p>
      <w:pPr>
        <w:spacing w:lineRule="auto"/>
      </w:pPr>
    </w:p>
    <w:p>
      <w:pPr>
        <w:spacing w:lineRule="auto"/>
      </w:pPr>
      <w:r>
        <w:rPr/>
        <w:t xml:space="preserve">Tableau 1</w:t>
      </w:r>
    </w:p>
    <w:p>
      <w:pPr>
        <w:spacing w:after="220" w:lineRule="auto"/>
      </w:pPr>
      <w:r>
        <w:rPr>
          <w:rFonts w:eastAsia="Georgia" w:cs="Georgia" w:ascii="Georgia" w:hAnsi="Georgia"/>
        </w:rPr>
        <w:t xml:space="preserve">II.B.1) À quelle catégorie de solide cristallin (métallique, ionique, covalent, moléculaire) appartient </w:t>
      </w:r>
      <m:oMath>
        <m:sSub>
          <m:sSubPr/>
          <m:e>
            <m:r>
              <m:rPr>
                <m:sty m:val="p"/>
              </m:rPr>
              <m:t>RuO</m:t>
            </m:r>
          </m:e>
          <m:sub>
            <m:r>
              <m:rPr>
                <m:sty m:val="p"/>
              </m:rPr>
              <m:t>4</m:t>
            </m:r>
          </m:sub>
        </m:sSub>
      </m:oMath>
      <w:r>
        <w:rPr/>
        <w:t xml:space="preserve"> ? Pourquoi est-il plus difficile de conclure dans le cas de </w:t>
      </w:r>
      <m:oMath>
        <m:sSub>
          <m:sSubPr/>
          <m:e>
            <m:r>
              <m:rPr>
                <m:sty m:val="p"/>
              </m:rPr>
              <m:t>RuO</m:t>
            </m:r>
          </m:e>
          <m:sub>
            <m:r>
              <m:rPr>
                <m:sty m:val="p"/>
              </m:rPr>
              <m:t>2</m:t>
            </m:r>
          </m:sub>
        </m:sSub>
      </m:oMath>
      <w:r>
        <w:rPr>
          <w:rFonts w:eastAsia="Georgia" w:cs="Georgia" w:ascii="Georgia" w:hAnsi="Georgia"/>
        </w:rPr>
        <w:t xml:space="preserve"> ? Argumenter à l'aide des données du tableau 1 . La volatilité de </w:t>
      </w:r>
      <m:oMath>
        <m:sSub>
          <m:sSubPr/>
          <m:e>
            <m:r>
              <m:rPr>
                <m:sty m:val="p"/>
              </m:rPr>
              <m:t>RuO</m:t>
            </m:r>
          </m:e>
          <m:sub>
            <m:r>
              <m:rPr>
                <m:sty m:val="p"/>
              </m:rPr>
              <m:t>4</m:t>
            </m:r>
          </m:sub>
        </m:sSub>
      </m:oMath>
      <w:r>
        <w:rPr>
          <w:rFonts w:eastAsia="Georgia" w:cs="Georgia" w:ascii="Georgia" w:hAnsi="Georgia"/>
        </w:rPr>
        <w:t xml:space="preserve"> et sa toxicité justifient les études relatives à la stabilité et à la réactivité de cet oxyde. </w:t>
      </w:r>
      <m:oMath>
        <m:sSub>
          <m:sSubPr/>
          <m:e>
            <m:r>
              <m:rPr>
                <m:sty m:val="p"/>
              </m:rPr>
              <m:t>RuO</m:t>
            </m:r>
          </m:e>
          <m:sub>
            <m:r>
              <m:rPr>
                <m:sty m:val="p"/>
              </m:rPr>
              <m:t>4</m:t>
            </m:r>
          </m:sub>
        </m:sSub>
      </m:oMath>
      <w:r>
        <w:rPr>
          <w:rFonts w:eastAsia="Georgia" w:cs="Georgia" w:ascii="Georgia" w:hAnsi="Georgia"/>
        </w:rPr>
        <w:t xml:space="preserve"> est susceptible de se décomposer en </w:t>
      </w:r>
      <m:oMath>
        <m:sSub>
          <m:sSubPr/>
          <m:e>
            <m:r>
              <m:rPr>
                <m:sty m:val="p"/>
              </m:rPr>
              <m:t>RuO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qui peut se déposer sur les parois de l'enceinte de confinement. L'équation de la réaction modélisant la transformation, de constante d'équilibre </w:t>
      </w:r>
      <m:oMath>
        <m:sSup>
          <m:sSupPr/>
          <m:e>
            <m:r>
              <m:rPr>
                <m:sty m:val="i"/>
              </m:rPr>
              <m:t>K</m:t>
            </m:r>
          </m:e>
          <m:sup>
            <m:r>
              <m:rPr>
                <m:sty m:val="p"/>
              </m:rPr>
              <m:t>∘</m:t>
            </m:r>
          </m:sup>
        </m:sSup>
      </m:oMath>
      <w:r>
        <w:rPr/>
        <w:t xml:space="preserve">, est :</w:t>
      </w:r>
    </w:p>
    <w:p>
      <w:pPr>
        <w:spacing w:after="220" w:lineRule="auto"/>
      </w:pPr>
      <m:oMathPara>
        <m:oMath>
          <m:sSub>
            <m:sSubPr/>
            <m:e>
              <m:r>
                <m:rPr>
                  <m:sty m:val="p"/>
                </m:rPr>
                <m:t>RuO</m:t>
              </m:r>
            </m:e>
            <m:sub>
              <m:r>
                <m:rPr>
                  <m:sty m:val="p"/>
                </m:rPr>
                <m:t>4</m:t>
              </m:r>
              <m:r>
                <m:rPr>
                  <m:sty m:val="p"/>
                </m:rPr>
                <m:t>(</m:t>
              </m:r>
              <m:r>
                <m:rPr>
                  <m:nor/>
                </m:rPr>
                <m:t xml:space="preserve"> </m:t>
              </m:r>
              <m:r>
                <m:rPr>
                  <m:sty m:val="p"/>
                </m:rPr>
                <m:t>g</m:t>
              </m:r>
              <m:r>
                <m:rPr>
                  <m:sty m:val="p"/>
                </m:rPr>
                <m:t>)</m:t>
              </m:r>
            </m:sub>
          </m:sSub>
          <m:r>
            <m:rPr>
              <m:sty m:val="p"/>
            </m:rPr>
            <m:t>=</m:t>
          </m:r>
          <m:sSub>
            <m:sSubPr/>
            <m:e>
              <m:r>
                <m:rPr>
                  <m:sty m:val="p"/>
                </m:rPr>
                <m:t>RuO</m:t>
              </m:r>
            </m:e>
            <m:sub>
              <m:r>
                <m:rPr>
                  <m:sty m:val="p"/>
                </m:rPr>
                <m:t>2</m:t>
              </m:r>
              <m:r>
                <m:rPr>
                  <m:sty m:val="p"/>
                </m:rPr>
                <m:t>(</m:t>
              </m:r>
              <m:r>
                <m:rPr>
                  <m:nor/>
                </m:rPr>
                <m:t xml:space="preserve"> </m:t>
              </m:r>
              <m:r>
                <m:rPr>
                  <m:sty m:val="p"/>
                </m:rPr>
                <m:t>s</m:t>
              </m:r>
              <m:r>
                <m:rPr>
                  <m:sty m:val="p"/>
                </m:rPr>
                <m:t>)</m:t>
              </m:r>
            </m:sub>
          </m:sSub>
          <m:r>
            <m:rPr>
              <m:sty m:val="p"/>
            </m:rPr>
            <m:t>+</m:t>
          </m:r>
          <m:sSub>
            <m:sSubPr/>
            <m:e>
              <m:r>
                <m:rPr>
                  <m:sty m:val="p"/>
                </m:rPr>
                <m:t>O</m:t>
              </m:r>
            </m:e>
            <m:sub>
              <m:r>
                <m:rPr>
                  <m:sty m:val="p"/>
                </m:rPr>
                <m:t>2</m:t>
              </m:r>
              <m:r>
                <m:rPr>
                  <m:sty m:val="p"/>
                </m:rPr>
                <m:t>(</m:t>
              </m:r>
              <m:r>
                <m:rPr>
                  <m:nor/>
                </m:rPr>
                <m:t xml:space="preserve"> </m:t>
              </m:r>
              <m:r>
                <m:rPr>
                  <m:sty m:val="p"/>
                </m:rPr>
                <m:t>g</m:t>
              </m:r>
              <m:r>
                <m:rPr>
                  <m:sty m:val="p"/>
                </m:rPr>
                <m:t>)</m:t>
              </m:r>
            </m:sub>
          </m:sSub>
        </m:oMath>
      </m:oMathPara>
    </w:p>
    <w:p>
      <w:pPr>
        <w:spacing w:after="220" w:lineRule="auto"/>
      </w:pPr>
      <w:r>
        <w:rPr>
          <w:rFonts w:eastAsia="Georgia" w:cs="Georgia" w:ascii="Georgia" w:hAnsi="Georgia"/>
        </w:rPr>
        <w:t xml:space="preserve">Cette réaction suit une cinétique d'ordre 1.</w:t>
      </w:r>
      <w:r>
        <w:rPr/>
        <w:br w:type="textWrapping"/>
      </w:r>
      <w:r>
        <w:rPr>
          <w:rFonts w:eastAsia="Georgia" w:cs="Georgia" w:ascii="Georgia" w:hAnsi="Georgia"/>
        </w:rPr>
        <w:t xml:space="preserve">La dangerosité de </w:t>
      </w:r>
      <m:oMath>
        <m:sSub>
          <m:sSubPr/>
          <m:e>
            <m:r>
              <m:rPr>
                <m:sty m:val="p"/>
              </m:rPr>
              <m:t>RuO</m:t>
            </m:r>
          </m:e>
          <m:sub>
            <m:r>
              <m:rPr>
                <m:sty m:val="p"/>
              </m:rPr>
              <m:t>4</m:t>
            </m:r>
          </m:sub>
        </m:sSub>
        <m:r>
          <m:rPr>
            <m:sty m:val="p"/>
          </m:rPr>
          <m:t>(</m:t>
        </m:r>
        <m:r>
          <m:rPr>
            <m:nor/>
          </m:rPr>
          <m:t xml:space="preserve"> </m:t>
        </m:r>
        <m:r>
          <m:rPr>
            <m:sty m:val="p"/>
          </m:rPr>
          <m:t>g</m:t>
        </m:r>
        <m:r>
          <m:rPr>
            <m:sty m:val="p"/>
          </m:rPr>
          <m:t>)</m:t>
        </m:r>
      </m:oMath>
      <w:r>
        <w:rPr>
          <w:rFonts w:eastAsia="Georgia" w:cs="Georgia" w:ascii="Georgia" w:hAnsi="Georgia"/>
        </w:rPr>
        <w:t xml:space="preserve"> dépend notamment de sa stabilité et de sa vitesse de décomposition.</w:t>
      </w:r>
      <w:r>
        <w:rPr/>
        <w:br w:type="textWrapping"/>
      </w:r>
      <w:r>
        <w:rPr>
          <w:rFonts w:eastAsia="Georgia" w:cs="Georgia" w:ascii="Georgia" w:hAnsi="Georgia"/>
        </w:rPr>
        <w:t xml:space="preserve">II.B.2) La figure 8 donne le tracé de </w:t>
      </w:r>
      <m:oMath>
        <m:r>
          <m:rPr>
            <m:sty m:val="p"/>
          </m:rPr>
          <m:t>ln</m:t>
        </m:r>
        <m:r>
          <m:rPr>
            <m:sty m:val="p"/>
          </m:rPr>
          <m:t>⁡</m:t>
        </m:r>
        <m:d>
          <m:dPr>
            <m:begChr m:val="("/>
            <m:endChr m:val=")"/>
            <m:ctrlPr>
              <w:rPr>
                <w:rFonts w:ascii="Cambria Math" w:hAnsi="Cambria Math"/>
              </w:rPr>
            </m:ctrlPr>
          </m:dPr>
          <m:e>
            <m:sSup>
              <m:sSupPr/>
              <m:e>
                <m:r>
                  <m:rPr>
                    <m:sty m:val="i"/>
                  </m:rPr>
                  <m:t>K</m:t>
                </m:r>
              </m:e>
              <m:sup>
                <m:r>
                  <m:rPr>
                    <m:sty m:val="p"/>
                  </m:rPr>
                  <m:t>∘</m:t>
                </m:r>
              </m:sup>
            </m:sSup>
          </m:e>
        </m:d>
        <m:r>
          <m:rPr>
            <m:sty m:val="p"/>
          </m:rPr>
          <m:t>=</m:t>
        </m:r>
        <m:r>
          <m:rPr>
            <m:sty m:val="i"/>
          </m:rPr>
          <m:t>f</m:t>
        </m:r>
        <m:r>
          <m:rPr>
            <m:sty m:val="p"/>
          </m:rPr>
          <m:t>(</m:t>
        </m:r>
        <m:r>
          <m:rPr>
            <m:sty m:val="p"/>
          </m:rPr>
          <m:t>1</m:t>
        </m:r>
        <m:r>
          <m:rPr>
            <m:sty m:val="p"/>
          </m:rPr>
          <m:t>/</m:t>
        </m:r>
        <m:r>
          <m:rPr>
            <m:sty m:val="i"/>
          </m:rPr>
          <m:t>T</m:t>
        </m:r>
        <m:r>
          <m:rPr>
            <m:sty m:val="p"/>
          </m:rPr>
          <m:t>)</m:t>
        </m:r>
      </m:oMath>
      <w:r>
        <w:rPr>
          <w:rFonts w:eastAsia="Georgia" w:cs="Georgia" w:ascii="Georgia" w:hAnsi="Georgia"/>
        </w:rPr>
        <w:t xml:space="preserve"> dans l'intervalle de température [ </w:t>
      </w:r>
      <m:oMath>
        <m:sSup>
          <m:sSupPr/>
          <m:e>
            <m:r>
              <m:rPr>
                <m:sty m:val="p"/>
              </m:rPr>
              <m:t>50</m:t>
            </m:r>
          </m:e>
          <m:sup>
            <m:r>
              <m:rPr>
                <m:sty m:val="p"/>
              </m:rPr>
              <m:t>∘</m:t>
            </m:r>
          </m:sup>
        </m:sSup>
        <m:r>
          <m:rPr>
            <m:sty m:val="p"/>
          </m:rPr>
          <m:t>C</m:t>
        </m:r>
        <m:r>
          <m:rPr>
            <m:sty m:val="p"/>
          </m:rPr>
          <m:t>,</m:t>
        </m:r>
        <m:sSup>
          <m:sSupPr/>
          <m:e>
            <m:r>
              <m:rPr>
                <m:sty m:val="p"/>
              </m:rPr>
              <m:t>150</m:t>
            </m:r>
          </m:e>
          <m:sup>
            <m:r>
              <m:rPr>
                <m:sty m:val="p"/>
              </m:rPr>
              <m:t>∘</m:t>
            </m:r>
          </m:sup>
        </m:sSup>
        <m:r>
          <m:rPr>
            <m:sty m:val="p"/>
          </m:rPr>
          <m:t>C</m:t>
        </m:r>
      </m:oMath>
      <w:r>
        <w:rPr>
          <w:rFonts w:eastAsia="Georgia" w:cs="Georgia" w:ascii="Georgia" w:hAnsi="Georgia"/>
        </w:rPr>
        <w:t xml:space="preserve"> ] et le tableau 2 les temps de demi-réaction déterminés à plusieurs températures. À partir des informations, déterminer l'enthalpie standard de réaction et l'énergie d'activation (supposées indépendantes de la température) associées à l'équation (II.1). On explicitera soigneusement la démarche suivie.</w:t>
      </w:r>
    </w:p>
    <w:p>
      <w:pPr>
        <w:spacing w:lineRule="auto"/>
        <w:jc w:val="center"/>
      </w:pPr>
      <w:r>
        <w:rPr/>
        <w:drawing>
          <wp:inline distB="0" distL="0" distR="0" distT="0">
            <wp:extent cx="5486400" cy="3069125"/>
            <wp:effectExtent b="0" l="0" r="0" t="0"/>
            <wp:docPr id="8" name="image-1921b54d5b15f3960c2da645c6b68361e873aec6.jpg"/>
            <a:graphic>
              <a:graphicData uri="http://schemas.openxmlformats.org/drawingml/2006/picture">
                <pic:pic>
                  <pic:nvPicPr>
                    <pic:cNvPr id="8" name="image-1921b54d5b15f3960c2da645c6b68361e873aec6.jpg" descr=""/>
                    <pic:cNvPicPr/>
                  </pic:nvPicPr>
                  <pic:blipFill>
                    <a:blip r:embed="rId12" cstate="print"/>
                    <a:srcRect b="0" l="0" r="0" t="0"/>
                    <a:stretch>
                      <a:fillRect/>
                    </a:stretch>
                  </pic:blipFill>
                  <pic:spPr>
                    <a:xfrm>
                      <a:off x="0" y="0"/>
                      <a:ext cx="5486400" cy="3069125"/>
                    </a:xfrm>
                    <a:prstGeom prst="rect"/>
                  </pic:spPr>
                </pic:pic>
              </a:graphicData>
            </a:graphic>
          </wp:inline>
        </w:drawing>
      </w:r>
    </w:p>
    <w:p>
      <w:pPr>
        <w:spacing w:lineRule="auto"/>
      </w:pPr>
      <w:r>
        <w:rPr>
          <w:rFonts w:eastAsia="Georgia" w:cs="Georgia" w:ascii="Georgia" w:hAnsi="Georgia"/>
        </w:rPr>
        <w:t xml:space="preserve">Figure 8 Tracé de </w:t>
      </w:r>
      <m:oMath>
        <m:r>
          <m:rPr>
            <m:sty m:val="p"/>
          </m:rPr>
          <m:t>ln</m:t>
        </m:r>
        <m:r>
          <m:rPr>
            <m:sty m:val="p"/>
          </m:rPr>
          <m:t>⁡</m:t>
        </m:r>
        <m:d>
          <m:dPr>
            <m:begChr m:val="("/>
            <m:endChr m:val=")"/>
            <m:ctrlPr>
              <w:rPr>
                <w:rFonts w:ascii="Cambria Math" w:hAnsi="Cambria Math"/>
              </w:rPr>
            </m:ctrlPr>
          </m:dPr>
          <m:e>
            <m:sSup>
              <m:sSupPr/>
              <m:e>
                <m:r>
                  <m:rPr>
                    <m:sty m:val="i"/>
                  </m:rPr>
                  <m:t>K</m:t>
                </m:r>
              </m:e>
              <m:sup>
                <m:r>
                  <m:rPr>
                    <m:sty m:val="p"/>
                  </m:rPr>
                  <m:t>∘</m:t>
                </m:r>
              </m:sup>
            </m:sSup>
          </m:e>
        </m:d>
        <m:r>
          <m:rPr>
            <m:sty m:val="p"/>
          </m:rPr>
          <m:t>=</m:t>
        </m:r>
        <m:r>
          <m:rPr>
            <m:sty m:val="i"/>
          </m:rPr>
          <m:t>f</m:t>
        </m:r>
        <m:r>
          <m:rPr>
            <m:sty m:val="p"/>
          </m:rPr>
          <m:t>(</m:t>
        </m:r>
        <m:r>
          <m:rPr>
            <m:sty m:val="p"/>
          </m:rPr>
          <m:t>1</m:t>
        </m:r>
        <m:r>
          <m:rPr>
            <m:sty m:val="p"/>
          </m:rPr>
          <m:t>/</m:t>
        </m:r>
        <m:r>
          <m:rPr>
            <m:sty m:val="i"/>
          </m:rPr>
          <m:t>T</m:t>
        </m:r>
        <m:r>
          <m:rPr>
            <m:sty m:val="p"/>
          </m:rPr>
          <m:t>)</m:t>
        </m:r>
      </m:oMath>
      <w:r>
        <w:rPr>
          <w:rFonts w:eastAsia="Georgia" w:cs="Georgia" w:ascii="Georgia" w:hAnsi="Georgia"/>
        </w:rPr>
        <w:t xml:space="preserve"> pour l'équation (II.1)</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w:t>
            </w:r>
            <m:oMath>
              <m:d>
                <m:dPr>
                  <m:begChr m:val="("/>
                  <m:endChr m:val=")"/>
                  <m:ctrlPr>
                    <w:rPr>
                      <w:rFonts w:ascii="Cambria Math" w:hAnsi="Cambria Math"/>
                    </w:rPr>
                  </m:ctrlPr>
                </m:dPr>
                <m:e>
                  <m:sSup>
                    <m:sSupPr/>
                    <m:e>
                      <m:r>
                        <m:t xml:space="preserve"> </m:t>
                      </m:r>
                    </m:e>
                    <m:sup>
                      <m:r>
                        <m:rPr>
                          <m:sty m:val="p"/>
                        </m:rPr>
                        <m:t>∘</m:t>
                      </m:r>
                    </m:sup>
                  </m:sSup>
                  <m:r>
                    <m:rPr>
                      <m:sty m:val="p"/>
                    </m:rPr>
                    <m:t>C</m:t>
                  </m:r>
                </m:e>
              </m:d>
            </m:oMath>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Temps de demi-réaction (h)</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50</w:t>
            </w:r>
          </w:p>
        </w:tc>
        <w:tc>
          <w:tcPr>
            <w:tcBorders>
              <w:bottom w:val="single" w:sz="8" w:space="0" w:color="000000"/>
              <w:right w:val="single" w:sz="8" w:space="0" w:color="000000"/>
            </w:tcBorders>
            <w:vAlign w:val="center"/>
          </w:tcPr>
          <w:p>
            <w:pPr>
              <w:spacing w:lineRule="auto"/>
              <w:jc w:val="center"/>
            </w:pPr>
            <w:r>
              <w:rPr/>
              <w:t xml:space="preserve">7220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12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150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9</m:t>
                </m:r>
                <m:r>
                  <m:rPr>
                    <m:sty m:val="p"/>
                  </m:rPr>
                  <m:t>,</m:t>
                </m:r>
                <m:r>
                  <m:rPr>
                    <m:sty m:val="p"/>
                  </m:rPr>
                  <m:t>6</m:t>
                </m:r>
                <m:r>
                  <m:rPr>
                    <m:sty m:val="p"/>
                  </m:rPr>
                  <m:t>×</m:t>
                </m:r>
                <m:sSup>
                  <m:sSupPr/>
                  <m:e>
                    <m:r>
                      <m:rPr>
                        <m:sty m:val="p"/>
                      </m:rPr>
                      <m:t>10</m:t>
                    </m:r>
                  </m:e>
                  <m:sup>
                    <m:r>
                      <m:rPr>
                        <m:sty m:val="p"/>
                      </m:rPr>
                      <m:t>−</m:t>
                    </m:r>
                    <m:r>
                      <m:rPr>
                        <m:sty m:val="p"/>
                      </m:rPr>
                      <m:t>2</m:t>
                    </m:r>
                  </m:sup>
                </m:sSup>
              </m:oMath>
            </m:oMathPara>
          </w:p>
        </w:tc>
      </w:tr>
    </w:tbl>
    <w:p>
      <w:pPr>
        <w:spacing w:lineRule="auto"/>
      </w:pPr>
    </w:p>
    <w:p>
      <w:pPr>
        <w:spacing w:lineRule="auto"/>
      </w:pPr>
      <w:r>
        <w:rPr/>
        <w:t xml:space="preserve">Tableau 2 Temps de</w:t>
      </w:r>
      <w:r>
        <w:rPr/>
        <w:br w:type="textWrapping"/>
      </w:r>
      <w:r>
        <w:rPr>
          <w:rFonts w:eastAsia="Georgia" w:cs="Georgia" w:ascii="Georgia" w:hAnsi="Georgia"/>
        </w:rPr>
        <w:t xml:space="preserve">demi-réaction pour l'équation (II.1)</w:t>
      </w:r>
    </w:p>
    <w:p>
      <w:pPr>
        <w:spacing w:after="220" w:lineRule="auto"/>
      </w:pPr>
      <w:r>
        <w:rPr>
          <w:rFonts w:eastAsia="Georgia" w:cs="Georgia" w:ascii="Georgia" w:hAnsi="Georgia"/>
        </w:rPr>
        <w:t xml:space="preserve">II.B.3) Discuter de l'influence d'une augmentation de la température sur la stabilité thermodynamique et cinétique de </w:t>
      </w:r>
      <m:oMath>
        <m:sSub>
          <m:sSubPr/>
          <m:e>
            <m:r>
              <m:rPr>
                <m:sty m:val="p"/>
              </m:rPr>
              <m:t>RuO</m:t>
            </m:r>
          </m:e>
          <m:sub>
            <m:r>
              <m:rPr>
                <m:sty m:val="p"/>
              </m:rPr>
              <m:t>4</m:t>
            </m:r>
            <m:r>
              <m:rPr>
                <m:sty m:val="p"/>
              </m:rPr>
              <m:t>(</m:t>
            </m:r>
            <m:r>
              <m:rPr>
                <m:nor/>
              </m:rPr>
              <m:t xml:space="preserve"> </m:t>
            </m:r>
            <m:r>
              <m:rPr>
                <m:sty m:val="p"/>
              </m:rPr>
              <m:t>g</m:t>
            </m:r>
            <m:r>
              <m:rPr>
                <m:sty m:val="p"/>
              </m:rPr>
              <m:t>)</m:t>
            </m:r>
          </m:sub>
        </m:sSub>
      </m:oMath>
      <w:r>
        <w:rPr/>
        <w:t xml:space="preserve">.</w:t>
      </w:r>
    </w:p>
    <w:p>
      <w:pPr>
        <w:spacing w:line="271" w:before="330" w:lineRule="auto"/>
      </w:pPr>
      <w:r>
        <w:rPr>
          <w:rFonts w:eastAsia="Georgia" w:cs="Georgia" w:ascii="Georgia" w:hAnsi="Georgia"/>
          <w:b/>
          <w:sz w:val="42"/>
        </w:rPr>
        <w:t xml:space="preserve">III Surveillance sismique d'un site nucléaire</w:t>
      </w:r>
    </w:p>
    <w:p>
      <w:pPr>
        <w:spacing w:after="220" w:lineRule="auto"/>
      </w:pPr>
      <w:r>
        <w:rPr>
          <w:rFonts w:eastAsia="Georgia" w:cs="Georgia" w:ascii="Georgia" w:hAnsi="Georgia"/>
        </w:rPr>
        <w:t xml:space="preserve">Un sismomètre est destiné à mesurer les mouvements du sol. Il est constitué d'un bâti fixé au sol dans lequel une masse peut osciller en cas de sollicitation sismique. Dans le cas d'un sismomètre classique une bobine solidaire de la masse mobile est plongée dans un champ magnétique ce qui permet de détecter ses mouvements et de mesurer leur vitesse. Pour améliorer la précision, des capteurs optiques peuvent être utilisés. Les plus précis sont les capteurs interférométriques, qui sont plutôt utilisés en laboratoire et servent aussi d'étalon pour les chaines de mesure de déplacement ou de vitesse d'un sismomètre mécanique plus classique. L'objet en mouvement ou le capteur à étalonner est muni d'un réflecteur qui est inclus dans un interféromètre (type Michelson). Le déplacement de l'objet est donc transformé en déplacement de franges d'interférence et un compteur de franges permet de connaitre le déplacement dû aux vibrations avec une très grande précision. Un schéma simplifié de ce genre de dispositif est représenté sur la figure 9 où </w:t>
      </w:r>
      <m:oMath>
        <m:r>
          <m:rPr>
            <m:sty m:val="i"/>
          </m:rPr>
          <m:t>O</m:t>
        </m:r>
      </m:oMath>
      <w:r>
        <w:rPr/>
        <w:t xml:space="preserve"> est un point fixe du laboratoire et </w:t>
      </w:r>
      <m:oMath>
        <m:sSup>
          <m:sSupPr/>
          <m:e>
            <m:r>
              <m:rPr>
                <m:sty m:val="i"/>
              </m:rPr>
              <m:t>O</m:t>
            </m:r>
          </m:e>
          <m:sup>
            <m:r>
              <m:rPr>
                <m:sty m:val="i"/>
              </m:rPr>
              <m:t>′</m:t>
            </m:r>
          </m:sup>
        </m:sSup>
      </m:oMath>
      <w:r>
        <w:rPr>
          <w:rFonts w:eastAsia="Georgia" w:cs="Georgia" w:ascii="Georgia" w:hAnsi="Georgia"/>
        </w:rPr>
        <w:t xml:space="preserve"> est lié à la table.</w:t>
      </w:r>
    </w:p>
    <w:p>
      <w:pPr>
        <w:spacing w:lineRule="auto"/>
        <w:jc w:val="center"/>
      </w:pPr>
      <w:r>
        <w:rPr/>
        <w:drawing>
          <wp:inline distB="0" distL="0" distR="0" distT="0">
            <wp:extent cx="5486400" cy="2849246"/>
            <wp:effectExtent b="0" l="0" r="0" t="0"/>
            <wp:docPr id="9" name="image-816c0cdc817d0567149d4a059ef016b4bec06ee4.jpg"/>
            <a:graphic>
              <a:graphicData uri="http://schemas.openxmlformats.org/drawingml/2006/picture">
                <pic:pic>
                  <pic:nvPicPr>
                    <pic:cNvPr id="9" name="image-816c0cdc817d0567149d4a059ef016b4bec06ee4.jpg" descr=""/>
                    <pic:cNvPicPr/>
                  </pic:nvPicPr>
                  <pic:blipFill>
                    <a:blip r:embed="rId13" cstate="print"/>
                    <a:srcRect b="0" l="0" r="0" t="0"/>
                    <a:stretch>
                      <a:fillRect/>
                    </a:stretch>
                  </pic:blipFill>
                  <pic:spPr>
                    <a:xfrm>
                      <a:off x="0" y="0"/>
                      <a:ext cx="5486400" cy="2849246"/>
                    </a:xfrm>
                    <a:prstGeom prst="rect"/>
                  </pic:spPr>
                </pic:pic>
              </a:graphicData>
            </a:graphic>
          </wp:inline>
        </w:drawing>
      </w:r>
    </w:p>
    <w:p>
      <w:pPr>
        <w:spacing w:lineRule="auto"/>
      </w:pPr>
      <w:r>
        <w:rPr>
          <w:rFonts w:eastAsia="Georgia" w:cs="Georgia" w:ascii="Georgia" w:hAnsi="Georgia"/>
        </w:rPr>
        <w:t xml:space="preserve">Figure 9 Interféromètre de Michelson dans un sismomètre optique</w:t>
      </w:r>
    </w:p>
    <w:p>
      <w:pPr>
        <w:spacing w:after="220" w:lineRule="auto"/>
      </w:pPr>
      <w:r>
        <w:rPr>
          <w:rFonts w:eastAsia="Georgia" w:cs="Georgia" w:ascii="Georgia" w:hAnsi="Georgia"/>
        </w:rPr>
        <w:t xml:space="preserve">La lame séparatrice </w:t>
      </w:r>
      <m:oMath>
        <m:r>
          <m:rPr>
            <m:sty m:val="p"/>
          </m:rPr>
          <m:t>(</m:t>
        </m:r>
        <m:r>
          <m:rPr>
            <m:sty m:val="p"/>
          </m:rPr>
          <m:t>Sp</m:t>
        </m:r>
        <m:r>
          <m:rPr>
            <m:sty m:val="p"/>
          </m:rPr>
          <m:t>)</m:t>
        </m:r>
      </m:oMath>
      <w:r>
        <w:rPr>
          <w:rFonts w:eastAsia="Georgia" w:cs="Georgia" w:ascii="Georgia" w:hAnsi="Georgia"/>
        </w:rPr>
        <w:t xml:space="preserve"> a un facteur de réflexion en énergie égal à </w:t>
      </w:r>
      <m:oMath>
        <m:r>
          <m:rPr>
            <m:sty m:val="p"/>
          </m:rPr>
          <m:t>1</m:t>
        </m:r>
        <m:r>
          <m:rPr>
            <m:sty m:val="p"/>
          </m:rPr>
          <m:t>/</m:t>
        </m:r>
        <m:r>
          <m:rPr>
            <m:sty m:val="p"/>
          </m:rPr>
          <m:t>2</m:t>
        </m:r>
      </m:oMath>
      <w:r>
        <w:rPr>
          <w:rFonts w:eastAsia="Georgia" w:cs="Georgia" w:ascii="Georgia" w:hAnsi="Georgia"/>
        </w:rPr>
        <w:t xml:space="preserve"> et un facteur de transmission en énergie égal à </w:t>
      </w:r>
      <m:oMath>
        <m:r>
          <m:rPr>
            <m:sty m:val="p"/>
          </m:rPr>
          <m:t>1</m:t>
        </m:r>
        <m:r>
          <m:rPr>
            <m:sty m:val="p"/>
          </m:rPr>
          <m:t>/</m:t>
        </m:r>
        <m:r>
          <m:rPr>
            <m:sty m:val="p"/>
          </m:rPr>
          <m:t>2</m:t>
        </m:r>
      </m:oMath>
      <w:r>
        <w:rPr>
          <w:rFonts w:eastAsia="Georgia" w:cs="Georgia" w:ascii="Georgia" w:hAnsi="Georgia"/>
        </w:rPr>
        <w:t xml:space="preserve"> également. Elle est supposée infiniment fine (compensée par une lame compensatrice adéquate). Le dispositif est éclairé par un laser hélium-néon : la lumière issue de ce laser est assimilée à une onde plane monochromatique de longueur d'onde </w:t>
      </w:r>
      <m:oMath>
        <m:r>
          <m:rPr>
            <m:sty m:val="i"/>
          </m:rPr>
          <m:t>λ</m:t>
        </m:r>
      </m:oMath>
      <w:r>
        <w:rPr/>
        <w:t xml:space="preserve">, se propageant selon ( </w:t>
      </w:r>
      <m:oMath>
        <m:r>
          <m:rPr>
            <m:sty m:val="i"/>
          </m:rPr>
          <m:t>O</m:t>
        </m:r>
        <m:r>
          <m:rPr>
            <m:sty m:val="i"/>
          </m:rPr>
          <m:t>x</m:t>
        </m:r>
      </m:oMath>
      <w:r>
        <w:rPr>
          <w:rFonts w:eastAsia="Georgia" w:cs="Georgia" w:ascii="Georgia" w:hAnsi="Georgia"/>
        </w:rPr>
        <w:t xml:space="preserve"> ). L'interféromètre est fixé sur une table horizontale. Le miroir ( </w:t>
      </w:r>
      <m:oMath>
        <m:sSub>
          <m:sSubPr/>
          <m:e>
            <m:r>
              <m:rPr>
                <m:sty m:val="i"/>
              </m:rPr>
              <m:t>M</m:t>
            </m:r>
          </m:e>
          <m:sub>
            <m:r>
              <m:rPr>
                <m:sty m:val="p"/>
              </m:rPr>
              <m:t>2</m:t>
            </m:r>
          </m:sub>
        </m:sSub>
      </m:oMath>
      <w:r>
        <w:rPr>
          <w:rFonts w:eastAsia="Georgia" w:cs="Georgia" w:ascii="Georgia" w:hAnsi="Georgia"/>
        </w:rPr>
        <w:t xml:space="preserve"> ) est fixe par rapport à cette table alors que le miroir ( </w:t>
      </w:r>
      <m:oMath>
        <m:sSub>
          <m:sSubPr/>
          <m:e>
            <m:r>
              <m:rPr>
                <m:sty m:val="i"/>
              </m:rPr>
              <m:t>M</m:t>
            </m:r>
          </m:e>
          <m:sub>
            <m:r>
              <m:rPr>
                <m:sty m:val="p"/>
              </m:rPr>
              <m:t>1</m:t>
            </m:r>
          </m:sub>
        </m:sSub>
      </m:oMath>
      <w:r>
        <w:rPr>
          <w:rFonts w:eastAsia="Georgia" w:cs="Georgia" w:ascii="Georgia" w:hAnsi="Georgia"/>
        </w:rPr>
        <w:t xml:space="preserve"> ) est libre de se déplacer le long de l'axe ( </w:t>
      </w:r>
      <m:oMath>
        <m:r>
          <m:rPr>
            <m:sty m:val="i"/>
          </m:rPr>
          <m:t>O</m:t>
        </m:r>
        <m:r>
          <m:rPr>
            <m:sty m:val="i"/>
          </m:rPr>
          <m:t>x</m:t>
        </m:r>
      </m:oMath>
      <w:r>
        <w:rPr/>
        <w:t xml:space="preserve"> ). Les deux miroirs ( </w:t>
      </w:r>
      <m:oMath>
        <m:sSub>
          <m:sSubPr/>
          <m:e>
            <m:r>
              <m:rPr>
                <m:sty m:val="i"/>
              </m:rPr>
              <m:t>M</m:t>
            </m:r>
          </m:e>
          <m:sub>
            <m:r>
              <m:rPr>
                <m:sty m:val="p"/>
              </m:rPr>
              <m:t>1</m:t>
            </m:r>
          </m:sub>
        </m:sSub>
      </m:oMath>
      <w:r>
        <w:rPr/>
        <w:t xml:space="preserve"> ) et ( </w:t>
      </w:r>
      <m:oMath>
        <m:sSub>
          <m:sSubPr/>
          <m:e>
            <m:r>
              <m:rPr>
                <m:sty m:val="i"/>
              </m:rPr>
              <m:t>M</m:t>
            </m:r>
          </m:e>
          <m:sub>
            <m:r>
              <m:rPr>
                <m:sty m:val="p"/>
              </m:rPr>
              <m:t>2</m:t>
            </m:r>
          </m:sub>
        </m:sSub>
      </m:oMath>
      <w:r>
        <w:rPr/>
        <w:t xml:space="preserve"> ) forment un angle de </w:t>
      </w:r>
      <m:oMath>
        <m:r>
          <m:rPr>
            <m:sty m:val="i"/>
          </m:rPr>
          <m:t>π</m:t>
        </m:r>
        <m:r>
          <m:rPr>
            <m:sty m:val="p"/>
          </m:rPr>
          <m:t>/</m:t>
        </m:r>
        <m:r>
          <m:rPr>
            <m:sty m:val="p"/>
          </m:rPr>
          <m:t>2</m:t>
        </m:r>
      </m:oMath>
      <w:r>
        <w:rPr/>
        <w:t xml:space="preserve">. On note ( </w:t>
      </w:r>
      <m:oMath>
        <m:sSubSup>
          <m:sSubSupPr/>
          <m:e>
            <m:r>
              <m:rPr>
                <m:sty m:val="i"/>
              </m:rPr>
              <m:t>M</m:t>
            </m:r>
          </m:e>
          <m:sub>
            <m:r>
              <m:rPr>
                <m:sty m:val="p"/>
              </m:rPr>
              <m:t>2</m:t>
            </m:r>
          </m:sub>
          <m:sup>
            <m:r>
              <m:rPr>
                <m:sty m:val="i"/>
              </m:rPr>
              <m:t>′</m:t>
            </m:r>
          </m:sup>
        </m:sSubSup>
      </m:oMath>
      <w:r>
        <w:rPr>
          <w:rFonts w:eastAsia="Georgia" w:cs="Georgia" w:ascii="Georgia" w:hAnsi="Georgia"/>
        </w:rPr>
        <w:t xml:space="preserve"> ) le symétrique du miroir ( </w:t>
      </w:r>
      <m:oMath>
        <m:sSub>
          <m:sSubPr/>
          <m:e>
            <m:r>
              <m:rPr>
                <m:sty m:val="i"/>
              </m:rPr>
              <m:t>M</m:t>
            </m:r>
          </m:e>
          <m:sub>
            <m:r>
              <m:rPr>
                <m:sty m:val="p"/>
              </m:rPr>
              <m:t>2</m:t>
            </m:r>
          </m:sub>
        </m:sSub>
      </m:oMath>
      <w:r>
        <w:rPr>
          <w:rFonts w:eastAsia="Georgia" w:cs="Georgia" w:ascii="Georgia" w:hAnsi="Georgia"/>
        </w:rPr>
        <w:t xml:space="preserve"> ) par rapport à la séparatrice ( Sp ).</w:t>
      </w:r>
      <w:r>
        <w:rPr/>
        <w:br w:type="textWrapping"/>
      </w:r>
      <w:r>
        <w:rPr/>
        <w:t xml:space="preserve">La position de la table, suivant l'axe ( </w:t>
      </w:r>
      <m:oMath>
        <m:r>
          <m:rPr>
            <m:sty m:val="i"/>
          </m:rPr>
          <m:t>O</m:t>
        </m:r>
        <m:r>
          <m:rPr>
            <m:sty m:val="i"/>
          </m:rPr>
          <m:t>x</m:t>
        </m:r>
      </m:oMath>
      <w:r>
        <w:rPr>
          <w:rFonts w:eastAsia="Georgia" w:cs="Georgia" w:ascii="Georgia" w:hAnsi="Georgia"/>
        </w:rPr>
        <w:t xml:space="preserve"> ), par rapport au laboratoire est repérée par l'abscisse </w:t>
      </w:r>
      <m:oMath>
        <m:r>
          <m:rPr>
            <m:sty m:val="i"/>
          </m:rPr>
          <m:t>x</m:t>
        </m:r>
        <m:r>
          <m:rPr>
            <m:sty m:val="p"/>
          </m:rPr>
          <m:t>(</m:t>
        </m:r>
        <m:r>
          <m:rPr>
            <m:sty m:val="i"/>
          </m:rPr>
          <m:t>t</m:t>
        </m:r>
        <m:r>
          <m:rPr>
            <m:sty m:val="p"/>
          </m:rPr>
          <m:t>)</m:t>
        </m:r>
      </m:oMath>
      <w:r>
        <w:rPr/>
        <w:t xml:space="preserve"> de ( </w:t>
      </w:r>
      <m:oMath>
        <m:sSubSup>
          <m:sSubSupPr/>
          <m:e>
            <m:r>
              <m:rPr>
                <m:sty m:val="i"/>
              </m:rPr>
              <m:t>M</m:t>
            </m:r>
          </m:e>
          <m:sub>
            <m:r>
              <m:rPr>
                <m:sty m:val="p"/>
              </m:rPr>
              <m:t>2</m:t>
            </m:r>
          </m:sub>
          <m:sup>
            <m:r>
              <m:rPr>
                <m:sty m:val="i"/>
              </m:rPr>
              <m:t>′</m:t>
            </m:r>
          </m:sup>
        </m:sSubSup>
      </m:oMath>
      <w:r>
        <w:rPr/>
        <w:t xml:space="preserve"> ). Au repos, en l'absence de vibration de la table, cette abscisse vaut </w:t>
      </w:r>
      <m:oMath>
        <m:sSub>
          <m:sSubPr/>
          <m:e>
            <m:r>
              <m:rPr>
                <m:sty m:val="i"/>
              </m:rPr>
              <m:t>X</m:t>
            </m:r>
          </m:e>
          <m:sub>
            <m:r>
              <m:rPr>
                <m:sty m:val="p"/>
              </m:rPr>
              <m:t>0</m:t>
            </m:r>
          </m:sub>
        </m:sSub>
      </m:oMath>
      <w:r>
        <w:rPr/>
        <w:t xml:space="preserve"> et le miroir ( </w:t>
      </w:r>
      <m:oMath>
        <m:sSub>
          <m:sSubPr/>
          <m:e>
            <m:r>
              <m:rPr>
                <m:sty m:val="i"/>
              </m:rPr>
              <m:t>M</m:t>
            </m:r>
          </m:e>
          <m:sub>
            <m:r>
              <m:rPr>
                <m:sty m:val="p"/>
              </m:rPr>
              <m:t>1</m:t>
            </m:r>
          </m:sub>
        </m:sSub>
      </m:oMath>
      <w:r>
        <w:rPr>
          <w:rFonts w:eastAsia="Georgia" w:cs="Georgia" w:ascii="Georgia" w:hAnsi="Georgia"/>
        </w:rPr>
        <w:t xml:space="preserve"> ) est situé en </w:t>
      </w:r>
      <m:oMath>
        <m:sSub>
          <m:sSubPr/>
          <m:e>
            <m:r>
              <m:rPr>
                <m:sty m:val="i"/>
              </m:rPr>
              <m:t>A</m:t>
            </m:r>
          </m:e>
          <m:sub>
            <m:r>
              <m:rPr>
                <m:sty m:val="p"/>
              </m:rPr>
              <m:t>0</m:t>
            </m:r>
          </m:sub>
        </m:sSub>
      </m:oMath>
      <w:r>
        <w:rPr>
          <w:rFonts w:eastAsia="Georgia" w:cs="Georgia" w:ascii="Georgia" w:hAnsi="Georgia"/>
        </w:rPr>
        <w:t xml:space="preserve"> (point fixe dans le référentiel de la table) à une distance </w:t>
      </w:r>
      <m:oMath>
        <m:sSub>
          <m:sSubPr/>
          <m:e>
            <m:r>
              <m:rPr>
                <m:sty m:val="i"/>
              </m:rPr>
              <m:t>d</m:t>
            </m:r>
          </m:e>
          <m:sub>
            <m:r>
              <m:rPr>
                <m:sty m:val="p"/>
              </m:rPr>
              <m:t>0</m:t>
            </m:r>
          </m:sub>
        </m:sSub>
      </m:oMath>
      <w:r>
        <w:rPr/>
        <w:t xml:space="preserve"> de ( </w:t>
      </w:r>
      <m:oMath>
        <m:sSubSup>
          <m:sSubSupPr/>
          <m:e>
            <m:r>
              <m:rPr>
                <m:sty m:val="i"/>
              </m:rPr>
              <m:t>M</m:t>
            </m:r>
          </m:e>
          <m:sub>
            <m:r>
              <m:rPr>
                <m:sty m:val="p"/>
              </m:rPr>
              <m:t>2</m:t>
            </m:r>
          </m:sub>
          <m:sup>
            <m:r>
              <m:rPr>
                <m:sty m:val="i"/>
              </m:rPr>
              <m:t>′</m:t>
            </m:r>
          </m:sup>
        </m:sSubSup>
      </m:oMath>
      <w:r>
        <w:rPr/>
        <w:t xml:space="preserve"> ).</w:t>
      </w:r>
      <w:r>
        <w:rPr/>
        <w:br w:type="textWrapping"/>
      </w:r>
      <w:r>
        <w:rPr>
          <w:rFonts w:eastAsia="Georgia" w:cs="Georgia" w:ascii="Georgia" w:hAnsi="Georgia"/>
        </w:rPr>
        <w:t xml:space="preserve">On impose à la table une vibration sinusoïdale dans la direction ( </w:t>
      </w:r>
      <m:oMath>
        <m:r>
          <m:rPr>
            <m:sty m:val="i"/>
          </m:rPr>
          <m:t>O</m:t>
        </m:r>
        <m:r>
          <m:rPr>
            <m:sty m:val="i"/>
          </m:rPr>
          <m:t>x</m:t>
        </m:r>
      </m:oMath>
      <w:r>
        <w:rPr/>
        <w:t xml:space="preserve"> ), d'amplitude </w:t>
      </w:r>
      <m:oMath>
        <m:sSub>
          <m:sSubPr/>
          <m:e>
            <m:r>
              <m:rPr>
                <m:sty m:val="i"/>
              </m:rPr>
              <m:t>X</m:t>
            </m:r>
          </m:e>
          <m:sub>
            <m:r>
              <m:rPr>
                <m:sty m:val="i"/>
              </m:rPr>
              <m:t>M</m:t>
            </m:r>
          </m:sub>
        </m:sSub>
      </m:oMath>
      <w:r>
        <w:rPr/>
        <w:t xml:space="preserve"> et de pulsation </w:t>
      </w:r>
      <m:oMath>
        <m:r>
          <m:rPr>
            <m:sty m:val="i"/>
          </m:rPr>
          <m:t>ω</m:t>
        </m:r>
      </m:oMath>
      <w:r>
        <w:rPr>
          <w:rFonts w:eastAsia="Georgia" w:cs="Georgia" w:ascii="Georgia" w:hAnsi="Georgia"/>
        </w:rPr>
        <w:t xml:space="preserve">. Cette vibration provoque un déplacement </w:t>
      </w:r>
      <m:oMath>
        <m:r>
          <m:rPr>
            <m:sty m:val="i"/>
          </m:rPr>
          <m:t>y</m:t>
        </m:r>
        <m:r>
          <m:rPr>
            <m:sty m:val="p"/>
          </m:rPr>
          <m:t>(</m:t>
        </m:r>
        <m:r>
          <m:rPr>
            <m:sty m:val="i"/>
          </m:rPr>
          <m:t>t</m:t>
        </m:r>
        <m:r>
          <m:rPr>
            <m:sty m:val="p"/>
          </m:rPr>
          <m:t>)</m:t>
        </m:r>
        <m:r>
          <m:rPr>
            <m:sty m:val="p"/>
          </m:rPr>
          <m:t>=</m:t>
        </m:r>
        <m:sSub>
          <m:sSubPr/>
          <m:e>
            <m:r>
              <m:rPr>
                <m:sty m:val="i"/>
              </m:rPr>
              <m:t>Y</m:t>
            </m:r>
          </m:e>
          <m:sub>
            <m:r>
              <m:rPr>
                <m:sty m:val="i"/>
              </m:rPr>
              <m:t>M</m:t>
            </m:r>
          </m:sub>
        </m:sSub>
        <m:r>
          <m:rPr>
            <m:sty m:val="p"/>
          </m:rPr>
          <m:t>cos</m:t>
        </m:r>
        <m:r>
          <m:rPr>
            <m:sty m:val="p"/>
          </m:rPr>
          <m:t>⁡</m:t>
        </m:r>
        <m:r>
          <m:rPr>
            <m:sty m:val="p"/>
          </m:rPr>
          <m:t>(</m:t>
        </m:r>
        <m:r>
          <m:rPr>
            <m:sty m:val="i"/>
          </m:rPr>
          <m:t>ω</m:t>
        </m:r>
        <m:r>
          <m:rPr>
            <m:sty m:val="i"/>
          </m:rPr>
          <m:t>t</m:t>
        </m:r>
        <m:r>
          <m:rPr>
            <m:sty m:val="p"/>
          </m:rPr>
          <m:t>)</m:t>
        </m:r>
      </m:oMath>
      <w:r>
        <w:rPr/>
        <w:t xml:space="preserve"> du miroir ( </w:t>
      </w:r>
      <m:oMath>
        <m:sSub>
          <m:sSubPr/>
          <m:e>
            <m:r>
              <m:rPr>
                <m:sty m:val="i"/>
              </m:rPr>
              <m:t>M</m:t>
            </m:r>
          </m:e>
          <m:sub>
            <m:r>
              <m:rPr>
                <m:sty m:val="p"/>
              </m:rPr>
              <m:t>1</m:t>
            </m:r>
          </m:sub>
        </m:sSub>
      </m:oMath>
      <w:r>
        <w:rPr>
          <w:rFonts w:eastAsia="Georgia" w:cs="Georgia" w:ascii="Georgia" w:hAnsi="Georgia"/>
        </w:rPr>
        <w:t xml:space="preserve"> ) par rapport à la table. On admet que la connaissance de </w:t>
      </w:r>
      <m:oMath>
        <m:r>
          <m:rPr>
            <m:sty m:val="i"/>
          </m:rPr>
          <m:t>y</m:t>
        </m:r>
        <m:r>
          <m:rPr>
            <m:sty m:val="p"/>
          </m:rPr>
          <m:t>(</m:t>
        </m:r>
        <m:r>
          <m:rPr>
            <m:sty m:val="i"/>
          </m:rPr>
          <m:t>t</m:t>
        </m:r>
        <m:r>
          <m:rPr>
            <m:sty m:val="p"/>
          </m:rPr>
          <m:t>)</m:t>
        </m:r>
      </m:oMath>
      <w:r>
        <w:rPr>
          <w:rFonts w:eastAsia="Georgia" w:cs="Georgia" w:ascii="Georgia" w:hAnsi="Georgia"/>
        </w:rPr>
        <w:t xml:space="preserve"> permet de déterminer </w:t>
      </w:r>
      <m:oMath>
        <m:r>
          <m:rPr>
            <m:sty m:val="i"/>
          </m:rPr>
          <m:t>x</m:t>
        </m:r>
        <m:r>
          <m:rPr>
            <m:sty m:val="p"/>
          </m:rPr>
          <m:t>(</m:t>
        </m:r>
        <m:r>
          <m:rPr>
            <m:sty m:val="i"/>
          </m:rPr>
          <m:t>t</m:t>
        </m:r>
        <m:r>
          <m:rPr>
            <m:sty m:val="p"/>
          </m:rPr>
          <m:t>)</m:t>
        </m:r>
      </m:oMath>
      <w:r>
        <w:rPr>
          <w:rFonts w:eastAsia="Georgia" w:cs="Georgia" w:ascii="Georgia" w:hAnsi="Georgia"/>
        </w:rPr>
        <w:t xml:space="preserve">. L'objectif de cette partie est de déterminer </w:t>
      </w:r>
      <m:oMath>
        <m:sSub>
          <m:sSubPr/>
          <m:e>
            <m:r>
              <m:rPr>
                <m:sty m:val="i"/>
              </m:rPr>
              <m:t>Y</m:t>
            </m:r>
          </m:e>
          <m:sub>
            <m:r>
              <m:rPr>
                <m:sty m:val="i"/>
              </m:rPr>
              <m:t>M</m:t>
            </m:r>
          </m:sub>
        </m:sSub>
      </m:oMath>
      <w:r>
        <w:rPr>
          <w:rFonts w:eastAsia="Georgia" w:cs="Georgia" w:ascii="Georgia" w:hAnsi="Georgia"/>
        </w:rPr>
        <w:t xml:space="preserve"> (on ne cherchera pas à établir le lien entre </w:t>
      </w:r>
      <m:oMath>
        <m:sSub>
          <m:sSubPr/>
          <m:e>
            <m:r>
              <m:rPr>
                <m:sty m:val="i"/>
              </m:rPr>
              <m:t>Y</m:t>
            </m:r>
          </m:e>
          <m:sub>
            <m:r>
              <m:rPr>
                <m:sty m:val="i"/>
              </m:rPr>
              <m:t>M</m:t>
            </m:r>
          </m:sub>
        </m:sSub>
      </m:oMath>
      <w:r>
        <w:rPr/>
        <w:t xml:space="preserve"> et </w:t>
      </w:r>
      <m:oMath>
        <m:sSub>
          <m:sSubPr/>
          <m:e>
            <m:r>
              <m:rPr>
                <m:sty m:val="i"/>
              </m:rPr>
              <m:t>X</m:t>
            </m:r>
          </m:e>
          <m:sub>
            <m:r>
              <m:rPr>
                <m:sty m:val="i"/>
              </m:rPr>
              <m:t>M</m:t>
            </m:r>
          </m:sub>
        </m:sSub>
      </m:oMath>
      <w:r>
        <w:rPr/>
        <w:t xml:space="preserve"> ).</w:t>
      </w:r>
      <w:r>
        <w:rPr/>
        <w:br w:type="textWrapping"/>
      </w:r>
      <w:r>
        <w:rPr/>
        <w:t xml:space="preserve">III. </w:t>
      </w:r>
      <m:oMath>
        <m:r>
          <m:rPr>
            <m:sty m:val="bi"/>
          </m:rPr>
          <m:t>A</m:t>
        </m:r>
      </m:oMath>
      <w:r>
        <w:rPr>
          <w:rFonts w:eastAsia="Georgia" w:cs="Georgia" w:ascii="Georgia" w:hAnsi="Georgia"/>
        </w:rPr>
        <w:t xml:space="preserve"> - Exprimer la différence de marche </w:t>
      </w:r>
      <m:oMath>
        <m:r>
          <m:rPr>
            <m:sty m:val="i"/>
          </m:rPr>
          <m:t>δ</m:t>
        </m:r>
        <m:r>
          <m:rPr>
            <m:sty m:val="p"/>
          </m:rPr>
          <m:t>(</m:t>
        </m:r>
        <m:r>
          <m:rPr>
            <m:sty m:val="i"/>
          </m:rPr>
          <m:t>t</m:t>
        </m:r>
        <m:r>
          <m:rPr>
            <m:sty m:val="p"/>
          </m:rPr>
          <m:t>)</m:t>
        </m:r>
      </m:oMath>
      <w:r>
        <w:rPr>
          <w:rFonts w:eastAsia="Georgia" w:cs="Georgia" w:ascii="Georgia" w:hAnsi="Georgia"/>
        </w:rPr>
        <w:t xml:space="preserve"> entre l'onde lumineuse reçue par le photodétecteur et ayant été réfléchie par le miroir ( </w:t>
      </w:r>
      <m:oMath>
        <m:sSub>
          <m:sSubPr/>
          <m:e>
            <m:r>
              <m:rPr>
                <m:sty m:val="i"/>
              </m:rPr>
              <m:t>M</m:t>
            </m:r>
          </m:e>
          <m:sub>
            <m:r>
              <m:rPr>
                <m:sty m:val="p"/>
              </m:rPr>
              <m:t>2</m:t>
            </m:r>
          </m:sub>
        </m:sSub>
      </m:oMath>
      <w:r>
        <w:rPr>
          <w:rFonts w:eastAsia="Georgia" w:cs="Georgia" w:ascii="Georgia" w:hAnsi="Georgia"/>
        </w:rPr>
        <w:t xml:space="preserve"> ) et l'onde ayant été réfléchie par le miroir ( </w:t>
      </w:r>
      <m:oMath>
        <m:sSub>
          <m:sSubPr/>
          <m:e>
            <m:r>
              <m:rPr>
                <m:sty m:val="i"/>
              </m:rPr>
              <m:t>M</m:t>
            </m:r>
          </m:e>
          <m:sub>
            <m:r>
              <m:rPr>
                <m:sty m:val="p"/>
              </m:rPr>
              <m:t>1</m:t>
            </m:r>
          </m:sub>
        </m:sSub>
      </m:oMath>
      <w:r>
        <w:rPr/>
        <w:t xml:space="preserve"> ).</w:t>
      </w:r>
      <w:r>
        <w:rPr/>
        <w:br w:type="textWrapping"/>
      </w:r>
      <w:r>
        <w:rPr>
          <w:rFonts w:eastAsia="Georgia" w:cs="Georgia" w:ascii="Georgia" w:hAnsi="Georgia"/>
        </w:rPr>
        <w:t xml:space="preserve">III. B - Le photodétecteur délivre un courant d'intensité </w:t>
      </w:r>
      <m:oMath>
        <m:r>
          <m:rPr>
            <m:sty m:val="i"/>
          </m:rPr>
          <m:t>I</m:t>
        </m:r>
        <m:r>
          <m:rPr>
            <m:sty m:val="p"/>
          </m:rPr>
          <m:t>(</m:t>
        </m:r>
        <m:r>
          <m:rPr>
            <m:sty m:val="i"/>
          </m:rPr>
          <m:t>t</m:t>
        </m:r>
        <m:r>
          <m:rPr>
            <m:sty m:val="p"/>
          </m:rPr>
          <m:t>)</m:t>
        </m:r>
      </m:oMath>
      <w:r>
        <w:rPr>
          <w:rFonts w:eastAsia="Georgia" w:cs="Georgia" w:ascii="Georgia" w:hAnsi="Georgia"/>
        </w:rPr>
        <w:t xml:space="preserve"> proportionnelle à la puissance lumineuse reçue. Montrer que </w:t>
      </w:r>
      <m:oMath>
        <m:r>
          <m:rPr>
            <m:sty m:val="i"/>
          </m:rPr>
          <m:t>I</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sSub>
          <m:sSubPr/>
          <m:e>
            <m:r>
              <m:rPr>
                <m:sty m:val="i"/>
              </m:rPr>
              <m:t>I</m:t>
            </m:r>
          </m:e>
          <m:sub>
            <m:r>
              <m:rPr>
                <m:sty m:val="p"/>
              </m:rPr>
              <m:t>max</m:t>
            </m:r>
          </m:sub>
        </m:sSub>
        <m:r>
          <m:rPr>
            <m:sty m:val="p"/>
          </m:rPr>
          <m:t>(</m:t>
        </m:r>
        <m:r>
          <m:rPr>
            <m:sty m:val="p"/>
          </m:rPr>
          <m:t>1</m:t>
        </m:r>
        <m:r>
          <m:rPr>
            <m:sty m:val="p"/>
          </m:rPr>
          <m:t>+</m:t>
        </m:r>
        <m:r>
          <m:rPr>
            <m:sty m:val="p"/>
          </m:rPr>
          <m:t>cos</m:t>
        </m:r>
        <m:r>
          <m:rPr>
            <m:sty m:val="p"/>
          </m:rPr>
          <m:t>⁡</m:t>
        </m:r>
        <m:r>
          <m:rPr>
            <m:sty m:val="p"/>
          </m:rPr>
          <m:t>(</m:t>
        </m:r>
        <m:r>
          <m:rPr>
            <m:sty m:val="i"/>
          </m:rPr>
          <m:t>ϕ</m:t>
        </m:r>
        <m:r>
          <m:rPr>
            <m:sty m:val="p"/>
          </m:rPr>
          <m:t>(</m:t>
        </m:r>
        <m:r>
          <m:rPr>
            <m:sty m:val="i"/>
          </m:rPr>
          <m:t>t</m:t>
        </m:r>
        <m:r>
          <m:rPr>
            <m:sty m:val="p"/>
          </m:rPr>
          <m:t>)</m:t>
        </m:r>
        <m:r>
          <m:rPr>
            <m:sty m:val="p"/>
          </m:rPr>
          <m:t>)</m:t>
        </m:r>
        <m:r>
          <m:rPr>
            <m:sty m:val="p"/>
          </m:rPr>
          <m:t>)</m:t>
        </m:r>
      </m:oMath>
      <w:r>
        <w:rPr/>
        <w:t xml:space="preserve">, avec </w:t>
      </w:r>
      <m:oMath>
        <m:r>
          <m:rPr>
            <m:sty m:val="i"/>
          </m:rPr>
          <m:t>ϕ</m:t>
        </m:r>
        <m:r>
          <m:rPr>
            <m:sty m:val="p"/>
          </m:rPr>
          <m:t>(</m:t>
        </m:r>
        <m:r>
          <m:rPr>
            <m:sty m:val="i"/>
          </m:rPr>
          <m:t>t</m:t>
        </m:r>
        <m:r>
          <m:rPr>
            <m:sty m:val="p"/>
          </m:rPr>
          <m:t>)</m:t>
        </m:r>
        <m:r>
          <m:rPr>
            <m:sty m:val="p"/>
          </m:rPr>
          <m:t>=</m:t>
        </m:r>
        <m:sSub>
          <m:sSubPr/>
          <m:e>
            <m:r>
              <m:rPr>
                <m:sty m:val="p"/>
              </m:rPr>
              <m:t>Φ</m:t>
            </m:r>
          </m:e>
          <m:sub>
            <m:r>
              <m:rPr>
                <m:sty m:val="p"/>
              </m:rPr>
              <m:t>0</m:t>
            </m:r>
          </m:sub>
        </m:sSub>
        <m:r>
          <m:rPr>
            <m:sty m:val="p"/>
          </m:rPr>
          <m:t>+</m:t>
        </m:r>
        <m:f>
          <m:fPr>
            <m:ctrlPr>
              <w:rPr>
                <w:rFonts w:ascii="Cambria Math" w:hAnsi="Cambria Math"/>
              </w:rPr>
            </m:ctrlPr>
          </m:fPr>
          <m:num>
            <m:r>
              <m:rPr>
                <m:sty m:val="p"/>
              </m:rPr>
              <m:t>4</m:t>
            </m:r>
            <m:r>
              <m:rPr>
                <m:sty m:val="i"/>
              </m:rPr>
              <m:t>π</m:t>
            </m:r>
          </m:num>
          <m:den>
            <m:r>
              <m:rPr>
                <m:sty m:val="i"/>
              </m:rPr>
              <m:t>λ</m:t>
            </m:r>
          </m:den>
        </m:f>
        <m:r>
          <m:rPr>
            <m:sty m:val="i"/>
          </m:rPr>
          <m:t>y</m:t>
        </m:r>
        <m:r>
          <m:rPr>
            <m:sty m:val="p"/>
          </m:rPr>
          <m:t>(</m:t>
        </m:r>
        <m:r>
          <m:rPr>
            <m:sty m:val="i"/>
          </m:rPr>
          <m:t>t</m:t>
        </m:r>
        <m:r>
          <m:rPr>
            <m:sty m:val="p"/>
          </m:rPr>
          <m:t>)</m:t>
        </m:r>
      </m:oMath>
      <w:r>
        <w:rPr/>
        <w:t xml:space="preserve">. Exprimer </w:t>
      </w:r>
      <m:oMath>
        <m:sSub>
          <m:sSubPr/>
          <m:e>
            <m:r>
              <m:rPr>
                <m:sty m:val="p"/>
              </m:rPr>
              <m:t>Φ</m:t>
            </m:r>
          </m:e>
          <m:sub>
            <m:r>
              <m:rPr>
                <m:sty m:val="p"/>
              </m:rPr>
              <m:t>0</m:t>
            </m:r>
          </m:sub>
        </m:sSub>
      </m:oMath>
      <w:r>
        <w:rPr/>
        <w:t xml:space="preserve">.</w:t>
      </w:r>
      <w:r>
        <w:rPr/>
        <w:br w:type="textWrapping"/>
      </w:r>
      <w:r>
        <w:rPr/>
        <w:t xml:space="preserve">III. </w:t>
      </w:r>
      <m:oMath>
        <m:r>
          <m:rPr>
            <m:sty m:val="i"/>
          </m:rPr>
          <m:t>C</m:t>
        </m:r>
      </m:oMath>
      <w:r>
        <w:rPr>
          <w:rFonts w:eastAsia="Georgia" w:cs="Georgia" w:ascii="Georgia" w:hAnsi="Georgia"/>
        </w:rPr>
        <w:t xml:space="preserve"> - La détermination de </w:t>
      </w:r>
      <m:oMath>
        <m:r>
          <m:rPr>
            <m:sty m:val="i"/>
          </m:rPr>
          <m:t>y</m:t>
        </m:r>
        <m:r>
          <m:rPr>
            <m:sty m:val="p"/>
          </m:rPr>
          <m:t>(</m:t>
        </m:r>
        <m:r>
          <m:rPr>
            <m:sty m:val="i"/>
          </m:rPr>
          <m:t>t</m:t>
        </m:r>
        <m:r>
          <m:rPr>
            <m:sty m:val="p"/>
          </m:rPr>
          <m:t>)</m:t>
        </m:r>
      </m:oMath>
      <w:r>
        <w:rPr>
          <w:rFonts w:eastAsia="Georgia" w:cs="Georgia" w:ascii="Georgia" w:hAnsi="Georgia"/>
        </w:rPr>
        <w:t xml:space="preserve"> est liée à la mesure sans ambigüité et avec une bonne sensibilité de la phase </w:t>
      </w:r>
      <m:oMath>
        <m:r>
          <m:rPr>
            <m:sty m:val="p"/>
          </m:rPr>
          <m:t>Φ</m:t>
        </m:r>
        <m:r>
          <m:rPr>
            <m:sty m:val="p"/>
          </m:rPr>
          <m:t>(</m:t>
        </m:r>
        <m:r>
          <m:rPr>
            <m:sty m:val="i"/>
          </m:rPr>
          <m:t>t</m:t>
        </m:r>
        <m:r>
          <m:rPr>
            <m:sty m:val="p"/>
          </m:rPr>
          <m:t>)</m:t>
        </m:r>
      </m:oMath>
      <w:r>
        <w:rPr/>
        <w:t xml:space="preserve">. La phase </w:t>
      </w:r>
      <m:oMath>
        <m:r>
          <m:rPr>
            <m:sty m:val="p"/>
          </m:rPr>
          <m:t>Φ</m:t>
        </m:r>
        <m:r>
          <m:rPr>
            <m:sty m:val="p"/>
          </m:rPr>
          <m:t>(</m:t>
        </m:r>
        <m:r>
          <m:rPr>
            <m:sty m:val="i"/>
          </m:rPr>
          <m:t>t</m:t>
        </m:r>
        <m:r>
          <m:rPr>
            <m:sty m:val="p"/>
          </m:rPr>
          <m:t>)</m:t>
        </m:r>
      </m:oMath>
      <w:r>
        <w:rPr>
          <w:rFonts w:eastAsia="Georgia" w:cs="Georgia" w:ascii="Georgia" w:hAnsi="Georgia"/>
        </w:rPr>
        <w:t xml:space="preserve"> du signal reçu est composée d'un terme constant </w:t>
      </w:r>
      <m:oMath>
        <m:sSub>
          <m:sSubPr/>
          <m:e>
            <m:r>
              <m:rPr>
                <m:sty m:val="p"/>
              </m:rPr>
              <m:t>Φ</m:t>
            </m:r>
          </m:e>
          <m:sub>
            <m:r>
              <m:rPr>
                <m:sty m:val="p"/>
              </m:rPr>
              <m:t>0</m:t>
            </m:r>
          </m:sub>
        </m:sSub>
      </m:oMath>
      <w:r>
        <w:rPr>
          <w:rFonts w:eastAsia="Georgia" w:cs="Georgia" w:ascii="Georgia" w:hAnsi="Georgia"/>
        </w:rPr>
        <w:t xml:space="preserve"> et d'un terme harmonique. Le terme continu rend compte de la configuration de l'interféromètre en l'absence de secousse sismique. La sensibilité de la détermination de </w:t>
      </w:r>
      <m:oMath>
        <m:r>
          <m:rPr>
            <m:sty m:val="i"/>
          </m:rPr>
          <m:t>y</m:t>
        </m:r>
        <m:r>
          <m:rPr>
            <m:sty m:val="p"/>
          </m:rPr>
          <m:t>(</m:t>
        </m:r>
        <m:r>
          <m:rPr>
            <m:sty m:val="i"/>
          </m:rPr>
          <m:t>t</m:t>
        </m:r>
        <m:r>
          <m:rPr>
            <m:sty m:val="p"/>
          </m:rPr>
          <m:t>)</m:t>
        </m:r>
      </m:oMath>
      <w:r>
        <w:rPr>
          <w:rFonts w:eastAsia="Georgia" w:cs="Georgia" w:ascii="Georgia" w:hAnsi="Georgia"/>
        </w:rPr>
        <w:t xml:space="preserve"> sera liée à la valeur de </w:t>
      </w:r>
      <m:oMath>
        <m:sSub>
          <m:sSubPr/>
          <m:e>
            <m:r>
              <m:rPr>
                <m:sty m:val="p"/>
              </m:rPr>
              <m:t>Φ</m:t>
            </m:r>
          </m:e>
          <m:sub>
            <m:r>
              <m:rPr>
                <m:sty m:val="p"/>
              </m:rPr>
              <m:t>0</m:t>
            </m:r>
          </m:sub>
        </m:sSub>
      </m:oMath>
      <w:r>
        <w:rPr>
          <w:rFonts w:eastAsia="Georgia" w:cs="Georgia" w:ascii="Georgia" w:hAnsi="Georgia"/>
        </w:rPr>
        <w:t xml:space="preserve">, comme le montre la figure 10, où figurent deux points particuliers </w:t>
      </w:r>
      <m:oMath>
        <m:r>
          <m:rPr>
            <m:sty m:val="i"/>
          </m:rPr>
          <m:t>Q</m:t>
        </m:r>
      </m:oMath>
      <w:r>
        <w:rPr/>
        <w:t xml:space="preserve"> et </w:t>
      </w:r>
      <m:oMath>
        <m:r>
          <m:rPr>
            <m:sty m:val="i"/>
          </m:rPr>
          <m:t>R</m:t>
        </m:r>
      </m:oMath>
      <w:r>
        <w:rPr>
          <w:rFonts w:eastAsia="Georgia" w:cs="Georgia" w:ascii="Georgia" w:hAnsi="Georgia"/>
        </w:rPr>
        <w:t xml:space="preserve"> (dont la position est liée à la valeur de </w:t>
      </w:r>
      <m:oMath>
        <m:sSub>
          <m:sSubPr/>
          <m:e>
            <m:r>
              <m:rPr>
                <m:sty m:val="p"/>
              </m:rPr>
              <m:t>Φ</m:t>
            </m:r>
          </m:e>
          <m:sub>
            <m:r>
              <m:rPr>
                <m:sty m:val="p"/>
              </m:rPr>
              <m:t>0</m:t>
            </m:r>
          </m:sub>
        </m:sSub>
      </m:oMath>
      <w:r>
        <w:rPr/>
        <w:t xml:space="preserve"> ).</w:t>
      </w:r>
    </w:p>
    <w:p>
      <w:pPr>
        <w:spacing w:lineRule="auto"/>
        <w:jc w:val="center"/>
      </w:pPr>
      <w:r>
        <w:rPr/>
        <w:drawing>
          <wp:inline distB="0" distL="0" distR="0" distT="0">
            <wp:extent cx="5486400" cy="2778581"/>
            <wp:effectExtent b="0" l="0" r="0" t="0"/>
            <wp:docPr id="10" name="image-8140429432b056917387ffea0a509542cd323d55.jpg"/>
            <a:graphic>
              <a:graphicData uri="http://schemas.openxmlformats.org/drawingml/2006/picture">
                <pic:pic>
                  <pic:nvPicPr>
                    <pic:cNvPr id="10" name="image-8140429432b056917387ffea0a509542cd323d55.jpg" descr=""/>
                    <pic:cNvPicPr/>
                  </pic:nvPicPr>
                  <pic:blipFill>
                    <a:blip r:embed="rId14" cstate="print"/>
                    <a:srcRect b="0" l="0" r="0" t="0"/>
                    <a:stretch>
                      <a:fillRect/>
                    </a:stretch>
                  </pic:blipFill>
                  <pic:spPr>
                    <a:xfrm>
                      <a:off x="0" y="0"/>
                      <a:ext cx="5486400" cy="2778581"/>
                    </a:xfrm>
                    <a:prstGeom prst="rect"/>
                  </pic:spPr>
                </pic:pic>
              </a:graphicData>
            </a:graphic>
          </wp:inline>
        </w:drawing>
      </w:r>
    </w:p>
    <w:p>
      <w:pPr>
        <w:spacing w:lineRule="auto"/>
      </w:pPr>
      <w:r>
        <w:rPr/>
        <w:t xml:space="preserve">Figure 10</w:t>
      </w:r>
    </w:p>
    <w:p>
      <w:pPr>
        <w:spacing w:after="220" w:lineRule="auto"/>
      </w:pPr>
      <w:r>
        <w:rPr/>
        <w:t xml:space="preserve">Pour quelle(s) valeur(s) de </w:t>
      </w:r>
      <m:oMath>
        <m:sSub>
          <m:sSubPr/>
          <m:e>
            <m:r>
              <m:rPr>
                <m:sty m:val="p"/>
              </m:rPr>
              <m:t>Φ</m:t>
            </m:r>
          </m:e>
          <m:sub>
            <m:r>
              <m:rPr>
                <m:sty m:val="p"/>
              </m:rPr>
              <m:t>0</m:t>
            </m:r>
          </m:sub>
        </m:sSub>
      </m:oMath>
      <w:r>
        <w:rPr>
          <w:rFonts w:eastAsia="Georgia" w:cs="Georgia" w:ascii="Georgia" w:hAnsi="Georgia"/>
        </w:rPr>
        <w:t xml:space="preserve"> la sensibilité </w:t>
      </w:r>
      <m:oMath>
        <m:f>
          <m:fPr>
            <m:ctrlPr>
              <w:rPr>
                <w:rFonts w:ascii="Cambria Math" w:hAnsi="Cambria Math"/>
              </w:rPr>
            </m:ctrlPr>
          </m:fPr>
          <m:num>
            <m:r>
              <m:rPr>
                <m:sty m:val="p"/>
              </m:rPr>
              <m:t>d</m:t>
            </m:r>
            <m:r>
              <m:rPr>
                <m:sty m:val="i"/>
              </m:rPr>
              <m:t>I</m:t>
            </m:r>
          </m:num>
          <m:den>
            <m:r>
              <m:rPr>
                <m:nor/>
              </m:rPr>
              <m:t xml:space="preserve"> </m:t>
            </m:r>
            <m:r>
              <m:rPr>
                <m:sty m:val="p"/>
              </m:rPr>
              <m:t>d</m:t>
            </m:r>
            <m:r>
              <m:rPr>
                <m:sty m:val="i"/>
              </m:rPr>
              <m:t>ϕ</m:t>
            </m:r>
          </m:den>
        </m:f>
      </m:oMath>
      <w:r>
        <w:rPr/>
        <w:t xml:space="preserve"> de la mesure sera-t-elle optimale ?</w:t>
      </w:r>
      <w:r>
        <w:rPr/>
        <w:br w:type="textWrapping"/>
      </w:r>
      <w:r>
        <w:rPr/>
        <w:t xml:space="preserve">III. </w:t>
      </w:r>
      <m:oMath>
        <m:r>
          <m:rPr>
            <m:sty m:val="bi"/>
          </m:rPr>
          <m:t>D</m:t>
        </m:r>
      </m:oMath>
      <w:r>
        <w:rPr>
          <w:rFonts w:eastAsia="Georgia" w:cs="Georgia" w:ascii="Georgia" w:hAnsi="Georgia"/>
        </w:rPr>
        <w:t xml:space="preserve"> - On choisit pour toute la suite un réglage tel que </w:t>
      </w:r>
      <m:oMath>
        <m:sSub>
          <m:sSubPr/>
          <m:e>
            <m:r>
              <m:rPr>
                <m:sty m:val="i"/>
              </m:rPr>
              <m:t>d</m:t>
            </m:r>
          </m:e>
          <m:sub>
            <m:r>
              <m:rPr>
                <m:sty m:val="p"/>
              </m:rPr>
              <m:t>0</m:t>
            </m:r>
          </m:sub>
        </m:sSub>
        <m:r>
          <m:rPr>
            <m:sty m:val="p"/>
          </m:rPr>
          <m:t>=</m:t>
        </m:r>
        <m:r>
          <m:rPr>
            <m:sty m:val="i"/>
          </m:rPr>
          <m:t>λ</m:t>
        </m:r>
        <m:r>
          <m:rPr>
            <m:sty m:val="p"/>
          </m:rPr>
          <m:t>/</m:t>
        </m:r>
        <m:r>
          <m:rPr>
            <m:sty m:val="p"/>
          </m:rPr>
          <m:t>8</m:t>
        </m:r>
      </m:oMath>
      <w:r>
        <w:rPr/>
        <w:t xml:space="preserve">. La figure 11 donne les enregistrements </w:t>
      </w:r>
      <m:oMath>
        <m:r>
          <m:rPr>
            <m:sty m:val="i"/>
          </m:rPr>
          <m:t>I</m:t>
        </m:r>
        <m:r>
          <m:rPr>
            <m:sty m:val="p"/>
          </m:rPr>
          <m:t>(</m:t>
        </m:r>
        <m:r>
          <m:rPr>
            <m:sty m:val="i"/>
          </m:rPr>
          <m:t>t</m:t>
        </m:r>
        <m:r>
          <m:rPr>
            <m:sty m:val="p"/>
          </m:rPr>
          <m:t>)</m:t>
        </m:r>
        <m:r>
          <m:rPr>
            <m:sty m:val="p"/>
          </m:rPr>
          <m:t>/</m:t>
        </m:r>
        <m:sSub>
          <m:sSubPr/>
          <m:e>
            <m:r>
              <m:rPr>
                <m:sty m:val="i"/>
              </m:rPr>
              <m:t>I</m:t>
            </m:r>
          </m:e>
          <m:sub>
            <m:r>
              <m:rPr>
                <m:sty m:val="p"/>
              </m:rPr>
              <m:t>max</m:t>
            </m:r>
          </m:sub>
        </m:sSub>
      </m:oMath>
      <w:r>
        <w:rPr>
          <w:rFonts w:eastAsia="Georgia" w:cs="Georgia" w:ascii="Georgia" w:hAnsi="Georgia"/>
        </w:rPr>
        <w:t xml:space="preserve"> obtenus pour une vibration de la table de fréquence </w:t>
      </w:r>
      <m:oMath>
        <m:r>
          <m:rPr>
            <m:sty m:val="i"/>
          </m:rPr>
          <m:t>f</m:t>
        </m:r>
      </m:oMath>
      <w:r>
        <w:rPr>
          <w:rFonts w:eastAsia="Georgia" w:cs="Georgia" w:ascii="Georgia" w:hAnsi="Georgia"/>
        </w:rPr>
        <w:t xml:space="preserve">. Les deux graphes correspondent à la même expérience, celui du bas présente un agrandissement d'une partie de celui du haut.</w:t>
      </w:r>
      <w:r>
        <w:rPr/>
        <w:br w:type="textWrapping"/>
      </w:r>
      <w:r>
        <w:rPr>
          <w:rFonts w:eastAsia="Georgia" w:cs="Georgia" w:ascii="Georgia" w:hAnsi="Georgia"/>
        </w:rPr>
        <w:t xml:space="preserve">Dans cette sous-partie, on détaillera les raisonnements suivis.</w:t>
      </w:r>
      <w:r>
        <w:rPr/>
        <w:br w:type="textWrapping"/>
      </w:r>
      <w:r>
        <w:rPr/>
        <w:t xml:space="preserve">III.D.1) Aux points </w:t>
      </w:r>
      <m:oMath>
        <m:r>
          <m:rPr>
            <m:sty m:val="i"/>
          </m:rPr>
          <m:t>A</m:t>
        </m:r>
      </m:oMath>
      <w:r>
        <w:rPr/>
        <w:t xml:space="preserve"> et </w:t>
      </w:r>
      <m:oMath>
        <m:r>
          <m:rPr>
            <m:sty m:val="i"/>
          </m:rPr>
          <m:t>B</m:t>
        </m:r>
      </m:oMath>
      <w:r>
        <w:rPr/>
        <w:t xml:space="preserve">, le miroir mobile ( </w:t>
      </w:r>
      <m:oMath>
        <m:sSub>
          <m:sSubPr/>
          <m:e>
            <m:r>
              <m:rPr>
                <m:sty m:val="i"/>
              </m:rPr>
              <m:t>M</m:t>
            </m:r>
          </m:e>
          <m:sub>
            <m:r>
              <m:rPr>
                <m:sty m:val="p"/>
              </m:rPr>
              <m:t>1</m:t>
            </m:r>
          </m:sub>
        </m:sSub>
      </m:oMath>
      <w:r>
        <w:rPr>
          <w:rFonts w:eastAsia="Georgia" w:cs="Georgia" w:ascii="Georgia" w:hAnsi="Georgia"/>
        </w:rPr>
        <w:t xml:space="preserve"> ) rebrousse chemin. De quelle quantité </w:t>
      </w:r>
      <m:oMath>
        <m:r>
          <m:rPr>
            <m:sty m:val="p"/>
          </m:rPr>
          <m:t>Δ</m:t>
        </m:r>
        <m:r>
          <m:rPr>
            <m:sty m:val="i"/>
          </m:rPr>
          <m:t>δ</m:t>
        </m:r>
      </m:oMath>
      <w:r>
        <w:rPr/>
        <w:t xml:space="preserve">, en fonction de </w:t>
      </w:r>
      <m:oMath>
        <m:sSub>
          <m:sSubPr/>
          <m:e>
            <m:r>
              <m:rPr>
                <m:sty m:val="i"/>
              </m:rPr>
              <m:t>Y</m:t>
            </m:r>
          </m:e>
          <m:sub>
            <m:r>
              <m:rPr>
                <m:sty m:val="i"/>
              </m:rPr>
              <m:t>M</m:t>
            </m:r>
          </m:sub>
        </m:sSub>
      </m:oMath>
      <w:r>
        <w:rPr>
          <w:rFonts w:eastAsia="Georgia" w:cs="Georgia" w:ascii="Georgia" w:hAnsi="Georgia"/>
        </w:rPr>
        <w:t xml:space="preserve">, a varié la différence de marche </w:t>
      </w:r>
      <m:oMath>
        <m:r>
          <m:rPr>
            <m:sty m:val="i"/>
          </m:rPr>
          <m:t>δ</m:t>
        </m:r>
      </m:oMath>
      <w:r>
        <w:rPr/>
        <w:t xml:space="preserve"> entre les instants </w:t>
      </w:r>
      <m:oMath>
        <m:sSub>
          <m:sSubPr/>
          <m:e>
            <m:r>
              <m:rPr>
                <m:sty m:val="i"/>
              </m:rPr>
              <m:t>t</m:t>
            </m:r>
          </m:e>
          <m:sub>
            <m:r>
              <m:rPr>
                <m:sty m:val="i"/>
              </m:rPr>
              <m:t>A</m:t>
            </m:r>
          </m:sub>
        </m:sSub>
      </m:oMath>
      <w:r>
        <w:rPr/>
        <w:t xml:space="preserve"> et </w:t>
      </w:r>
      <m:oMath>
        <m:sSub>
          <m:sSubPr/>
          <m:e>
            <m:r>
              <m:rPr>
                <m:sty m:val="i"/>
              </m:rPr>
              <m:t>t</m:t>
            </m:r>
          </m:e>
          <m:sub>
            <m:r>
              <m:rPr>
                <m:sty m:val="i"/>
              </m:rPr>
              <m:t>B</m:t>
            </m:r>
          </m:sub>
        </m:sSub>
      </m:oMath>
      <w:r>
        <w:rPr>
          <w:rFonts w:eastAsia="Georgia" w:cs="Georgia" w:ascii="Georgia" w:hAnsi="Georgia"/>
        </w:rPr>
        <w:t xml:space="preserve"> correspondant à ces deux points?</w:t>
      </w:r>
      <w:r>
        <w:rPr/>
        <w:br w:type="textWrapping"/>
      </w:r>
      <w:r>
        <w:rPr>
          <w:rFonts w:eastAsia="Georgia" w:cs="Georgia" w:ascii="Georgia" w:hAnsi="Georgia"/>
        </w:rPr>
        <w:t xml:space="preserve">III.D.2) Déterminer la fréquence </w:t>
      </w:r>
      <m:oMath>
        <m:r>
          <m:rPr>
            <m:sty m:val="i"/>
          </m:rPr>
          <m:t>f</m:t>
        </m:r>
      </m:oMath>
      <w:r>
        <w:rPr>
          <w:rFonts w:eastAsia="Georgia" w:cs="Georgia" w:ascii="Georgia" w:hAnsi="Georgia"/>
        </w:rPr>
        <w:t xml:space="preserve"> de la vibration appliquée au système.</w:t>
      </w:r>
      <w:r>
        <w:rPr/>
        <w:br w:type="textWrapping"/>
      </w:r>
      <w:r>
        <w:rPr/>
        <w:t xml:space="preserve">III.D.3) Exprimer </w:t>
      </w:r>
      <m:oMath>
        <m:r>
          <m:rPr>
            <m:sty m:val="p"/>
          </m:rPr>
          <m:t>Δ</m:t>
        </m:r>
        <m:r>
          <m:rPr>
            <m:sty m:val="i"/>
          </m:rPr>
          <m:t>δ</m:t>
        </m:r>
      </m:oMath>
      <w:r>
        <w:rPr/>
        <w:t xml:space="preserve"> en fonction de </w:t>
      </w:r>
      <m:oMath>
        <m:r>
          <m:rPr>
            <m:sty m:val="i"/>
          </m:rPr>
          <m:t>λ</m:t>
        </m:r>
      </m:oMath>
      <w:r>
        <w:rPr/>
        <w:t xml:space="preserve">.</w:t>
      </w:r>
      <w:r>
        <w:rPr/>
        <w:br w:type="textWrapping"/>
      </w:r>
      <w:r>
        <w:rPr/>
        <w:t xml:space="preserve">III.D.4) Donner alors la valeur de </w:t>
      </w:r>
      <m:oMath>
        <m:sSub>
          <m:sSubPr/>
          <m:e>
            <m:r>
              <m:rPr>
                <m:sty m:val="i"/>
              </m:rPr>
              <m:t>Y</m:t>
            </m:r>
          </m:e>
          <m:sub>
            <m:r>
              <m:rPr>
                <m:sty m:val="i"/>
              </m:rPr>
              <m:t>M</m:t>
            </m:r>
          </m:sub>
        </m:sSub>
      </m:oMath>
      <w:r>
        <w:rPr/>
        <w:t xml:space="preserve">.</w:t>
      </w:r>
    </w:p>
    <w:p>
      <w:pPr>
        <w:spacing w:lineRule="auto"/>
        <w:jc w:val="center"/>
      </w:pPr>
      <w:r>
        <w:rPr/>
        <w:drawing>
          <wp:inline distB="0" distL="0" distR="0" distT="0">
            <wp:extent cx="5486400" cy="6777795"/>
            <wp:effectExtent b="0" l="0" r="0" t="0"/>
            <wp:docPr id="11" name="image-c6d5734f9e383ce34591d25099df2612534e6ffc.jpg"/>
            <a:graphic>
              <a:graphicData uri="http://schemas.openxmlformats.org/drawingml/2006/picture">
                <pic:pic>
                  <pic:nvPicPr>
                    <pic:cNvPr id="11" name="image-c6d5734f9e383ce34591d25099df2612534e6ffc.jpg" descr=""/>
                    <pic:cNvPicPr/>
                  </pic:nvPicPr>
                  <pic:blipFill>
                    <a:blip r:embed="rId15" cstate="print"/>
                    <a:srcRect b="0" l="0" r="0" t="0"/>
                    <a:stretch>
                      <a:fillRect/>
                    </a:stretch>
                  </pic:blipFill>
                  <pic:spPr>
                    <a:xfrm>
                      <a:off x="0" y="0"/>
                      <a:ext cx="5486400" cy="6777795"/>
                    </a:xfrm>
                    <a:prstGeom prst="rect"/>
                  </pic:spPr>
                </pic:pic>
              </a:graphicData>
            </a:graphic>
          </wp:inline>
        </w:drawing>
      </w:r>
    </w:p>
    <w:p>
      <w:pPr>
        <w:spacing w:lineRule="auto"/>
      </w:pPr>
      <w:r>
        <w:rPr/>
        <w:t xml:space="preserve">Figure 11</w:t>
      </w:r>
    </w:p>
    <w:p>
      <w:pPr>
        <w:spacing w:after="220" w:lineRule="auto"/>
      </w:pPr>
      <w:r>
        <w:rPr/>
        <w:t xml:space="preserve">III. </w:t>
      </w:r>
      <m:oMath>
        <m:r>
          <m:rPr>
            <m:sty m:val="bi"/>
          </m:rPr>
          <m:t>E</m:t>
        </m:r>
      </m:oMath>
      <w:r>
        <w:rPr/>
        <w:t xml:space="preserve"> - Les figures 12 et 13 donnent les enregistrements </w:t>
      </w:r>
      <m:oMath>
        <m:r>
          <m:rPr>
            <m:sty m:val="i"/>
          </m:rPr>
          <m:t>I</m:t>
        </m:r>
        <m:r>
          <m:rPr>
            <m:sty m:val="p"/>
          </m:rPr>
          <m:t>(</m:t>
        </m:r>
        <m:r>
          <m:rPr>
            <m:sty m:val="i"/>
          </m:rPr>
          <m:t>t</m:t>
        </m:r>
        <m:r>
          <m:rPr>
            <m:sty m:val="p"/>
          </m:rPr>
          <m:t>)</m:t>
        </m:r>
        <m:r>
          <m:rPr>
            <m:sty m:val="p"/>
          </m:rPr>
          <m:t>/</m:t>
        </m:r>
        <m:sSub>
          <m:sSubPr/>
          <m:e>
            <m:r>
              <m:rPr>
                <m:sty m:val="i"/>
              </m:rPr>
              <m:t>I</m:t>
            </m:r>
          </m:e>
          <m:sub>
            <m:r>
              <m:rPr>
                <m:sty m:val="p"/>
              </m:rPr>
              <m:t>max</m:t>
            </m:r>
          </m:sub>
        </m:sSub>
      </m:oMath>
      <w:r>
        <w:rPr>
          <w:rFonts w:eastAsia="Georgia" w:cs="Georgia" w:ascii="Georgia" w:hAnsi="Georgia"/>
        </w:rPr>
        <w:t xml:space="preserve"> obtenus pour des vibrations de la table de fréquence </w:t>
      </w:r>
      <m:oMath>
        <m:r>
          <m:rPr>
            <m:sty m:val="i"/>
          </m:rPr>
          <m:t>f</m:t>
        </m:r>
      </m:oMath>
      <w:r>
        <w:rPr>
          <w:rFonts w:eastAsia="Georgia" w:cs="Georgia" w:ascii="Georgia" w:hAnsi="Georgia"/>
        </w:rPr>
        <w:t xml:space="preserve"> identique à la précédente, mais d'amplitudes légèrement différentes.</w:t>
      </w:r>
      <w:r>
        <w:rPr/>
        <w:br w:type="textWrapping"/>
      </w:r>
      <w:r>
        <w:rPr/>
        <w:t xml:space="preserve">III.E.1) Donner la valeur de </w:t>
      </w:r>
      <m:oMath>
        <m:sSub>
          <m:sSubPr/>
          <m:e>
            <m:r>
              <m:rPr>
                <m:sty m:val="i"/>
              </m:rPr>
              <m:t>Y</m:t>
            </m:r>
          </m:e>
          <m:sub>
            <m:r>
              <m:rPr>
                <m:sty m:val="i"/>
              </m:rPr>
              <m:t>M</m:t>
            </m:r>
          </m:sub>
        </m:sSub>
      </m:oMath>
      <w:r>
        <w:rPr/>
        <w:t xml:space="preserve"> dans le cas de la figure 12.</w:t>
      </w:r>
      <w:r>
        <w:rPr/>
        <w:br w:type="textWrapping"/>
      </w:r>
      <w:r>
        <w:rPr/>
        <w:t xml:space="preserve">III.E.2) Donner la valeur de </w:t>
      </w:r>
      <m:oMath>
        <m:sSub>
          <m:sSubPr/>
          <m:e>
            <m:r>
              <m:rPr>
                <m:sty m:val="i"/>
              </m:rPr>
              <m:t>Y</m:t>
            </m:r>
          </m:e>
          <m:sub>
            <m:r>
              <m:rPr>
                <m:sty m:val="i"/>
              </m:rPr>
              <m:t>M</m:t>
            </m:r>
          </m:sub>
        </m:sSub>
      </m:oMath>
      <w:r>
        <w:rPr/>
        <w:t xml:space="preserve"> dans le cas de la figure 13.</w:t>
      </w:r>
    </w:p>
    <w:p>
      <w:pPr>
        <w:spacing w:lineRule="auto"/>
        <w:jc w:val="center"/>
      </w:pPr>
      <w:r>
        <w:rPr/>
        <w:drawing>
          <wp:inline distB="0" distL="0" distR="0" distT="0">
            <wp:extent cx="5486400" cy="3314076"/>
            <wp:effectExtent b="0" l="0" r="0" t="0"/>
            <wp:docPr id="12" name="image-fe3058be5e6e71304990109c8003dcaebe0fe349.jpg"/>
            <a:graphic>
              <a:graphicData uri="http://schemas.openxmlformats.org/drawingml/2006/picture">
                <pic:pic>
                  <pic:nvPicPr>
                    <pic:cNvPr id="12" name="image-fe3058be5e6e71304990109c8003dcaebe0fe349.jpg" descr=""/>
                    <pic:cNvPicPr/>
                  </pic:nvPicPr>
                  <pic:blipFill>
                    <a:blip r:embed="rId16" cstate="print"/>
                    <a:srcRect b="0" l="0" r="0" t="0"/>
                    <a:stretch>
                      <a:fillRect/>
                    </a:stretch>
                  </pic:blipFill>
                  <pic:spPr>
                    <a:xfrm>
                      <a:off x="0" y="0"/>
                      <a:ext cx="5486400" cy="3314076"/>
                    </a:xfrm>
                    <a:prstGeom prst="rect"/>
                  </pic:spPr>
                </pic:pic>
              </a:graphicData>
            </a:graphic>
          </wp:inline>
        </w:drawing>
      </w:r>
    </w:p>
    <w:p>
      <w:pPr>
        <w:spacing w:lineRule="auto"/>
      </w:pPr>
      <w:r>
        <w:rPr/>
        <w:t xml:space="preserve">Figure 12</w:t>
      </w:r>
    </w:p>
    <w:p>
      <w:pPr>
        <w:spacing w:lineRule="auto"/>
        <w:jc w:val="center"/>
      </w:pPr>
      <w:r>
        <w:rPr/>
        <w:drawing>
          <wp:inline distB="0" distL="0" distR="0" distT="0">
            <wp:extent cx="5486400" cy="3303870"/>
            <wp:effectExtent b="0" l="0" r="0" t="0"/>
            <wp:docPr id="13" name="image-b727fc018d16900d7c42253ccc1ee649667f4ace.jpg"/>
            <a:graphic>
              <a:graphicData uri="http://schemas.openxmlformats.org/drawingml/2006/picture">
                <pic:pic>
                  <pic:nvPicPr>
                    <pic:cNvPr id="13" name="image-b727fc018d16900d7c42253ccc1ee649667f4ace.jpg" descr=""/>
                    <pic:cNvPicPr/>
                  </pic:nvPicPr>
                  <pic:blipFill>
                    <a:blip r:embed="rId17" cstate="print"/>
                    <a:srcRect b="0" l="0" r="0" t="0"/>
                    <a:stretch>
                      <a:fillRect/>
                    </a:stretch>
                  </pic:blipFill>
                  <pic:spPr>
                    <a:xfrm>
                      <a:off x="0" y="0"/>
                      <a:ext cx="5486400" cy="3303870"/>
                    </a:xfrm>
                    <a:prstGeom prst="rect"/>
                  </pic:spPr>
                </pic:pic>
              </a:graphicData>
            </a:graphic>
          </wp:inline>
        </w:drawing>
      </w:r>
    </w:p>
    <w:p>
      <w:pPr>
        <w:spacing w:lineRule="auto"/>
      </w:pPr>
      <w:r>
        <w:rPr/>
        <w:t xml:space="preserve">Figure 13</w:t>
      </w:r>
    </w:p>
    <w:p>
      <w:pPr>
        <w:spacing w:line="271" w:before="330" w:lineRule="auto"/>
      </w:pPr>
      <w:r>
        <w:rPr>
          <w:rFonts w:eastAsia="Georgia" w:cs="Georgia" w:ascii="Georgia" w:hAnsi="Georgia"/>
          <w:b/>
          <w:sz w:val="42"/>
        </w:rPr>
        <w:t xml:space="preserve">Données</w:t>
      </w:r>
    </w:p>
    <w:p>
      <w:pPr>
        <w:spacing w:line="271" w:before="330" w:lineRule="auto"/>
      </w:pPr>
      <w:r>
        <w:rPr>
          <w:rFonts w:eastAsia="Georgia" w:cs="Georgia" w:ascii="Georgia" w:hAnsi="Georgia"/>
          <w:b/>
          <w:sz w:val="42"/>
        </w:rPr>
        <w:t xml:space="preserve">Extrait de table thermodynamique relatif à l'équilibre liquide-vapeur de l'eau</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vMerge w:val="restart"/>
            <w:tcBorders>
              <w:top w:val="single" w:sz="8" w:space="0" w:color="000000"/>
              <w:left w:val="single" w:sz="8" w:space="0" w:color="000000"/>
              <w:bottom w:val="single" w:sz="8" w:space="0" w:color="000000"/>
              <w:right w:val="single" w:sz="8" w:space="0" w:color="000000"/>
            </w:tcBorders>
            <w:vAlign w:val="top"/>
          </w:tcPr>
          <w:p>
            <w:pPr>
              <w:spacing w:lineRule="auto"/>
              <w:jc w:val="left"/>
            </w:pPr>
            <m:oMathPara>
              <m:oMathParaPr>
                <m:jc m:val="left"/>
              </m:oMathParaPr>
              <m:oMath>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vMerge w:val="restart"/>
            <w:tcBorders>
              <w:top w:val="single" w:sz="8" w:space="0" w:color="000000"/>
              <w:bottom w:val="single" w:sz="8" w:space="0" w:color="000000"/>
              <w:right w:val="single" w:sz="8" w:space="0" w:color="000000"/>
            </w:tcBorders>
            <w:vAlign w:val="top"/>
          </w:tcPr>
          <w:p>
            <w:pPr>
              <w:spacing w:lineRule="auto"/>
              <w:jc w:val="left"/>
            </w:pPr>
            <m:oMath>
              <m:sSub>
                <m:sSubPr/>
                <m:e>
                  <m:r>
                    <m:rPr>
                      <m:sty m:val="i"/>
                    </m:rPr>
                    <m:t>P</m:t>
                  </m:r>
                </m:e>
                <m:sub>
                  <m:r>
                    <m:rPr>
                      <m:nor/>
                    </m:rPr>
                    <m:t>sat </m:t>
                  </m:r>
                </m:sub>
              </m:sSub>
            </m:oMath>
            <w:r>
              <w:rPr/>
              <w:t xml:space="preserve"> (bar)</w:t>
            </w:r>
          </w:p>
        </w:tc>
        <w:tc>
          <w:tcPr>
            <w:gridSpan w:val="3"/>
            <w:tcBorders>
              <w:top w:val="single" w:sz="8" w:space="0" w:color="000000"/>
              <w:bottom w:val="single" w:sz="8" w:space="0" w:color="000000"/>
              <w:right w:val="single" w:sz="8" w:space="0" w:color="000000"/>
            </w:tcBorders>
          </w:tcPr>
          <w:p>
            <w:pPr>
              <w:spacing w:lineRule="auto"/>
              <w:jc w:val="center"/>
            </w:pPr>
            <w:r>
              <w:rPr/>
              <w:t xml:space="preserve">Liquide saturant</w:t>
            </w:r>
          </w:p>
        </w:tc>
        <w:tc>
          <w:tcPr>
            <w:gridSpan w:val="3"/>
            <w:tcBorders>
              <w:top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Vapeur saturante sèche</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top"/>
          </w:tcPr>
          <w:p/>
        </w:tc>
        <w:tc>
          <w:tcPr>
            <w:vMerge w:val="continue"/>
            <w:tcBorders>
              <w:top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l</m:t>
                    </m:r>
                  </m:sub>
                </m:sSub>
                <m:d>
                  <m:dPr>
                    <m:begChr m:val="("/>
                    <m:endChr m:val=")"/>
                    <m:ctrlPr>
                      <w:rPr>
                        <w:rFonts w:ascii="Cambria Math" w:hAnsi="Cambria Math"/>
                      </w:rPr>
                    </m:ctrlPr>
                  </m:dPr>
                  <m:e>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i"/>
                      </m:rPr>
                      <m:t>l</m:t>
                    </m:r>
                  </m:sub>
                </m:sSub>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s</m:t>
                    </m:r>
                  </m:e>
                  <m:sub>
                    <m:r>
                      <m:rPr>
                        <m:sty m:val="i"/>
                      </m:rPr>
                      <m:t>l</m:t>
                    </m:r>
                  </m:sub>
                </m:sSub>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v</m:t>
                    </m:r>
                  </m:sub>
                </m:sSub>
                <m:d>
                  <m:dPr>
                    <m:begChr m:val="("/>
                    <m:endChr m:val=")"/>
                    <m:ctrlPr>
                      <w:rPr>
                        <w:rFonts w:ascii="Cambria Math" w:hAnsi="Cambria Math"/>
                      </w:rPr>
                    </m:ctrlPr>
                  </m:dPr>
                  <m:e>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i"/>
                      </m:rPr>
                      <m:t>v</m:t>
                    </m:r>
                  </m:sub>
                </m:sSub>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s</m:t>
                    </m:r>
                  </m:e>
                  <m:sub>
                    <m:r>
                      <m:rPr>
                        <m:sty m:val="i"/>
                      </m:rPr>
                      <m:t>v</m:t>
                    </m:r>
                  </m:sub>
                </m:sSub>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0,043</w:t>
            </w:r>
          </w:p>
        </w:tc>
        <w:tc>
          <w:tcPr>
            <w:tcBorders>
              <w:bottom w:val="single" w:sz="8" w:space="0" w:color="000000"/>
              <w:right w:val="single" w:sz="8" w:space="0" w:color="000000"/>
            </w:tcBorders>
            <w:vAlign w:val="center"/>
          </w:tcPr>
          <w:p>
            <w:pPr>
              <w:spacing w:lineRule="auto"/>
              <w:jc w:val="left"/>
            </w:pPr>
            <w:r>
              <w:rPr/>
              <w:t xml:space="preserve">1,0047</w:t>
            </w:r>
          </w:p>
        </w:tc>
        <w:tc>
          <w:tcPr>
            <w:tcBorders>
              <w:bottom w:val="single" w:sz="8" w:space="0" w:color="000000"/>
              <w:right w:val="single" w:sz="8" w:space="0" w:color="000000"/>
            </w:tcBorders>
            <w:vAlign w:val="center"/>
          </w:tcPr>
          <w:p>
            <w:pPr>
              <w:spacing w:lineRule="auto"/>
              <w:jc w:val="left"/>
            </w:pPr>
            <w:r>
              <w:rPr/>
              <w:t xml:space="preserve">125,22</w:t>
            </w:r>
          </w:p>
        </w:tc>
        <w:tc>
          <w:tcPr>
            <w:tcBorders>
              <w:bottom w:val="single" w:sz="8" w:space="0" w:color="000000"/>
              <w:right w:val="single" w:sz="8" w:space="0" w:color="000000"/>
            </w:tcBorders>
            <w:vAlign w:val="center"/>
          </w:tcPr>
          <w:p>
            <w:pPr>
              <w:spacing w:lineRule="auto"/>
              <w:jc w:val="left"/>
            </w:pPr>
            <w:r>
              <w:rPr/>
              <w:t xml:space="preserve">0,4348</w:t>
            </w:r>
          </w:p>
        </w:tc>
        <w:tc>
          <w:tcPr>
            <w:tcBorders>
              <w:bottom w:val="single" w:sz="8" w:space="0" w:color="000000"/>
              <w:right w:val="single" w:sz="8" w:space="0" w:color="000000"/>
            </w:tcBorders>
            <w:vAlign w:val="center"/>
          </w:tcPr>
          <w:p>
            <w:pPr>
              <w:spacing w:lineRule="auto"/>
              <w:jc w:val="left"/>
            </w:pPr>
            <w:r>
              <w:rPr/>
              <w:t xml:space="preserve">32,892</w:t>
            </w:r>
          </w:p>
        </w:tc>
        <w:tc>
          <w:tcPr>
            <w:tcBorders>
              <w:bottom w:val="single" w:sz="8" w:space="0" w:color="000000"/>
              <w:right w:val="single" w:sz="8" w:space="0" w:color="000000"/>
            </w:tcBorders>
            <w:vAlign w:val="center"/>
          </w:tcPr>
          <w:p>
            <w:pPr>
              <w:spacing w:lineRule="auto"/>
              <w:jc w:val="left"/>
            </w:pPr>
            <w:r>
              <w:rPr/>
              <w:t xml:space="preserve">2555,92</w:t>
            </w:r>
          </w:p>
        </w:tc>
        <w:tc>
          <w:tcPr>
            <w:tcBorders>
              <w:bottom w:val="single" w:sz="8" w:space="0" w:color="000000"/>
              <w:right w:val="single" w:sz="8" w:space="0" w:color="000000"/>
            </w:tcBorders>
            <w:vAlign w:val="center"/>
          </w:tcPr>
          <w:p>
            <w:pPr>
              <w:spacing w:lineRule="auto"/>
              <w:jc w:val="left"/>
            </w:pPr>
            <w:r>
              <w:rPr/>
              <w:t xml:space="preserve">8,4530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180</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1,1276</w:t>
            </w:r>
          </w:p>
        </w:tc>
        <w:tc>
          <w:tcPr>
            <w:tcBorders>
              <w:bottom w:val="single" w:sz="8" w:space="0" w:color="000000"/>
              <w:right w:val="single" w:sz="8" w:space="0" w:color="000000"/>
            </w:tcBorders>
            <w:vAlign w:val="center"/>
          </w:tcPr>
          <w:p>
            <w:pPr>
              <w:spacing w:lineRule="auto"/>
              <w:jc w:val="left"/>
            </w:pPr>
            <w:r>
              <w:rPr/>
              <w:t xml:space="preserve">763,18</w:t>
            </w:r>
          </w:p>
        </w:tc>
        <w:tc>
          <w:tcPr>
            <w:tcBorders>
              <w:bottom w:val="single" w:sz="8" w:space="0" w:color="000000"/>
              <w:right w:val="single" w:sz="8" w:space="0" w:color="000000"/>
            </w:tcBorders>
            <w:vAlign w:val="center"/>
          </w:tcPr>
          <w:p>
            <w:pPr>
              <w:spacing w:lineRule="auto"/>
              <w:jc w:val="left"/>
            </w:pPr>
            <w:r>
              <w:rPr/>
              <w:t xml:space="preserve">2,1395</w:t>
            </w:r>
          </w:p>
        </w:tc>
        <w:tc>
          <w:tcPr>
            <w:tcBorders>
              <w:bottom w:val="single" w:sz="8" w:space="0" w:color="000000"/>
              <w:right w:val="single" w:sz="8" w:space="0" w:color="000000"/>
            </w:tcBorders>
            <w:vAlign w:val="center"/>
          </w:tcPr>
          <w:p>
            <w:pPr>
              <w:spacing w:lineRule="auto"/>
              <w:jc w:val="left"/>
            </w:pPr>
            <w:r>
              <w:rPr/>
              <w:t xml:space="preserve">0,119404</w:t>
            </w:r>
          </w:p>
        </w:tc>
        <w:tc>
          <w:tcPr>
            <w:tcBorders>
              <w:bottom w:val="single" w:sz="8" w:space="0" w:color="000000"/>
              <w:right w:val="single" w:sz="8" w:space="0" w:color="000000"/>
            </w:tcBorders>
            <w:vAlign w:val="center"/>
          </w:tcPr>
          <w:p>
            <w:pPr>
              <w:spacing w:lineRule="auto"/>
              <w:jc w:val="left"/>
            </w:pPr>
            <w:r>
              <w:rPr/>
              <w:t xml:space="preserve">2777,84</w:t>
            </w:r>
          </w:p>
        </w:tc>
        <w:tc>
          <w:tcPr>
            <w:tcBorders>
              <w:bottom w:val="single" w:sz="8" w:space="0" w:color="000000"/>
              <w:right w:val="single" w:sz="8" w:space="0" w:color="000000"/>
            </w:tcBorders>
            <w:vAlign w:val="center"/>
          </w:tcPr>
          <w:p>
            <w:pPr>
              <w:spacing w:lineRule="auto"/>
              <w:jc w:val="left"/>
            </w:pPr>
            <w:r>
              <w:rPr/>
              <w:t xml:space="preserve">6,5854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270</w:t>
            </w:r>
          </w:p>
        </w:tc>
        <w:tc>
          <w:tcPr>
            <w:tcBorders>
              <w:bottom w:val="single" w:sz="8" w:space="0" w:color="000000"/>
              <w:right w:val="single" w:sz="8" w:space="0" w:color="000000"/>
            </w:tcBorders>
            <w:vAlign w:val="center"/>
          </w:tcPr>
          <w:p>
            <w:pPr>
              <w:spacing w:lineRule="auto"/>
              <w:jc w:val="left"/>
            </w:pPr>
            <w:r>
              <w:rPr/>
              <w:t xml:space="preserve">55</w:t>
            </w:r>
          </w:p>
        </w:tc>
        <w:tc>
          <w:tcPr>
            <w:tcBorders>
              <w:bottom w:val="single" w:sz="8" w:space="0" w:color="000000"/>
              <w:right w:val="single" w:sz="8" w:space="0" w:color="000000"/>
            </w:tcBorders>
            <w:vAlign w:val="center"/>
          </w:tcPr>
          <w:p>
            <w:pPr>
              <w:spacing w:lineRule="auto"/>
              <w:jc w:val="left"/>
            </w:pPr>
            <w:r>
              <w:rPr/>
              <w:t xml:space="preserve">1,3053</w:t>
            </w:r>
          </w:p>
        </w:tc>
        <w:tc>
          <w:tcPr>
            <w:tcBorders>
              <w:bottom w:val="single" w:sz="8" w:space="0" w:color="000000"/>
              <w:right w:val="single" w:sz="8" w:space="0" w:color="000000"/>
            </w:tcBorders>
            <w:vAlign w:val="center"/>
          </w:tcPr>
          <w:p>
            <w:pPr>
              <w:spacing w:lineRule="auto"/>
              <w:jc w:val="left"/>
            </w:pPr>
            <w:r>
              <w:rPr/>
              <w:t xml:space="preserve">1190,10</w:t>
            </w:r>
          </w:p>
        </w:tc>
        <w:tc>
          <w:tcPr>
            <w:tcBorders>
              <w:bottom w:val="single" w:sz="8" w:space="0" w:color="000000"/>
              <w:right w:val="single" w:sz="8" w:space="0" w:color="000000"/>
            </w:tcBorders>
            <w:vAlign w:val="center"/>
          </w:tcPr>
          <w:p>
            <w:pPr>
              <w:spacing w:lineRule="auto"/>
              <w:jc w:val="left"/>
            </w:pPr>
            <w:r>
              <w:rPr/>
              <w:t xml:space="preserve">2,9853</w:t>
            </w:r>
          </w:p>
        </w:tc>
        <w:tc>
          <w:tcPr>
            <w:tcBorders>
              <w:bottom w:val="single" w:sz="8" w:space="0" w:color="000000"/>
              <w:right w:val="single" w:sz="8" w:space="0" w:color="000000"/>
            </w:tcBorders>
            <w:vAlign w:val="center"/>
          </w:tcPr>
          <w:p>
            <w:pPr>
              <w:spacing w:lineRule="auto"/>
              <w:jc w:val="left"/>
            </w:pPr>
            <w:r>
              <w:rPr/>
              <w:t xml:space="preserve">0,03505</w:t>
            </w:r>
          </w:p>
        </w:tc>
        <w:tc>
          <w:tcPr>
            <w:tcBorders>
              <w:bottom w:val="single" w:sz="8" w:space="0" w:color="000000"/>
              <w:right w:val="single" w:sz="8" w:space="0" w:color="000000"/>
            </w:tcBorders>
            <w:vAlign w:val="center"/>
          </w:tcPr>
          <w:p>
            <w:pPr>
              <w:spacing w:lineRule="auto"/>
              <w:jc w:val="left"/>
            </w:pPr>
            <w:r>
              <w:rPr/>
              <w:t xml:space="preserve">2788,46</w:t>
            </w:r>
          </w:p>
        </w:tc>
        <w:tc>
          <w:tcPr>
            <w:tcBorders>
              <w:bottom w:val="single" w:sz="8" w:space="0" w:color="000000"/>
              <w:right w:val="single" w:sz="8" w:space="0" w:color="000000"/>
            </w:tcBorders>
            <w:vAlign w:val="center"/>
          </w:tcPr>
          <w:p>
            <w:pPr>
              <w:spacing w:lineRule="auto"/>
              <w:jc w:val="left"/>
            </w:pPr>
            <w:r>
              <w:rPr/>
              <w:t xml:space="preserve">5,9226</w:t>
            </w:r>
          </w:p>
        </w:tc>
      </w:tr>
    </w:tbl>
    <w:p>
      <w:pPr>
        <w:spacing w:lineRule="auto"/>
      </w:pPr>
    </w:p>
    <w:p>
      <w:pPr>
        <w:spacing w:after="220" w:lineRule="auto"/>
      </w:pPr>
      <m:oMath>
        <m:r>
          <m:rPr>
            <m:sty m:val="i"/>
          </m:rPr>
          <m:t>θ</m:t>
        </m:r>
      </m:oMath>
      <w:r>
        <w:rPr>
          <w:rFonts w:eastAsia="Georgia" w:cs="Georgia" w:ascii="Georgia" w:hAnsi="Georgia"/>
        </w:rPr>
        <w:t xml:space="preserve"> température</w:t>
      </w:r>
      <w:r>
        <w:rPr/>
        <w:br w:type="textWrapping"/>
      </w:r>
      <m:oMath>
        <m:sSub>
          <m:sSubPr/>
          <m:e>
            <m:r>
              <m:rPr>
                <m:sty m:val="i"/>
              </m:rPr>
              <m:t>P</m:t>
            </m:r>
          </m:e>
          <m:sub>
            <m:r>
              <m:rPr>
                <m:nor/>
              </m:rPr>
              <m:t>sat </m:t>
            </m:r>
          </m:sub>
        </m:sSub>
      </m:oMath>
      <w:r>
        <w:rPr/>
        <w:t xml:space="preserve"> pression de vapeur saturante</w:t>
      </w:r>
      <w:r>
        <w:rPr/>
        <w:br w:type="textWrapping"/>
      </w:r>
      <m:oMath>
        <m:sSub>
          <m:sSubPr/>
          <m:e>
            <m:r>
              <m:rPr>
                <m:sty m:val="i"/>
              </m:rPr>
              <m:t>v</m:t>
            </m:r>
          </m:e>
          <m:sub>
            <m:r>
              <m:rPr>
                <m:sty m:val="i"/>
              </m:rPr>
              <m:t>l</m:t>
            </m:r>
          </m:sub>
        </m:sSub>
        <m:r>
          <m:rPr>
            <m:sty m:val="p"/>
          </m:rPr>
          <m:t xml:space="preserve"> </m:t>
        </m:r>
      </m:oMath>
      <w:r>
        <w:rPr/>
        <w:t xml:space="preserve"> volume massique du liquide saturant</w:t>
      </w:r>
      <w:r>
        <w:rPr/>
        <w:br w:type="textWrapping"/>
      </w:r>
      <m:oMath>
        <m:sSub>
          <m:sSubPr/>
          <m:e>
            <m:r>
              <m:rPr>
                <m:sty m:val="i"/>
              </m:rPr>
              <m:t>h</m:t>
            </m:r>
          </m:e>
          <m:sub>
            <m:r>
              <m:rPr>
                <m:sty m:val="i"/>
              </m:rPr>
              <m:t>l</m:t>
            </m:r>
          </m:sub>
        </m:sSub>
        <m:r>
          <m:rPr>
            <m:sty m:val="p"/>
          </m:rPr>
          <m:t xml:space="preserve"> </m:t>
        </m:r>
      </m:oMath>
      <w:r>
        <w:rPr/>
        <w:t xml:space="preserve"> enthalpie massique du liquide saturant</w:t>
      </w:r>
      <w:r>
        <w:rPr/>
        <w:br w:type="textWrapping"/>
      </w:r>
      <m:oMath>
        <m:sSub>
          <m:sSubPr/>
          <m:e>
            <m:r>
              <m:rPr>
                <m:sty m:val="i"/>
              </m:rPr>
              <m:t>s</m:t>
            </m:r>
          </m:e>
          <m:sub>
            <m:r>
              <m:rPr>
                <m:sty m:val="i"/>
              </m:rPr>
              <m:t>l</m:t>
            </m:r>
          </m:sub>
        </m:sSub>
      </m:oMath>
      <w:r>
        <w:rPr/>
        <w:t xml:space="preserve"> entropie massique du liquide saturant</w:t>
      </w:r>
      <w:r>
        <w:rPr/>
        <w:br w:type="textWrapping"/>
      </w:r>
      <m:oMath>
        <m:sSub>
          <m:sSubPr/>
          <m:e>
            <m:r>
              <m:rPr>
                <m:sty m:val="i"/>
              </m:rPr>
              <m:t>v</m:t>
            </m:r>
          </m:e>
          <m:sub>
            <m:r>
              <m:rPr>
                <m:sty m:val="i"/>
              </m:rPr>
              <m:t>v</m:t>
            </m:r>
          </m:sub>
        </m:sSub>
      </m:oMath>
      <w:r>
        <w:rPr>
          <w:rFonts w:eastAsia="Georgia" w:cs="Georgia" w:ascii="Georgia" w:hAnsi="Georgia"/>
        </w:rPr>
        <w:t xml:space="preserve"> volume massique de la vapeur saturante sèche</w:t>
      </w:r>
      <w:r>
        <w:rPr/>
        <w:br w:type="textWrapping"/>
      </w:r>
      <m:oMath>
        <m:sSub>
          <m:sSubPr/>
          <m:e>
            <m:r>
              <m:rPr>
                <m:sty m:val="i"/>
              </m:rPr>
              <m:t>h</m:t>
            </m:r>
          </m:e>
          <m:sub>
            <m:r>
              <m:rPr>
                <m:sty m:val="i"/>
              </m:rPr>
              <m:t>v</m:t>
            </m:r>
          </m:sub>
        </m:sSub>
      </m:oMath>
      <w:r>
        <w:rPr>
          <w:rFonts w:eastAsia="Georgia" w:cs="Georgia" w:ascii="Georgia" w:hAnsi="Georgia"/>
        </w:rPr>
        <w:t xml:space="preserve"> enthalpie massique de la vapeur saturante sèche</w:t>
      </w:r>
      <w:r>
        <w:rPr/>
        <w:br w:type="textWrapping"/>
      </w:r>
      <m:oMath>
        <m:sSub>
          <m:sSubPr/>
          <m:e>
            <m:r>
              <m:rPr>
                <m:sty m:val="i"/>
              </m:rPr>
              <m:t>s</m:t>
            </m:r>
          </m:e>
          <m:sub>
            <m:r>
              <m:rPr>
                <m:sty m:val="i"/>
              </m:rPr>
              <m:t>v</m:t>
            </m:r>
          </m:sub>
        </m:sSub>
      </m:oMath>
      <w:r>
        <w:rPr>
          <w:rFonts w:eastAsia="Georgia" w:cs="Georgia" w:ascii="Georgia" w:hAnsi="Georgia"/>
        </w:rPr>
        <w:t xml:space="preserve"> entropie massique de la vapeur saturante sèche</w:t>
      </w:r>
    </w:p>
    <w:p>
      <w:pPr>
        <w:spacing w:line="271" w:before="330" w:lineRule="auto"/>
      </w:pPr>
      <w:r>
        <w:rPr>
          <w:rFonts w:eastAsia="Georgia" w:cs="Georgia" w:ascii="Georgia" w:hAnsi="Georgia"/>
          <w:b/>
          <w:sz w:val="42"/>
        </w:rPr>
        <w:t xml:space="preserve">Capacité thermique massique isobare de l'eau</w:t>
      </w:r>
    </w:p>
    <w:p>
      <w:pPr>
        <w:spacing w:after="220" w:lineRule="auto"/>
      </w:pPr>
      <m:oMathPara>
        <m:oMath>
          <m:r>
            <m:rPr>
              <m:sty m:val="i"/>
            </m:rPr>
            <m:t>c</m:t>
          </m:r>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p>
      <w:pPr>
        <w:spacing w:line="271" w:before="330" w:lineRule="auto"/>
      </w:pPr>
      <w:r>
        <w:rPr>
          <w:rFonts w:eastAsia="Georgia" w:cs="Georgia" w:ascii="Georgia" w:hAnsi="Georgia"/>
          <w:b/>
          <w:sz w:val="42"/>
        </w:rPr>
        <w:t xml:space="preserve">Potentiels standard d'oxydo-réduction (à </w:t>
      </w:r>
      <m:oMath>
        <m:sSup>
          <m:sSupPr>
            <m:ctrlPr>
              <w:rPr>
                <w:rFonts w:ascii="Cambria Math" w:hAnsi="Cambria Math"/>
                <w:sz w:val="42"/>
              </w:rPr>
            </m:ctrlPr>
          </m:sSupPr>
          <m:e>
            <m:r>
              <m:rPr>
                <m:sty m:val="p"/>
              </m:rPr>
              <w:rPr>
                <w:sz w:val="42"/>
              </w:rPr>
              <m:t>25</m:t>
            </m:r>
          </m:e>
          <m:sup>
            <m:r>
              <m:rPr>
                <m:sty m:val="p"/>
              </m:rPr>
              <w:rPr>
                <w:sz w:val="42"/>
              </w:rPr>
              <m:t>∘</m:t>
            </m:r>
          </m:sup>
        </m:sSup>
        <m:r>
          <m:rPr>
            <m:sty m:val="p"/>
          </m:rPr>
          <w:rPr>
            <w:sz w:val="42"/>
          </w:rPr>
          <m:t>C</m:t>
        </m:r>
      </m:oMath>
      <w:r>
        <w:rPr>
          <w:b/>
          <w:sz w:val="42"/>
        </w:rPr>
        <w:t xml:space="preserve"> )</w:t>
      </w:r>
    </w:p>
    <w:p>
      <w:pPr>
        <w:spacing w:after="220" w:lineRule="auto"/>
      </w:pPr>
      <m:oMathPara>
        <m:oMath>
          <m:sSup>
            <m:sSupPr/>
            <m:e>
              <m:r>
                <m:rPr>
                  <m:sty m:val="i"/>
                </m:rPr>
                <m:t>E</m:t>
              </m:r>
            </m:e>
            <m:sup>
              <m:r>
                <m:rPr>
                  <m:sty m:val="p"/>
                </m:rPr>
                <m:t>∘</m:t>
              </m:r>
            </m:sup>
          </m:sSup>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e>
          </m:d>
          <m:r>
            <m:rPr>
              <m:sty m:val="p"/>
            </m:rPr>
            <m:t>=</m:t>
          </m:r>
          <m:r>
            <m:rPr>
              <m:sty m:val="p"/>
            </m:rPr>
            <m:t>0</m:t>
          </m:r>
          <m:r>
            <m:rPr>
              <m:sty m:val="p"/>
            </m:rPr>
            <m:t>,</m:t>
          </m:r>
          <m:r>
            <m:rPr>
              <m:sty m:val="p"/>
            </m:rPr>
            <m:t>00</m:t>
          </m:r>
          <m:r>
            <m:rPr>
              <m:nor/>
            </m:rPr>
            <m:t xml:space="preserve"> </m:t>
          </m:r>
          <m:r>
            <m:rPr>
              <m:sty m:val="p"/>
            </m:rPr>
            <m:t>V</m:t>
          </m:r>
          <m:r>
            <m:rPr>
              <m:sty m:val="p"/>
            </m:rPr>
            <m:t xml:space="preserve"> </m:t>
          </m:r>
          <m:sSup>
            <m:sSupPr/>
            <m:e>
              <m:r>
                <m:rPr>
                  <m:sty m:val="i"/>
                </m:rPr>
                <m:t>E</m:t>
              </m:r>
            </m:e>
            <m:sup>
              <m:r>
                <m:rPr>
                  <m:sty m:val="p"/>
                </m:rPr>
                <m:t>∘</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23</m:t>
          </m:r>
          <m:r>
            <m:rPr>
              <m:nor/>
            </m:rPr>
            <m:t xml:space="preserve"> </m:t>
          </m:r>
          <m:r>
            <m:rPr>
              <m:sty m:val="p"/>
            </m:rPr>
            <m:t>V</m:t>
          </m:r>
        </m:oMath>
      </m:oMathPara>
    </w:p>
    <w:p>
      <w:pPr>
        <w:spacing w:line="271" w:before="330" w:lineRule="auto"/>
      </w:pPr>
      <w:r>
        <w:rPr>
          <w:b/>
          <w:sz w:val="42"/>
        </w:rPr>
        <w:t xml:space="preserve">Masses atomiques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Atome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F</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235</m:t>
                    </m:r>
                  </m:sup>
                </m:sSup>
                <m:r>
                  <m:rPr>
                    <m:sty m:val="p"/>
                  </m:rPr>
                  <m:t>U</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238</m:t>
                    </m:r>
                  </m:sup>
                </m:sSup>
                <m:r>
                  <m:rPr>
                    <m:sty m:val="p"/>
                  </m:rPr>
                  <m:t>U</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Masses atomiques (u)</w:t>
            </w:r>
          </w:p>
        </w:tc>
        <w:tc>
          <w:tcPr>
            <w:tcBorders>
              <w:bottom w:val="single" w:sz="8" w:space="0" w:color="000000"/>
              <w:right w:val="single" w:sz="8" w:space="0" w:color="000000"/>
            </w:tcBorders>
            <w:vAlign w:val="center"/>
          </w:tcPr>
          <w:p>
            <w:pPr>
              <w:spacing w:lineRule="auto"/>
              <w:jc w:val="center"/>
            </w:pPr>
            <w:r>
              <w:rPr/>
              <w:t xml:space="preserve">19,0</w:t>
            </w:r>
          </w:p>
        </w:tc>
        <w:tc>
          <w:tcPr>
            <w:tcBorders>
              <w:bottom w:val="single" w:sz="8" w:space="0" w:color="000000"/>
              <w:right w:val="single" w:sz="8" w:space="0" w:color="000000"/>
            </w:tcBorders>
            <w:vAlign w:val="center"/>
          </w:tcPr>
          <w:p>
            <w:pPr>
              <w:spacing w:lineRule="auto"/>
              <w:jc w:val="center"/>
            </w:pPr>
            <w:r>
              <w:rPr/>
              <w:t xml:space="preserve">235,0</w:t>
            </w:r>
          </w:p>
        </w:tc>
        <w:tc>
          <w:tcPr>
            <w:tcBorders>
              <w:bottom w:val="single" w:sz="8" w:space="0" w:color="000000"/>
              <w:right w:val="single" w:sz="8" w:space="0" w:color="000000"/>
            </w:tcBorders>
            <w:vAlign w:val="center"/>
          </w:tcPr>
          <w:p>
            <w:pPr>
              <w:spacing w:lineRule="auto"/>
              <w:jc w:val="center"/>
            </w:pPr>
            <w:r>
              <w:rPr/>
              <w:t xml:space="preserve">238,0</w:t>
            </w:r>
          </w:p>
        </w:tc>
      </w:tr>
    </w:tbl>
    <w:p>
      <w:pPr>
        <w:spacing w:lineRule="auto"/>
      </w:pPr>
    </w:p>
    <w:p>
      <w:pPr>
        <w:spacing w:line="271" w:before="330" w:lineRule="auto"/>
      </w:pPr>
      <w:r>
        <w:rPr>
          <w:b/>
          <w:sz w:val="42"/>
        </w:rPr>
        <w:t xml:space="preserve">Constantes diverses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Unité de masse atomique unifiée</w:t>
            </w:r>
          </w:p>
        </w:tc>
        <w:tc>
          <w:tcPr>
            <w:tcBorders/>
            <w:vAlign w:val="center"/>
          </w:tcPr>
          <w:p>
            <w:pPr>
              <w:spacing w:lineRule="auto"/>
              <w:jc w:val="left"/>
            </w:pPr>
            <m:oMathPara>
              <m:oMathParaPr>
                <m:jc m:val="left"/>
              </m:oMathParaPr>
              <m:oMath>
                <m:r>
                  <m:rPr>
                    <m:sty m:val="p"/>
                  </m:rPr>
                  <m:t>1</m:t>
                </m:r>
                <m:r>
                  <m:rPr>
                    <m:sty m:val="p"/>
                  </m:rPr>
                  <m:t>u</m:t>
                </m:r>
                <m:r>
                  <m:rPr>
                    <m:sty m:val="p"/>
                  </m:rPr>
                  <m:t>=</m:t>
                </m:r>
                <m:r>
                  <m:rPr>
                    <m:sty m:val="p"/>
                  </m:rPr>
                  <m:t>1</m:t>
                </m:r>
                <m:r>
                  <m:rPr>
                    <m:sty m:val="p"/>
                  </m:rPr>
                  <m:t>,</m:t>
                </m:r>
                <m:r>
                  <m:rPr>
                    <m:sty m:val="p"/>
                  </m:rPr>
                  <m:t>66</m:t>
                </m:r>
                <m:r>
                  <m:rPr>
                    <m:sty m:val="p"/>
                  </m:rPr>
                  <m:t>×</m:t>
                </m:r>
                <m:sSup>
                  <m:sSupPr/>
                  <m:e>
                    <m:r>
                      <m:rPr>
                        <m:sty m:val="p"/>
                      </m:rPr>
                      <m:t>10</m:t>
                    </m:r>
                  </m:e>
                  <m:sup>
                    <m:r>
                      <m:rPr>
                        <m:sty m:val="p"/>
                      </m:rPr>
                      <m:t>−</m:t>
                    </m:r>
                    <m:r>
                      <m:rPr>
                        <m:sty m:val="p"/>
                      </m:rPr>
                      <m:t>27</m:t>
                    </m:r>
                  </m:sup>
                </m:sSup>
                <m:r>
                  <m:rPr>
                    <m:nor/>
                  </m:rPr>
                  <m:t xml:space="preserve"> </m:t>
                </m:r>
                <m:r>
                  <m:rPr>
                    <m:sty m:val="p"/>
                  </m:rPr>
                  <m:t>kg</m:t>
                </m:r>
              </m:oMath>
            </m:oMathPara>
          </w:p>
        </w:tc>
      </w:tr>
      <w:tr>
        <w:trPr>
          <w:cantSplit/>
        </w:trPr>
        <w:tc>
          <w:tcPr>
            <w:tcBorders/>
            <w:vAlign w:val="center"/>
          </w:tcPr>
          <w:p>
            <w:pPr>
              <w:spacing w:lineRule="auto"/>
              <w:jc w:val="left"/>
            </w:pPr>
            <w:r>
              <w:rPr/>
              <w:t xml:space="preserve">Constante de Boltzmann</w:t>
            </w:r>
          </w:p>
        </w:tc>
        <w:tc>
          <w:tcPr>
            <w:tcBorders/>
            <w:vAlign w:val="center"/>
          </w:tcPr>
          <w:p>
            <w:pPr>
              <w:spacing w:lineRule="auto"/>
              <w:jc w:val="left"/>
            </w:pPr>
            <m:oMathPara>
              <m:oMathParaPr>
                <m:jc m:val="left"/>
              </m:oMathParaPr>
              <m:oMath>
                <m:sSub>
                  <m:sSubPr/>
                  <m:e>
                    <m:r>
                      <m:rPr>
                        <m:sty m:val="i"/>
                      </m:rPr>
                      <m:t>k</m:t>
                    </m:r>
                  </m:e>
                  <m:sub>
                    <m:r>
                      <m:rPr>
                        <m:sty m:val="i"/>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des gaz parfaits</w:t>
            </w:r>
          </w:p>
        </w:tc>
        <w:tc>
          <w:tcPr>
            <w:tcBorders/>
            <w:vAlign w:val="center"/>
          </w:tcPr>
          <w:p>
            <w:pPr>
              <w:spacing w:lineRule="auto"/>
              <w:jc w:val="left"/>
            </w:pPr>
            <m:oMathPara>
              <m:oMathParaPr>
                <m:jc m:val="left"/>
              </m:oMathParaP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 Faraday</w:t>
            </w:r>
          </w:p>
        </w:tc>
        <w:tc>
          <w:tcPr>
            <w:tcBorders/>
            <w:vAlign w:val="center"/>
          </w:tcPr>
          <w:p>
            <w:pPr>
              <w:spacing w:lineRule="auto"/>
              <w:jc w:val="left"/>
            </w:pPr>
            <m:oMathPara>
              <m:oMathParaPr>
                <m:jc m:val="left"/>
              </m:oMathParaPr>
              <m:oMath>
                <m:r>
                  <m:rPr>
                    <m:sty m:val="i"/>
                  </m:rPr>
                  <m:t>F</m:t>
                </m:r>
                <m:r>
                  <m:rPr>
                    <m:sty m:val="p"/>
                  </m:rPr>
                  <m:t>=</m:t>
                </m:r>
                <m:r>
                  <m:rPr>
                    <m:sty m:val="p"/>
                  </m:rPr>
                  <m:t>96500</m:t>
                </m:r>
                <m:r>
                  <m:rPr>
                    <m:sty m:val="p"/>
                  </m:rPr>
                  <m:t>C</m:t>
                </m:r>
                <m:r>
                  <m:rPr>
                    <m:sty m:val="p"/>
                  </m:rPr>
                  <m:t>⋅</m:t>
                </m:r>
                <m:sSup>
                  <m:sSupPr/>
                  <m:e>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On prendra</w:t>
            </w:r>
          </w:p>
        </w:tc>
        <w:tc>
          <w:tcPr>
            <w:tcBorders/>
            <w:vAlign w:val="center"/>
          </w:tcPr>
          <w:p>
            <w:pPr>
              <w:spacing w:lineRule="auto"/>
              <w:jc w:val="left"/>
            </w:pPr>
            <m:oMathPara>
              <m:oMathParaPr>
                <m:jc m:val="left"/>
              </m:oMathParaPr>
              <m:oMath>
                <m:sSup>
                  <m:sSupPr/>
                  <m:e>
                    <m:r>
                      <m:rPr>
                        <m:sty m:val="p"/>
                      </m:rPr>
                      <m:t>0</m:t>
                    </m:r>
                  </m:e>
                  <m:sup>
                    <m:r>
                      <m:rPr>
                        <m:sty m:val="p"/>
                      </m:rPr>
                      <m:t>∘</m:t>
                    </m:r>
                  </m:sup>
                </m:sSup>
                <m:r>
                  <m:rPr>
                    <m:sty m:val="p"/>
                  </m:rPr>
                  <m:t>C</m:t>
                </m:r>
                <m:r>
                  <m:rPr>
                    <m:sty m:val="p"/>
                  </m:rPr>
                  <m:t>=</m:t>
                </m:r>
                <m:r>
                  <m:rPr>
                    <m:sty m:val="p"/>
                  </m:rPr>
                  <m:t>273</m:t>
                </m:r>
                <m:r>
                  <m:rPr>
                    <m:nor/>
                  </m:rPr>
                  <m:t xml:space="preserve"> </m:t>
                </m:r>
                <m:r>
                  <m:rPr>
                    <m:sty m:val="p"/>
                  </m:rPr>
                  <m:t>K</m:t>
                </m:r>
              </m:oMath>
            </m:oMathPara>
          </w:p>
        </w:tc>
      </w:tr>
    </w:tbl>
    <w:p>
      <w:pPr>
        <w:spacing w:lineRule="auto"/>
      </w:pPr>
    </w:p>
    <w:p>
      <w:pPr>
        <w:spacing w:line="271" w:before="330" w:lineRule="auto"/>
      </w:pPr>
      <w:r>
        <w:rPr>
          <w:b/>
          <w:sz w:val="42"/>
        </w:rPr>
        <w:t xml:space="preserve">Formulaire</w:t>
      </w:r>
    </w:p>
    <w:p>
      <w:pPr>
        <w:spacing w:after="220" w:lineRule="auto"/>
      </w:pPr>
      <w:r>
        <w:rPr/>
        <w:t xml:space="preserve">Expression du gradient d'une fonction scalaire </w:t>
      </w:r>
      <m:oMath>
        <m:r>
          <m:rPr>
            <m:sty m:val="i"/>
          </m:rPr>
          <m:t>f</m:t>
        </m:r>
        <m:r>
          <m:rPr>
            <m:sty m:val="p"/>
          </m:rPr>
          <m:t>(</m:t>
        </m:r>
        <m:r>
          <m:rPr>
            <m:sty m:val="i"/>
          </m:rPr>
          <m:t>r</m:t>
        </m:r>
        <m:r>
          <m:rPr>
            <m:sty m:val="p"/>
          </m:rPr>
          <m:t>,</m:t>
        </m:r>
        <m:r>
          <m:rPr>
            <m:sty m:val="i"/>
          </m:rPr>
          <m:t>θ</m:t>
        </m:r>
        <m:r>
          <m:rPr>
            <m:sty m:val="p"/>
          </m:rPr>
          <m:t>,</m:t>
        </m:r>
        <m:r>
          <m:rPr>
            <m:sty m:val="i"/>
          </m:rPr>
          <m:t>z</m:t>
        </m:r>
        <m:r>
          <m:rPr>
            <m:sty m:val="p"/>
          </m:rPr>
          <m:t>)</m:t>
        </m:r>
      </m:oMath>
      <w:r>
        <w:rPr>
          <w:rFonts w:eastAsia="Georgia" w:cs="Georgia" w:ascii="Georgia" w:hAnsi="Georgia"/>
        </w:rPr>
        <w:t xml:space="preserve"> en coordonnées cylindriques</w:t>
      </w:r>
    </w:p>
    <w:p>
      <w:pPr>
        <w:spacing w:after="220" w:lineRule="auto"/>
      </w:pPr>
      <m:oMathPara>
        <m:oMath>
          <m:acc>
            <m:accPr>
              <m:chr m:val="⃗"/>
            </m:accPr>
            <m:e>
              <m:r>
                <m:rPr>
                  <m:sty m:val="p"/>
                </m:rPr>
                <m:t>grad</m:t>
              </m:r>
            </m:e>
          </m:acc>
          <m:r>
            <m:rPr>
              <m:sty m:val="i"/>
            </m:rPr>
            <m:t>f</m:t>
          </m:r>
          <m:r>
            <m:rPr>
              <m:sty m:val="p"/>
            </m:rPr>
            <m:t>=</m:t>
          </m:r>
          <m:f>
            <m:fPr>
              <m:ctrlPr>
                <w:rPr>
                  <w:rFonts w:ascii="Cambria Math" w:hAnsi="Cambria Math"/>
                </w:rPr>
              </m:ctrlPr>
            </m:fPr>
            <m:num>
              <m:r>
                <m:rPr>
                  <m:sty m:val="i"/>
                </m:rPr>
                <m:t>∂</m:t>
              </m:r>
              <m:r>
                <m:rPr>
                  <m:sty m:val="i"/>
                </m:rPr>
                <m:t>f</m:t>
              </m:r>
            </m:num>
            <m:den>
              <m:r>
                <m:rPr>
                  <m:sty m:val="i"/>
                </m:rPr>
                <m:t>∂</m:t>
              </m:r>
              <m:r>
                <m:rPr>
                  <m:sty m:val="i"/>
                </m:rPr>
                <m:t>r</m:t>
              </m:r>
            </m:den>
          </m:f>
          <m:sSub>
            <m:sSubPr/>
            <m:e>
              <m:acc>
                <m:accPr>
                  <m:chr m:val="⃗"/>
                </m:accPr>
                <m:e>
                  <m:r>
                    <m:rPr>
                      <m:sty m:val="i"/>
                    </m:rPr>
                    <m:t>e</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sSub>
            <m:sSubPr/>
            <m:e>
              <m:acc>
                <m:accPr>
                  <m:chr m:val="⃗"/>
                </m:accPr>
                <m:e>
                  <m:r>
                    <m:rPr>
                      <m:sty m:val="i"/>
                    </m:rPr>
                    <m:t>e</m:t>
                  </m:r>
                </m:e>
              </m:acc>
            </m:e>
            <m:sub>
              <m:r>
                <m:rPr>
                  <m:sty m:val="i"/>
                </m:rPr>
                <m:t>θ</m:t>
              </m:r>
            </m:sub>
          </m:sSub>
          <m:r>
            <m:rPr>
              <m:sty m:val="p"/>
            </m:rPr>
            <m:t>+</m:t>
          </m:r>
          <m:f>
            <m:fPr>
              <m:ctrlPr>
                <w:rPr>
                  <w:rFonts w:ascii="Cambria Math" w:hAnsi="Cambria Math"/>
                </w:rPr>
              </m:ctrlPr>
            </m:fPr>
            <m:num>
              <m:r>
                <m:rPr>
                  <m:sty m:val="i"/>
                </m:rPr>
                <m:t>∂</m:t>
              </m:r>
              <m:r>
                <m:rPr>
                  <m:sty m:val="i"/>
                </m:rPr>
                <m:t>f</m:t>
              </m:r>
            </m:num>
            <m:den>
              <m:r>
                <m:rPr>
                  <m:sty m:val="i"/>
                </m:rPr>
                <m:t>∂</m:t>
              </m:r>
              <m:r>
                <m:rPr>
                  <m:sty m:val="i"/>
                </m:rPr>
                <m:t>z</m:t>
              </m:r>
            </m:den>
          </m:f>
          <m:sSub>
            <m:sSubPr/>
            <m:e>
              <m:acc>
                <m:accPr>
                  <m:chr m:val="⃗"/>
                </m:accPr>
                <m:e>
                  <m:r>
                    <m:rPr>
                      <m:sty m:val="i"/>
                    </m:rPr>
                    <m:t>e</m:t>
                  </m:r>
                </m:e>
              </m:acc>
            </m:e>
            <m:sub>
              <m:r>
                <m:rPr>
                  <m:sty m:val="i"/>
                </m:rPr>
                <m:t>z</m:t>
              </m:r>
            </m:sub>
          </m:sSub>
        </m:oMath>
      </m:oMathPara>
    </w:p>
    <w:p>
      <w:pPr>
        <w:spacing w:lineRule="auto"/>
        <w:jc w:val="center"/>
      </w:pPr>
      <w:r>
        <w:rPr/>
        <w:drawing>
          <wp:inline distB="0" distL="0" distR="0" distT="0">
            <wp:extent cx="3476625" cy="26803350"/>
            <wp:effectExtent b="0" l="0" r="0" t="0"/>
            <wp:docPr id="14" name="image-80946c83f059c279f784e643c1883ad9609e926f.jpg"/>
            <a:graphic>
              <a:graphicData uri="http://schemas.openxmlformats.org/drawingml/2006/picture">
                <pic:pic>
                  <pic:nvPicPr>
                    <pic:cNvPr id="14" name="image-80946c83f059c279f784e643c1883ad9609e926f.jpg" descr=""/>
                    <pic:cNvPicPr/>
                  </pic:nvPicPr>
                  <pic:blipFill>
                    <a:blip r:embed="rId18" cstate="print"/>
                    <a:srcRect b="0" l="0" r="0" t="0"/>
                    <a:stretch>
                      <a:fillRect/>
                    </a:stretch>
                  </pic:blipFill>
                  <pic:spPr>
                    <a:xfrm>
                      <a:off x="0" y="0"/>
                      <a:ext cx="3476625" cy="26803350"/>
                    </a:xfrm>
                    <a:prstGeom prst="rect"/>
                  </pic:spPr>
                </pic:pic>
              </a:graphicData>
            </a:graphic>
          </wp:inline>
        </w:drawing>
      </w:r>
    </w:p>
    <w:p>
      <w:pPr>
        <w:spacing w:lineRule="auto"/>
      </w:pPr>
      <w:r>
        <w:rPr>
          <w:rFonts w:eastAsia="Georgia" w:cs="Georgia" w:ascii="Georgia" w:hAnsi="Georgia"/>
        </w:rPr>
        <w:t xml:space="preserve">Les températures sont exprimées en </w:t>
      </w:r>
      <m:oMath>
        <m:sSup>
          <m:sSupPr/>
          <m:e>
            <m:r>
              <m:t xml:space="preserve"> </m:t>
            </m:r>
          </m:e>
          <m:sup>
            <m:r>
              <m:rPr>
                <m:sty m:val="p"/>
              </m:rPr>
              <m:t>∘</m:t>
            </m:r>
          </m:sup>
        </m:sSup>
        <m:r>
          <m:rPr>
            <m:sty m:val="p"/>
          </m:rPr>
          <m:t>C</m:t>
        </m:r>
      </m:oMath>
    </w:p>
    <w:p>
      <w:pPr>
        <w:spacing w:lineRule="auto"/>
        <w:jc w:val="center"/>
      </w:pPr>
      <w:r>
        <w:rPr/>
        <w:drawing>
          <wp:inline distB="0" distL="0" distR="0" distT="0">
            <wp:extent cx="5486400" cy="12072865"/>
            <wp:effectExtent b="0" l="0" r="0" t="0"/>
            <wp:docPr id="15" name="image-18dd747fcf67428a52207c1658697b1f44bcf589.jpg"/>
            <a:graphic>
              <a:graphicData uri="http://schemas.openxmlformats.org/drawingml/2006/picture">
                <pic:pic>
                  <pic:nvPicPr>
                    <pic:cNvPr id="15" name="image-18dd747fcf67428a52207c1658697b1f44bcf589.jpg" descr=""/>
                    <pic:cNvPicPr/>
                  </pic:nvPicPr>
                  <pic:blipFill>
                    <a:blip r:embed="rId19" cstate="print"/>
                    <a:srcRect b="0" l="0" r="0" t="0"/>
                    <a:stretch>
                      <a:fillRect/>
                    </a:stretch>
                  </pic:blipFill>
                  <pic:spPr>
                    <a:xfrm>
                      <a:off x="0" y="0"/>
                      <a:ext cx="5486400" cy="1207286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fea36fc3d32f82313ef2c2508e36caf76aada94.jpg" TargetMode="Internal"/><Relationship Id="rId6" Type="http://schemas.openxmlformats.org/officeDocument/2006/relationships/image" Target="media/image-12bb8bf45b5dde823e0e0b72dca56a7303633f71.jpg" TargetMode="Internal"/><Relationship Id="rId7" Type="http://schemas.openxmlformats.org/officeDocument/2006/relationships/image" Target="media/image-2c1fda8b2b1bbb58d28b0a268cf9c60cbe7d1f7a.jpg" TargetMode="Internal"/><Relationship Id="rId8" Type="http://schemas.openxmlformats.org/officeDocument/2006/relationships/image" Target="media/image-8f2d647865cd6b64d475d349ee899f099caa21a2.jpg" TargetMode="Internal"/><Relationship Id="rId9" Type="http://schemas.openxmlformats.org/officeDocument/2006/relationships/image" Target="media/image-d97ccd1ab286d8cae603e08f30ebbb6bea159feb.jpg" TargetMode="Internal"/><Relationship Id="rId10" Type="http://schemas.openxmlformats.org/officeDocument/2006/relationships/image" Target="media/image-7f055968fc3421c7c1bdb678b04e0f6aa8b84932.jpg" TargetMode="Internal"/><Relationship Id="rId11" Type="http://schemas.openxmlformats.org/officeDocument/2006/relationships/image" Target="media/image-54ac50cc8688c297a0f9b1cc4bc235c945b24a91.jpg" TargetMode="Internal"/><Relationship Id="rId12" Type="http://schemas.openxmlformats.org/officeDocument/2006/relationships/image" Target="media/image-1921b54d5b15f3960c2da645c6b68361e873aec6.jpg" TargetMode="Internal"/><Relationship Id="rId13" Type="http://schemas.openxmlformats.org/officeDocument/2006/relationships/image" Target="media/image-816c0cdc817d0567149d4a059ef016b4bec06ee4.jpg" TargetMode="Internal"/><Relationship Id="rId14" Type="http://schemas.openxmlformats.org/officeDocument/2006/relationships/image" Target="media/image-8140429432b056917387ffea0a509542cd323d55.jpg" TargetMode="Internal"/><Relationship Id="rId15" Type="http://schemas.openxmlformats.org/officeDocument/2006/relationships/image" Target="media/image-c6d5734f9e383ce34591d25099df2612534e6ffc.jpg" TargetMode="Internal"/><Relationship Id="rId16" Type="http://schemas.openxmlformats.org/officeDocument/2006/relationships/image" Target="media/image-fe3058be5e6e71304990109c8003dcaebe0fe349.jpg" TargetMode="Internal"/><Relationship Id="rId17" Type="http://schemas.openxmlformats.org/officeDocument/2006/relationships/image" Target="media/image-b727fc018d16900d7c42253ccc1ee649667f4ace.jpg" TargetMode="Internal"/><Relationship Id="rId18" Type="http://schemas.openxmlformats.org/officeDocument/2006/relationships/image" Target="media/image-80946c83f059c279f784e643c1883ad9609e926f.jpg" TargetMode="Internal"/><Relationship Id="rId19" Type="http://schemas.openxmlformats.org/officeDocument/2006/relationships/image" Target="media/image-18dd747fcf67428a52207c1658697b1f44bcf58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2025-09-04T21:26:15.706Z</dcterms:created>
  <dcterms:modified xsi:type="dcterms:W3CDTF">2025-09-04T21:26:15.706Z</dcterms:modified>
</cp:coreProperties>
</file>