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Rule="auto"/>
        <w:jc w:val="center"/>
      </w:pPr>
      <w:r>
        <w:rPr/>
        <w:drawing>
          <wp:inline distB="0" distL="0" distR="0" distT="0">
            <wp:extent cx="5486400" cy="1852689"/>
            <wp:effectExtent b="0" l="0" r="0" t="0"/>
            <wp:docPr id="1" name="image-c45514a9db48efa57bebad1b3fcf87847f1cd68d.jpg"/>
            <a:graphic>
              <a:graphicData uri="http://schemas.openxmlformats.org/drawingml/2006/picture">
                <pic:pic>
                  <pic:nvPicPr>
                    <pic:cNvPr id="1" name="image-c45514a9db48efa57bebad1b3fcf87847f1cd68d.jpg" descr=""/>
                    <pic:cNvPicPr/>
                  </pic:nvPicPr>
                  <pic:blipFill>
                    <a:blip r:embed="rId5" cstate="print"/>
                    <a:srcRect b="0" l="0" r="0" t="0"/>
                    <a:stretch>
                      <a:fillRect/>
                    </a:stretch>
                  </pic:blipFill>
                  <pic:spPr>
                    <a:xfrm>
                      <a:off x="0" y="0"/>
                      <a:ext cx="5486400" cy="1852689"/>
                    </a:xfrm>
                    <a:prstGeom prst="rect"/>
                  </pic:spPr>
                </pic:pic>
              </a:graphicData>
            </a:graphic>
          </wp:inline>
        </w:drawing>
      </w:r>
    </w:p>
    <w:p>
      <w:pPr>
        <w:spacing w:after="220" w:lineRule="auto"/>
      </w:pPr>
      <w:r>
        <w:rPr>
          <w:rFonts w:eastAsia="Georgia" w:cs="Georgia" w:ascii="Georgia" w:hAnsi="Georgia"/>
        </w:rPr>
        <w:t xml:space="preserve">L'histoire du film The Martian (Seul sur Mars) de Ridley Scott, montre comment un homme, Mark Watney, survit seul sur Mars grâce à ses connaissances scientifiques. L'environnement hostile de la planète représente une contrainte de taille pour les ingénieurs et les scientifiques qui travaillent pour que des hommes puissent un jour poser le pied sur la planète rouge. La NASA annonce un vol habité pour Mars dans les années 2030, l'hypothèse du film n'est donc pas irréaliste. Même si cette histoire repose sur des travaux scientifiques et des techniques aérospatiales actuelles, on peut se demander si l'histoire est bien réaliste.</w:t>
      </w:r>
      <w:r>
        <w:rPr/>
        <w:br w:type="textWrapping"/>
      </w:r>
      <w:r>
        <w:rPr>
          <w:rFonts w:eastAsia="Georgia" w:cs="Georgia" w:ascii="Georgia" w:hAnsi="Georgia"/>
        </w:rPr>
        <w:t xml:space="preserve">Certaines questions, repérées par une barre en marge, ne sont pas guidées et demandent de l'initiative de la part du candidat. Les pistes de recherche doivent être consignées, si elles sont pertinentes, elles seront valorisées. Le barème tient compte du temps nécessaire pour explorer ces pistes et élaborer un raisonnement.</w:t>
      </w:r>
      <w:r>
        <w:rPr/>
        <w:br w:type="textWrapping"/>
      </w:r>
      <w:r>
        <w:rPr>
          <w:rFonts w:eastAsia="Georgia" w:cs="Georgia" w:ascii="Georgia" w:hAnsi="Georgia"/>
        </w:rPr>
        <w:t xml:space="preserve">Les quatre premières parties du sujet peuvent être liées notamment concernant les applications numériques. Les deux dernières parties sont indépendantes.</w:t>
      </w:r>
      <w:r>
        <w:rPr/>
        <w:br w:type="textWrapping"/>
      </w:r>
      <w:r>
        <w:rPr>
          <w:rFonts w:eastAsia="Georgia" w:cs="Georgia" w:ascii="Georgia" w:hAnsi="Georgia"/>
        </w:rPr>
        <w:t xml:space="preserve">Toutes les données nécessaires à la résolution du sujet sont données en fin de sujet.</w:t>
      </w:r>
    </w:p>
    <w:p>
      <w:pPr>
        <w:spacing w:line="271" w:before="330" w:lineRule="auto"/>
      </w:pPr>
      <w:r>
        <w:rPr>
          <w:rFonts w:eastAsia="Georgia" w:cs="Georgia" w:ascii="Georgia" w:hAnsi="Georgia"/>
          <w:b/>
          <w:sz w:val="42"/>
        </w:rPr>
        <w:t xml:space="preserve">I La planète Mars</w:t>
      </w:r>
    </w:p>
    <w:p>
      <w:pPr>
        <w:spacing w:after="220" w:lineRule="auto"/>
      </w:pPr>
      <w:r>
        <w:rPr>
          <w:rFonts w:eastAsia="Georgia" w:cs="Georgia" w:ascii="Georgia" w:hAnsi="Georgia"/>
        </w:rPr>
        <w:t xml:space="preserve">Mars est la quatrième planète par ordre de distance croissante au Soleil et la deuxième par masse et par taille croissantes sur les huit planètes que compte le système solaire. Dans le référentiel héliocentrique (aussi appelé référentiel de Kepler), supposé galiléen, la trajectoire de Mars est une ellipse contenue dans le plan de l'écliptique.</w:t>
      </w:r>
    </w:p>
    <w:p>
      <w:pPr>
        <w:spacing w:line="271" w:before="330" w:lineRule="auto"/>
      </w:pPr>
      <w:r>
        <w:rPr>
          <w:b/>
          <w:sz w:val="42"/>
        </w:rPr>
        <w:t xml:space="preserve">Extrait de CNRS Le journal</w:t>
      </w:r>
    </w:p>
    <w:p>
      <w:pPr>
        <w:spacing w:after="220" w:lineRule="auto"/>
      </w:pPr>
      <w:r>
        <w:rPr>
          <w:rFonts w:eastAsia="Georgia" w:cs="Georgia" w:ascii="Georgia" w:hAnsi="Georgia"/>
        </w:rPr>
        <w:t xml:space="preserve">Question : Envoyer des humains sur Mars coûterait au moins 100 ou 200 milliards de dollars et ne serait possible que vers 2050 , à condition qu'une vraie volonté politique se dégage. Ne vaut-il pas mieux continuer à envoyer des robots?</w:t>
      </w:r>
      <w:r>
        <w:rPr/>
        <w:br w:type="textWrapping"/>
      </w:r>
      <w:r>
        <w:rPr>
          <w:rFonts w:eastAsia="Georgia" w:cs="Georgia" w:ascii="Georgia" w:hAnsi="Georgia"/>
        </w:rPr>
        <w:t xml:space="preserve">Réponse du planétologue François Forget: C'est un vieux débat, [...] les robots ne sont pas forcément plus efficaces que les humains. Par exemple, un géologue peut repérer en quelques secondes une pierre intéressante, alors qu'il faudra des jours pour la repérer en manœuvrant un rover depuis la Terre, vu que les signaux radio mettent 5 à 22 minutes entre les deux planètes. Mais il y a une alternative qui me plaît bien: envoyer des humains en orbite martienne sans qu'ils se posent à la surface. Il est en effet très difficile - et donc coûteux de poser des charges de plus d'une tonne sur Mars. Parce que l'atmosphère y est trop fine pour freiner correctement avec un parachute comme sur Terre, et trop épaisse pour ralentir juste au-dessus de la surface avec de simples rétrofusées comme sur notre Lune. Autre avantage : plus besoin de MAV pour remonter, ni d'habitat en surface. Au final, depuis l'orbite, les astronautes pourraient facilement aller se poser sur les petites lunes Phobos ou Deimos (qui n'ont presque pas de gravité), et surtout piloter en quasi temps réel des robots sophistiqués envoyés sur Mars elle-même. Une telle mission pourrait avoir lieu dès 2035.</w:t>
      </w:r>
    </w:p>
    <w:p>
      <w:pPr>
        <w:spacing w:after="220" w:lineRule="auto"/>
      </w:pPr>
      <w:r>
        <w:rPr/>
        <w:t xml:space="preserve">09 novembre 2016</w:t>
      </w:r>
    </w:p>
    <w:p>
      <w:pPr>
        <w:spacing w:after="220" w:lineRule="auto"/>
      </w:pPr>
      <w:r>
        <w:rPr>
          <w:rFonts w:eastAsia="Georgia" w:cs="Georgia" w:ascii="Georgia" w:hAnsi="Georgia"/>
        </w:rPr>
        <w:t xml:space="preserve">Q 1. En utilisant l'extrait du CNRS Le Journal, proposer un encadrement de la distance de Mars au Soleil. En déduire le demi-grand axe </w:t>
      </w:r>
      <m:oMath>
        <m:sSub>
          <m:sSubPr/>
          <m:e>
            <m:r>
              <m:rPr>
                <m:sty m:val="i"/>
              </m:rPr>
              <m:t>a</m:t>
            </m:r>
          </m:e>
          <m:sub>
            <m:r>
              <m:rPr>
                <m:sty m:val="i"/>
              </m:rPr>
              <m:t>M</m:t>
            </m:r>
          </m:sub>
        </m:sSub>
      </m:oMath>
      <w:r>
        <w:rPr>
          <w:rFonts w:eastAsia="Georgia" w:cs="Georgia" w:ascii="Georgia" w:hAnsi="Georgia"/>
        </w:rPr>
        <w:t xml:space="preserve"> de l'ellipse correspondant à la trajectoire de Mars.</w:t>
      </w:r>
      <w:r>
        <w:rPr/>
        <w:br w:type="textWrapping"/>
      </w:r>
      <w:r>
        <w:rPr>
          <w:rFonts w:eastAsia="Georgia" w:cs="Georgia" w:ascii="Georgia" w:hAnsi="Georgia"/>
        </w:rPr>
        <w:t xml:space="preserve">Q 2. Sachant que la période de révolution de Mars est </w:t>
      </w:r>
      <m:oMath>
        <m:sSub>
          <m:sSubPr/>
          <m:e>
            <m:r>
              <m:rPr>
                <m:sty m:val="i"/>
              </m:rPr>
              <m:t>T</m:t>
            </m:r>
          </m:e>
          <m:sub>
            <m:r>
              <m:rPr>
                <m:sty m:val="i"/>
              </m:rPr>
              <m:t>M</m:t>
            </m:r>
          </m:sub>
        </m:sSub>
        <m:r>
          <m:rPr>
            <m:sty m:val="p"/>
          </m:rPr>
          <m:t>=</m:t>
        </m:r>
        <m:r>
          <m:rPr>
            <m:sty m:val="p"/>
          </m:rPr>
          <m:t>687</m:t>
        </m:r>
      </m:oMath>
      <w:r>
        <w:rPr/>
        <w:t xml:space="preserve"> jours, calculer la valeur de </w:t>
      </w:r>
      <m:oMath>
        <m:sSub>
          <m:sSubPr/>
          <m:e>
            <m:r>
              <m:rPr>
                <m:sty m:val="i"/>
              </m:rPr>
              <m:t>a</m:t>
            </m:r>
          </m:e>
          <m:sub>
            <m:r>
              <m:rPr>
                <m:sty m:val="i"/>
              </m:rPr>
              <m:t>M</m:t>
            </m:r>
          </m:sub>
        </m:sSub>
      </m:oMath>
      <w:r>
        <w:rPr>
          <w:rFonts w:eastAsia="Georgia" w:cs="Georgia" w:ascii="Georgia" w:hAnsi="Georgia"/>
        </w:rPr>
        <w:t xml:space="preserve">. Celle valeur est-elle en accord avec les propos rapportés par l'extrait d'article précédent ? Retrouver également une estimation de la masse du Soleil.</w:t>
      </w:r>
      <w:r>
        <w:rPr/>
        <w:br w:type="textWrapping"/>
      </w:r>
      <w:r>
        <w:rPr/>
        <w:t xml:space="preserve">Pour la suite, on prendra </w:t>
      </w:r>
      <m:oMath>
        <m:sSub>
          <m:sSubPr/>
          <m:e>
            <m:r>
              <m:rPr>
                <m:sty m:val="i"/>
              </m:rPr>
              <m:t>a</m:t>
            </m:r>
          </m:e>
          <m:sub>
            <m:r>
              <m:rPr>
                <m:sty m:val="i"/>
              </m:rPr>
              <m:t>M</m:t>
            </m:r>
          </m:sub>
        </m:sSub>
        <m:r>
          <m:rPr>
            <m:sty m:val="p"/>
          </m:rPr>
          <m:t>=</m:t>
        </m:r>
        <m:r>
          <m:rPr>
            <m:sty m:val="p"/>
          </m:rPr>
          <m:t>228</m:t>
        </m:r>
        <m:r>
          <m:rPr>
            <m:sty m:val="p"/>
          </m:rPr>
          <m:t>×</m:t>
        </m:r>
        <m:sSup>
          <m:sSupPr/>
          <m:e>
            <m:r>
              <m:rPr>
                <m:sty m:val="p"/>
              </m:rPr>
              <m:t>10</m:t>
            </m:r>
          </m:e>
          <m:sup>
            <m:r>
              <m:rPr>
                <m:sty m:val="p"/>
              </m:rPr>
              <m:t>6</m:t>
            </m:r>
          </m:sup>
        </m:sSup>
        <m:r>
          <m:rPr>
            <m:nor/>
          </m:rPr>
          <m:t xml:space="preserve"> </m:t>
        </m:r>
        <m:r>
          <m:rPr>
            <m:sty m:val="p"/>
          </m:rPr>
          <m:t>km</m:t>
        </m:r>
      </m:oMath>
      <w:r>
        <w:rPr/>
        <w:t xml:space="preserve">.</w:t>
      </w:r>
      <w:r>
        <w:rPr/>
        <w:br w:type="textWrapping"/>
      </w:r>
      <w:r>
        <w:rPr>
          <w:rFonts w:eastAsia="Georgia" w:cs="Georgia" w:ascii="Georgia" w:hAnsi="Georgia"/>
        </w:rPr>
        <w:t xml:space="preserve">Q 3. Déterminer la valeur du champ de pesanteur sur Mars.</w:t>
      </w:r>
    </w:p>
    <w:p>
      <w:pPr>
        <w:spacing w:line="271" w:before="330" w:lineRule="auto"/>
      </w:pPr>
      <w:r>
        <w:rPr>
          <w:rFonts w:eastAsia="Georgia" w:cs="Georgia" w:ascii="Georgia" w:hAnsi="Georgia"/>
          <w:b/>
          <w:sz w:val="42"/>
        </w:rPr>
        <w:t xml:space="preserve">II Tempête sur Mars</w:t>
      </w:r>
    </w:p>
    <w:p>
      <w:pPr>
        <w:spacing w:after="220" w:lineRule="auto"/>
      </w:pPr>
      <w:r>
        <w:rPr>
          <w:rFonts w:eastAsia="Georgia" w:cs="Georgia" w:ascii="Georgia" w:hAnsi="Georgia"/>
        </w:rPr>
        <w:t xml:space="preserve">Lors d'une sortie sur Mars, l'écran de contrôle de Mark Watney est superposé à celui de l'action (figure 1). À gauche figurent les données externes et à droite celles concernant le scaphandre. Ainsi la pression extérieure vaut </w:t>
      </w:r>
      <m:oMath>
        <m:r>
          <m:rPr>
            <m:sty m:val="p"/>
          </m:rPr>
          <m:t>0</m:t>
        </m:r>
        <m:r>
          <m:rPr>
            <m:sty m:val="p"/>
          </m:rPr>
          <m:t>,</m:t>
        </m:r>
        <m:r>
          <m:rPr>
            <m:sty m:val="p"/>
          </m:rPr>
          <m:t>11</m:t>
        </m:r>
        <m:r>
          <m:rPr>
            <m:sty m:val="p"/>
          </m:rPr>
          <m:t>psi</m:t>
        </m:r>
      </m:oMath>
      <w:r>
        <w:rPr/>
        <w:t xml:space="preserve"> (pound per square inch) alors que la pression interne est de </w:t>
      </w:r>
      <m:oMath>
        <m:r>
          <m:rPr>
            <m:sty m:val="p"/>
          </m:rPr>
          <m:t>4</m:t>
        </m:r>
        <m:r>
          <m:rPr>
            <m:sty m:val="p"/>
          </m:rPr>
          <m:t>,</m:t>
        </m:r>
        <m:r>
          <m:rPr>
            <m:sty m:val="p"/>
          </m:rPr>
          <m:t>75</m:t>
        </m:r>
        <m:r>
          <m:rPr>
            <m:sty m:val="p"/>
          </m:rPr>
          <m:t>psi</m:t>
        </m:r>
      </m:oMath>
      <w:r>
        <w:rPr>
          <w:rFonts w:eastAsia="Georgia" w:cs="Georgia" w:ascii="Georgia" w:hAnsi="Georgia"/>
        </w:rPr>
        <w:t xml:space="preserve">. Pour la suite on prendra les valeurs lues sur l'écran de contrôle pour les pressions et températures externes et internes (scaphandre).</w:t>
      </w:r>
    </w:p>
    <w:p>
      <w:pPr>
        <w:spacing w:lineRule="auto"/>
        <w:jc w:val="center"/>
      </w:pPr>
      <w:r>
        <w:rPr/>
        <w:drawing>
          <wp:inline distB="0" distL="0" distR="0" distT="0">
            <wp:extent cx="5486400" cy="3063781"/>
            <wp:effectExtent b="0" l="0" r="0" t="0"/>
            <wp:docPr id="2" name="image-ade51d1db5f4326e775149c097575fc64b311394.jpg"/>
            <a:graphic>
              <a:graphicData uri="http://schemas.openxmlformats.org/drawingml/2006/picture">
                <pic:pic>
                  <pic:nvPicPr>
                    <pic:cNvPr id="2" name="image-ade51d1db5f4326e775149c097575fc64b311394.jpg" descr=""/>
                    <pic:cNvPicPr/>
                  </pic:nvPicPr>
                  <pic:blipFill>
                    <a:blip r:embed="rId6" cstate="print"/>
                    <a:srcRect b="0" l="0" r="0" t="0"/>
                    <a:stretch>
                      <a:fillRect/>
                    </a:stretch>
                  </pic:blipFill>
                  <pic:spPr>
                    <a:xfrm>
                      <a:off x="0" y="0"/>
                      <a:ext cx="5486400" cy="3063781"/>
                    </a:xfrm>
                    <a:prstGeom prst="rect"/>
                  </pic:spPr>
                </pic:pic>
              </a:graphicData>
            </a:graphic>
          </wp:inline>
        </w:drawing>
      </w:r>
    </w:p>
    <w:p>
      <w:pPr>
        <w:spacing w:lineRule="auto"/>
      </w:pPr>
      <w:r>
        <w:rPr>
          <w:rFonts w:eastAsia="Georgia" w:cs="Georgia" w:ascii="Georgia" w:hAnsi="Georgia"/>
        </w:rPr>
        <w:t xml:space="preserve">Figure 1 Écran de contrôle de Mark Watney</w:t>
      </w:r>
    </w:p>
    <w:p>
      <w:pPr>
        <w:spacing w:line="271" w:before="330" w:lineRule="auto"/>
      </w:pPr>
      <w:r>
        <w:rPr>
          <w:rFonts w:eastAsia="Georgia" w:cs="Georgia" w:ascii="Georgia" w:hAnsi="Georgia"/>
          <w:b/>
          <w:sz w:val="42"/>
        </w:rPr>
        <w:t xml:space="preserve">II.A - L'atmosphère martienne</w:t>
      </w:r>
    </w:p>
    <w:p>
      <w:pPr>
        <w:spacing w:after="220" w:lineRule="auto"/>
      </w:pPr>
      <w:r>
        <w:rPr>
          <w:rFonts w:eastAsia="Georgia" w:cs="Georgia" w:ascii="Georgia" w:hAnsi="Georgia"/>
        </w:rPr>
        <w:t xml:space="preserve">Q 4. Un bon scientifique pourra s'étonner du pourcentage de dioxygène dans le scaphandre. Quel est le problème?</w:t>
      </w:r>
      <w:r>
        <w:rPr/>
        <w:br w:type="textWrapping"/>
      </w:r>
      <w:r>
        <w:rPr/>
        <w:t xml:space="preserve">Q 5. Estimer la masse volumique </w:t>
      </w:r>
      <m:oMath>
        <m:r>
          <m:rPr>
            <m:sty m:val="i"/>
          </m:rPr>
          <m:t>ρ</m:t>
        </m:r>
      </m:oMath>
      <w:r>
        <w:rPr>
          <w:rFonts w:eastAsia="Georgia" w:cs="Georgia" w:ascii="Georgia" w:hAnsi="Georgia"/>
        </w:rPr>
        <w:t xml:space="preserve"> de l'atmosphère martienne. Comparer à celle de l'atmosphère de la Terre.</w:t>
      </w:r>
      <w:r>
        <w:rPr/>
        <w:br w:type="textWrapping"/>
      </w:r>
      <w:r>
        <w:rPr/>
        <w:t xml:space="preserve">Q 6. Tracer l'allure du diagramme </w:t>
      </w:r>
      <m:oMath>
        <m:r>
          <m:rPr>
            <m:sty m:val="i"/>
          </m:rPr>
          <m:t>P</m:t>
        </m:r>
        <m:r>
          <m:rPr>
            <m:sty m:val="p"/>
          </m:rPr>
          <m:t>(</m:t>
        </m:r>
        <m:r>
          <m:rPr>
            <m:sty m:val="i"/>
          </m:rPr>
          <m:t>T</m:t>
        </m:r>
        <m:r>
          <m:rPr>
            <m:sty m:val="p"/>
          </m:rPr>
          <m:t>)</m:t>
        </m:r>
      </m:oMath>
      <w:r>
        <w:rPr>
          <w:rFonts w:eastAsia="Georgia" w:cs="Georgia" w:ascii="Georgia" w:hAnsi="Georgia"/>
        </w:rPr>
        <w:t xml:space="preserve"> de l'eau en plaçant en particulier le point triple </w:t>
      </w:r>
      <m:oMath>
        <m:d>
          <m:dPr>
            <m:begChr m:val="("/>
            <m:endChr m:val=")"/>
            <m:ctrlPr>
              <w:rPr>
                <w:rFonts w:ascii="Cambria Math" w:hAnsi="Cambria Math"/>
              </w:rPr>
            </m:ctrlPr>
          </m:dPr>
          <m:e>
            <m:r>
              <m:rPr>
                <m:sty m:val="p"/>
              </m:rPr>
              <m:t>611</m:t>
            </m:r>
            <m:r>
              <m:rPr>
                <m:nor/>
              </m:rPr>
              <m:t xml:space="preserve"> </m:t>
            </m:r>
            <m:r>
              <m:rPr>
                <m:sty m:val="p"/>
              </m:rPr>
              <m:t>Pa</m:t>
            </m:r>
            <m:r>
              <m:rPr>
                <m:sty m:val="p"/>
              </m:rPr>
              <m:t>,</m:t>
            </m:r>
            <m:r>
              <m:rPr>
                <m:sty m:val="p"/>
              </m:rPr>
              <m:t>0</m:t>
            </m:r>
            <m:r>
              <m:rPr>
                <m:sty m:val="p"/>
              </m:rPr>
              <m:t>,</m:t>
            </m:r>
            <m:r>
              <m:rPr>
                <m:sty m:val="p"/>
              </m:rPr>
              <m:t>01</m:t>
            </m:r>
            <m:sSup>
              <m:sSupPr/>
              <m:e>
                <m:r>
                  <m:t xml:space="preserve"> </m:t>
                </m:r>
              </m:e>
              <m:sup>
                <m:r>
                  <m:rPr>
                    <m:sty m:val="p"/>
                  </m:rPr>
                  <m:t>∘</m:t>
                </m:r>
              </m:sup>
            </m:sSup>
            <m:r>
              <m:rPr>
                <m:sty m:val="p"/>
              </m:rPr>
              <m:t>C</m:t>
            </m:r>
          </m:e>
        </m:d>
      </m:oMath>
      <w:r>
        <w:rPr/>
        <w:t xml:space="preserve"> et le point critique ( </w:t>
      </w:r>
      <m:oMath>
        <m:r>
          <m:rPr>
            <m:sty m:val="p"/>
          </m:rPr>
          <m:t>22</m:t>
        </m:r>
        <m:r>
          <m:rPr>
            <m:sty m:val="p"/>
          </m:rPr>
          <m:t>MPa</m:t>
        </m:r>
        <m:r>
          <m:rPr>
            <m:sty m:val="p"/>
          </m:rPr>
          <m:t>,</m:t>
        </m:r>
        <m:sSup>
          <m:sSupPr/>
          <m:e>
            <m:r>
              <m:rPr>
                <m:sty m:val="p"/>
              </m:rPr>
              <m:t>374</m:t>
            </m:r>
          </m:e>
          <m:sup>
            <m:r>
              <m:rPr>
                <m:sty m:val="p"/>
              </m:rPr>
              <m:t>∘</m:t>
            </m:r>
          </m:sup>
        </m:sSup>
        <m:r>
          <m:rPr>
            <m:sty m:val="p"/>
          </m:rPr>
          <m:t>C</m:t>
        </m:r>
      </m:oMath>
      <w:r>
        <w:rPr>
          <w:rFonts w:eastAsia="Georgia" w:cs="Georgia" w:ascii="Georgia" w:hAnsi="Georgia"/>
        </w:rPr>
        <w:t xml:space="preserve"> ). Préciser la signification physique de ces points.</w:t>
      </w:r>
      <w:r>
        <w:rPr/>
        <w:br w:type="textWrapping"/>
      </w:r>
      <w:r>
        <w:rPr>
          <w:rFonts w:eastAsia="Georgia" w:cs="Georgia" w:ascii="Georgia" w:hAnsi="Georgia"/>
        </w:rPr>
        <w:t xml:space="preserve">Q 7. Dans quel état se trouve l'eau sur Mars?</w:t>
      </w:r>
      <w:r>
        <w:rPr/>
        <w:br w:type="textWrapping"/>
      </w:r>
      <w:r>
        <w:rPr>
          <w:rFonts w:eastAsia="Georgia" w:cs="Georgia" w:ascii="Georgia" w:hAnsi="Georgia"/>
        </w:rPr>
        <w:t xml:space="preserve">Q 8. Au cours d'une tempête martienne, la combinaison de Mark Watney est percée. Donner deux raisons pour lesquelles Mark Watney ne peut pas survivre dans ces conditions. (On supposera que le scaphandre se dépressurise en restant à température constante.)</w:t>
      </w:r>
    </w:p>
    <w:p>
      <w:pPr>
        <w:spacing w:line="271" w:before="330" w:lineRule="auto"/>
      </w:pPr>
      <w:r>
        <w:rPr>
          <w:rFonts w:eastAsia="Georgia" w:cs="Georgia" w:ascii="Georgia" w:hAnsi="Georgia"/>
          <w:b/>
          <w:sz w:val="42"/>
        </w:rPr>
        <w:t xml:space="preserve">II.B - Une tempête martienne peut-elle faire basculer le VAM?</w:t>
      </w:r>
    </w:p>
    <w:p>
      <w:pPr>
        <w:spacing w:after="220" w:lineRule="auto"/>
      </w:pPr>
      <w:r>
        <w:rPr>
          <w:rFonts w:eastAsia="Georgia" w:cs="Georgia" w:ascii="Georgia" w:hAnsi="Georgia"/>
        </w:rPr>
        <w:t xml:space="preserve">Les coéquipiers de Mark Watney doivent faire décoller le VAM (Véhicule Ascensionnel Martien, figure 2) pris dans une tempête avant que celui-ci ne bascule et tombe sous la force du vent. Pour étudier le réalisme de la scène, on modélise le VAM (masse estimée : 10 tonnes) par un cylindre de diamètre </w:t>
      </w:r>
      <m:oMath>
        <m:r>
          <m:rPr>
            <m:sty m:val="p"/>
          </m:rPr>
          <m:t>2</m:t>
        </m:r>
        <m:r>
          <m:rPr>
            <m:sty m:val="i"/>
          </m:rPr>
          <m:t>R</m:t>
        </m:r>
        <m:r>
          <m:rPr>
            <m:sty m:val="p"/>
          </m:rPr>
          <m:t>=</m:t>
        </m:r>
        <m:r>
          <m:rPr>
            <m:sty m:val="p"/>
          </m:rPr>
          <m:t>10</m:t>
        </m:r>
        <m:r>
          <m:rPr>
            <m:nor/>
          </m:rPr>
          <m:t xml:space="preserve"> </m:t>
        </m:r>
        <m:r>
          <m:rPr>
            <m:sty m:val="p"/>
          </m:rPr>
          <m:t>m</m:t>
        </m:r>
      </m:oMath>
      <w:r>
        <w:rPr/>
        <w:t xml:space="preserve"> et de hauteur </w:t>
      </w:r>
      <m:oMath>
        <m:r>
          <m:rPr>
            <m:sty m:val="i"/>
          </m:rPr>
          <m:t>H</m:t>
        </m:r>
        <m:r>
          <m:rPr>
            <m:sty m:val="p"/>
          </m:rPr>
          <m:t>=</m:t>
        </m:r>
        <m:r>
          <m:rPr>
            <m:sty m:val="p"/>
          </m:rPr>
          <m:t>20</m:t>
        </m:r>
        <m:r>
          <m:rPr>
            <m:nor/>
          </m:rPr>
          <m:t xml:space="preserve"> </m:t>
        </m:r>
        <m:r>
          <m:rPr>
            <m:sty m:val="p"/>
          </m:rPr>
          <m:t>m</m:t>
        </m:r>
      </m:oMath>
      <w:r>
        <w:rPr/>
        <w:t xml:space="preserve">.</w:t>
      </w:r>
      <w:r>
        <w:rPr/>
        <w:br w:type="textWrapping"/>
      </w:r>
      <w:r>
        <w:rPr/>
        <w:t xml:space="preserve">Q 9. Calculer le poids du VAM sur Mars.</w:t>
      </w:r>
      <w:r>
        <w:rPr/>
        <w:br w:type="textWrapping"/>
      </w:r>
      <w:r>
        <w:rPr>
          <w:rFonts w:eastAsia="Georgia" w:cs="Georgia" w:ascii="Georgia" w:hAnsi="Georgia"/>
        </w:rPr>
        <w:t xml:space="preserve">Q 10. Évaluer la force de traînée s'exerçant sur le VAM pour un vent de </w:t>
      </w:r>
      <m:oMath>
        <m:r>
          <m:rPr>
            <m:sty m:val="p"/>
          </m:rPr>
          <m:t>120</m:t>
        </m:r>
        <m:r>
          <m:rPr>
            <m:nor/>
          </m:rPr>
          <m:t xml:space="preserve"> </m:t>
        </m:r>
        <m:r>
          <m:rPr>
            <m:sty m:val="p"/>
          </m:rPr>
          <m:t>km</m:t>
        </m:r>
        <m:r>
          <m:rPr>
            <m:sty m:val="p"/>
          </m:rPr>
          <m:t>⋅</m:t>
        </m:r>
        <m:sSup>
          <m:sSupPr/>
          <m:e>
            <m:r>
              <m:rPr>
                <m:nor/>
              </m:rPr>
              <m:t xml:space="preserve"> </m:t>
            </m:r>
            <m:r>
              <m:rPr>
                <m:sty m:val="p"/>
              </m:rPr>
              <m:t>h</m:t>
            </m:r>
          </m:e>
          <m:sup>
            <m:r>
              <m:rPr>
                <m:sty m:val="p"/>
              </m:rPr>
              <m:t>−</m:t>
            </m:r>
            <m:r>
              <m:rPr>
                <m:sty m:val="p"/>
              </m:rPr>
              <m:t>1</m:t>
            </m:r>
          </m:sup>
        </m:sSup>
      </m:oMath>
      <w:r>
        <w:rPr>
          <w:rFonts w:eastAsia="Georgia" w:cs="Georgia" w:ascii="Georgia" w:hAnsi="Georgia"/>
        </w:rPr>
        <w:t xml:space="preserve"> sur Mars (vitesse maximale mesurée). Sur Terre, donner l'ordre de grandeur de la vitesse d'un vent qui produirait une force de cette valeur.</w:t>
      </w:r>
      <w:r>
        <w:rPr/>
        <w:br w:type="textWrapping"/>
      </w:r>
      <w:r>
        <w:rPr>
          <w:rFonts w:eastAsia="Georgia" w:cs="Georgia" w:ascii="Georgia" w:hAnsi="Georgia"/>
        </w:rPr>
        <w:t xml:space="preserve">Q 11. Dans l'hypothèse où le VAM ne glisse pas, on le suppose «ancré » au point </w:t>
      </w:r>
      <m:oMath>
        <m:r>
          <m:rPr>
            <m:sty m:val="i"/>
          </m:rPr>
          <m:t>O</m:t>
        </m:r>
      </m:oMath>
      <w:r>
        <w:rPr>
          <w:rFonts w:eastAsia="Georgia" w:cs="Georgia" w:ascii="Georgia" w:hAnsi="Georgia"/>
        </w:rPr>
        <w:t xml:space="preserve"> (figure 2). Déterminer la vitesse du vent lorsque le VAM commence à se pencher ( </w:t>
      </w:r>
      <m:oMath>
        <m:r>
          <m:rPr>
            <m:sty m:val="i"/>
          </m:rPr>
          <m:t>α</m:t>
        </m:r>
      </m:oMath>
      <w:r>
        <w:rPr>
          <w:rFonts w:eastAsia="Georgia" w:cs="Georgia" w:ascii="Georgia" w:hAnsi="Georgia"/>
        </w:rPr>
        <w:t xml:space="preserve"> est alors nul) ; on admettra que le coefficient de traînée vaut </w:t>
      </w:r>
      <m:oMath>
        <m:sSub>
          <m:sSubPr/>
          <m:e>
            <m:r>
              <m:rPr>
                <m:sty m:val="i"/>
              </m:rPr>
              <m:t>c</m:t>
            </m:r>
          </m:e>
          <m:sub>
            <m:r>
              <m:rPr>
                <m:sty m:val="i"/>
              </m:rPr>
              <m:t>D</m:t>
            </m:r>
          </m:sub>
        </m:sSub>
        <m:r>
          <m:rPr>
            <m:sty m:val="p"/>
          </m:rPr>
          <m:t>=</m:t>
        </m:r>
        <m:r>
          <m:rPr>
            <m:sty m:val="p"/>
          </m:rPr>
          <m:t>0</m:t>
        </m:r>
        <m:r>
          <m:rPr>
            <m:sty m:val="p"/>
          </m:rPr>
          <m:t>,</m:t>
        </m:r>
        <m:r>
          <m:rPr>
            <m:sty m:val="p"/>
          </m:rPr>
          <m:t>4</m:t>
        </m:r>
      </m:oMath>
      <w:r>
        <w:rPr/>
        <w:t xml:space="preserve">. Commenter.</w:t>
      </w:r>
    </w:p>
    <w:p>
      <w:pPr>
        <w:spacing w:lineRule="auto"/>
        <w:jc w:val="center"/>
      </w:pPr>
      <w:r>
        <w:rPr/>
        <w:drawing>
          <wp:inline distB="0" distL="0" distR="0" distT="0">
            <wp:extent cx="5486400" cy="2778622"/>
            <wp:effectExtent b="0" l="0" r="0" t="0"/>
            <wp:docPr id="3" name="image-c9aa29ac627ae96d98104b73e8d892a65c42582b.jpg"/>
            <a:graphic>
              <a:graphicData uri="http://schemas.openxmlformats.org/drawingml/2006/picture">
                <pic:pic>
                  <pic:nvPicPr>
                    <pic:cNvPr id="3" name="image-c9aa29ac627ae96d98104b73e8d892a65c42582b.jpg" descr=""/>
                    <pic:cNvPicPr/>
                  </pic:nvPicPr>
                  <pic:blipFill>
                    <a:blip r:embed="rId7" cstate="print"/>
                    <a:srcRect b="0" l="0" r="0" t="0"/>
                    <a:stretch>
                      <a:fillRect/>
                    </a:stretch>
                  </pic:blipFill>
                  <pic:spPr>
                    <a:xfrm>
                      <a:off x="0" y="0"/>
                      <a:ext cx="5486400" cy="2778622"/>
                    </a:xfrm>
                    <a:prstGeom prst="rect"/>
                  </pic:spPr>
                </pic:pic>
              </a:graphicData>
            </a:graphic>
          </wp:inline>
        </w:drawing>
      </w:r>
    </w:p>
    <w:p>
      <w:pPr>
        <w:spacing w:lineRule="auto"/>
      </w:pPr>
      <w:r>
        <w:rPr/>
        <w:t xml:space="preserve">Figure 2 Basculement du VAM</w:t>
      </w:r>
    </w:p>
    <w:p>
      <w:pPr>
        <w:spacing w:line="271" w:before="330" w:lineRule="auto"/>
      </w:pPr>
      <w:r>
        <w:rPr>
          <w:b/>
          <w:sz w:val="42"/>
        </w:rPr>
        <w:t xml:space="preserve">III Dimensionnement des panneaux solaires</w:t>
      </w:r>
    </w:p>
    <w:p>
      <w:pPr>
        <w:spacing w:after="220" w:lineRule="auto"/>
      </w:pPr>
      <w:r>
        <w:rPr>
          <w:rFonts w:eastAsia="Georgia" w:cs="Georgia" w:ascii="Georgia" w:hAnsi="Georgia"/>
        </w:rPr>
        <w:t xml:space="preserve">Étant donnés d'importants problèmes logistiques, les ingénieurs martiens envisagent des modules d'habitations cylindriques gonflables. En plus des problèmes liés à la différence de pression entre l'intérieur (à la pression terrestre) et l'extérieur, se pose également le problème du chauffage de ces modules. Dans la suite on considère que le chauffage est assuré par une pompe à chaleur (récepteur ditherme dont la finalité est de fournir de l'énergie à la source chaude) qui maintient une température interne de </w:t>
      </w:r>
      <m:oMath>
        <m:sSub>
          <m:sSubPr/>
          <m:e>
            <m:r>
              <m:rPr>
                <m:sty m:val="i"/>
              </m:rPr>
              <m:t>T</m:t>
            </m:r>
          </m:e>
          <m:sub>
            <m:r>
              <m:rPr>
                <m:sty m:val="i"/>
              </m:rPr>
              <m:t>i</m:t>
            </m:r>
          </m:sub>
        </m:sSub>
        <m:r>
          <m:rPr>
            <m:sty m:val="p"/>
          </m:rPr>
          <m:t>=</m:t>
        </m:r>
        <m:sSup>
          <m:sSupPr/>
          <m:e>
            <m:r>
              <m:rPr>
                <m:sty m:val="p"/>
              </m:rPr>
              <m:t>20</m:t>
            </m:r>
          </m:e>
          <m:sup>
            <m:r>
              <m:rPr>
                <m:sty m:val="p"/>
              </m:rPr>
              <m:t>∘</m:t>
            </m:r>
          </m:sup>
        </m:sSup>
        <m:r>
          <m:rPr>
            <m:sty m:val="p"/>
          </m:rPr>
          <m:t>C</m:t>
        </m:r>
      </m:oMath>
      <w:r>
        <w:rPr>
          <w:rFonts w:eastAsia="Georgia" w:cs="Georgia" w:ascii="Georgia" w:hAnsi="Georgia"/>
        </w:rPr>
        <w:t xml:space="preserve">. Le module (figure 3) est un cylindre de diamètre </w:t>
      </w:r>
      <m:oMath>
        <m:r>
          <m:rPr>
            <m:sty m:val="p"/>
          </m:rPr>
          <m:t>2</m:t>
        </m:r>
        <m:r>
          <m:rPr>
            <m:sty m:val="i"/>
          </m:rPr>
          <m:t>R</m:t>
        </m:r>
        <m:r>
          <m:rPr>
            <m:sty m:val="p"/>
          </m:rPr>
          <m:t>=</m:t>
        </m:r>
        <m:r>
          <m:rPr>
            <m:sty m:val="p"/>
          </m:rPr>
          <m:t>2</m:t>
        </m:r>
        <m:r>
          <m:rPr>
            <m:nor/>
          </m:rPr>
          <m:t xml:space="preserve"> </m:t>
        </m:r>
        <m:r>
          <m:rPr>
            <m:sty m:val="p"/>
          </m:rPr>
          <m:t>m</m:t>
        </m:r>
      </m:oMath>
      <w:r>
        <w:rPr/>
        <w:t xml:space="preserve"> et de longueur </w:t>
      </w:r>
      <m:oMath>
        <m:r>
          <m:rPr>
            <m:sty m:val="i"/>
          </m:rPr>
          <m:t>L</m:t>
        </m:r>
        <m:r>
          <m:rPr>
            <m:sty m:val="p"/>
          </m:rPr>
          <m:t>=</m:t>
        </m:r>
        <m:r>
          <m:rPr>
            <m:sty m:val="p"/>
          </m:rPr>
          <m:t>6</m:t>
        </m:r>
        <m:r>
          <m:rPr>
            <m:nor/>
          </m:rPr>
          <m:t xml:space="preserve"> </m:t>
        </m:r>
        <m:r>
          <m:rPr>
            <m:sty m:val="p"/>
          </m:rPr>
          <m:t>m</m:t>
        </m:r>
      </m:oMath>
      <w:r>
        <w:rPr>
          <w:rFonts w:eastAsia="Georgia" w:cs="Georgia" w:ascii="Georgia" w:hAnsi="Georgia"/>
        </w:rPr>
        <w:t xml:space="preserve"> dont l'isolation est assurée par une couche d'épaisseur </w:t>
      </w:r>
      <m:oMath>
        <m:r>
          <m:rPr>
            <m:sty m:val="i"/>
          </m:rPr>
          <m:t>e</m:t>
        </m:r>
        <m:r>
          <m:rPr>
            <m:sty m:val="p"/>
          </m:rPr>
          <m:t>=</m:t>
        </m:r>
        <m:r>
          <m:rPr>
            <m:sty m:val="p"/>
          </m:rPr>
          <m:t>15</m:t>
        </m:r>
        <m:r>
          <m:rPr>
            <m:nor/>
          </m:rPr>
          <m:t xml:space="preserve"> </m:t>
        </m:r>
        <m:r>
          <m:rPr>
            <m:sty m:val="p"/>
          </m:rPr>
          <m:t>cm</m:t>
        </m:r>
      </m:oMath>
      <w:r>
        <w:rPr>
          <w:rFonts w:eastAsia="Georgia" w:cs="Georgia" w:ascii="Georgia" w:hAnsi="Georgia"/>
        </w:rPr>
        <w:t xml:space="preserve"> de dioxyde de carbone. On donne la conductivité thermique du </w:t>
      </w:r>
      <m:oMath>
        <m:sSub>
          <m:sSubPr/>
          <m:e>
            <m:r>
              <m:rPr>
                <m:sty m:val="p"/>
              </m:rPr>
              <m:t>CO</m:t>
            </m:r>
          </m:e>
          <m:sub>
            <m:r>
              <m:rPr>
                <m:sty m:val="p"/>
              </m:rPr>
              <m:t>2</m:t>
            </m:r>
          </m:sub>
        </m:sSub>
      </m:oMath>
      <w:r>
        <w:rPr/>
        <w:t xml:space="preserve"> dans les conditions du module </w:t>
      </w:r>
      <m:oMath>
        <m:r>
          <m:rPr>
            <m:sty m:val="i"/>
          </m:rPr>
          <m:t>λ</m:t>
        </m:r>
        <m:r>
          <m:rPr>
            <m:sty m:val="p"/>
          </m:rPr>
          <m:t>=</m:t>
        </m:r>
        <m:r>
          <m:rPr>
            <m:sty m:val="p"/>
          </m:rPr>
          <m:t>15</m:t>
        </m:r>
        <m:r>
          <m:rPr>
            <m:nor/>
          </m:rPr>
          <m:t xml:space="preserve"> </m:t>
        </m:r>
        <m:r>
          <m:rPr>
            <m:sty m:val="p"/>
          </m:rPr>
          <m:t>mW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w:t>
      </w:r>
    </w:p>
    <w:p>
      <w:pPr>
        <w:spacing w:lineRule="auto"/>
        <w:jc w:val="center"/>
      </w:pPr>
      <w:r>
        <w:rPr/>
        <w:drawing>
          <wp:inline distB="0" distL="0" distR="0" distT="0">
            <wp:extent cx="5486400" cy="1564335"/>
            <wp:effectExtent b="0" l="0" r="0" t="0"/>
            <wp:docPr id="4" name="image-f2cf2fda09a80e7a5cc8c37df4c642a24e7c94ad.jpg"/>
            <a:graphic>
              <a:graphicData uri="http://schemas.openxmlformats.org/drawingml/2006/picture">
                <pic:pic>
                  <pic:nvPicPr>
                    <pic:cNvPr id="4" name="image-f2cf2fda09a80e7a5cc8c37df4c642a24e7c94ad.jpg" descr=""/>
                    <pic:cNvPicPr/>
                  </pic:nvPicPr>
                  <pic:blipFill>
                    <a:blip r:embed="rId8" cstate="print"/>
                    <a:srcRect b="0" l="0" r="0" t="0"/>
                    <a:stretch>
                      <a:fillRect/>
                    </a:stretch>
                  </pic:blipFill>
                  <pic:spPr>
                    <a:xfrm>
                      <a:off x="0" y="0"/>
                      <a:ext cx="5486400" cy="1564335"/>
                    </a:xfrm>
                    <a:prstGeom prst="rect"/>
                  </pic:spPr>
                </pic:pic>
              </a:graphicData>
            </a:graphic>
          </wp:inline>
        </w:drawing>
      </w:r>
    </w:p>
    <w:p>
      <w:pPr>
        <w:spacing w:lineRule="auto"/>
      </w:pPr>
      <w:r>
        <w:rPr/>
        <w:t xml:space="preserve">Figure 3 Habitat et panneaux solaires</w:t>
      </w:r>
    </w:p>
    <w:p>
      <w:pPr>
        <w:spacing w:after="220" w:lineRule="auto"/>
      </w:pPr>
      <w:r>
        <w:rPr>
          <w:rFonts w:eastAsia="Georgia" w:cs="Georgia" w:ascii="Georgia" w:hAnsi="Georgia"/>
        </w:rPr>
        <w:t xml:space="preserve">Q 12. Définir et déterminer l'efficacité maximale (efficacité de Carnot) d'une pompe à chaleur, en proposant une démonstration et une application numérique.</w:t>
      </w:r>
      <w:r>
        <w:rPr/>
        <w:br w:type="textWrapping"/>
      </w:r>
      <w:r>
        <w:rPr>
          <w:rFonts w:eastAsia="Georgia" w:cs="Georgia" w:ascii="Georgia" w:hAnsi="Georgia"/>
        </w:rPr>
        <w:t xml:space="preserve">Q 13. Estimer la résistance thermique du module entre l'intérieur et l'extérieur, en admettant que le flux thermique est uniquement radial. On néglige les flux thermiques à travers les bases du cylindre.</w:t>
      </w:r>
      <w:r>
        <w:rPr/>
        <w:br w:type="textWrapping"/>
      </w:r>
      <w:r>
        <w:rPr>
          <w:rFonts w:eastAsia="Georgia" w:cs="Georgia" w:ascii="Georgia" w:hAnsi="Georgia"/>
        </w:rPr>
        <w:t xml:space="preserve">Q 14. En admettant que la machine fonctionne avec une efficacité égale à </w:t>
      </w:r>
      <m:oMath>
        <m:r>
          <m:rPr>
            <m:sty m:val="p"/>
          </m:rPr>
          <m:t>34</m:t>
        </m:r>
        <m:r>
          <m:rPr>
            <m:sty m:val="p"/>
          </m:rPr>
          <m:t>%</m:t>
        </m:r>
      </m:oMath>
      <w:r>
        <w:rPr>
          <w:rFonts w:eastAsia="Georgia" w:cs="Georgia" w:ascii="Georgia" w:hAnsi="Georgia"/>
        </w:rPr>
        <w:t xml:space="preserve"> de l'efficacité théorique de Carnot, calculer la puissance </w:t>
      </w:r>
      <m:oMath>
        <m:sSub>
          <m:sSubPr/>
          <m:e>
            <m:r>
              <m:rPr>
                <m:scr m:val="script"/>
              </m:rPr>
              <m:t>P</m:t>
            </m:r>
          </m:e>
          <m:sub>
            <m:r>
              <m:rPr>
                <m:sty m:val="i"/>
              </m:rPr>
              <m:t>M</m:t>
            </m:r>
          </m:sub>
        </m:sSub>
      </m:oMath>
      <w:r>
        <w:rPr>
          <w:rFonts w:eastAsia="Georgia" w:cs="Georgia" w:ascii="Georgia" w:hAnsi="Georgia"/>
        </w:rPr>
        <w:t xml:space="preserve"> à fournir pour maintenir le module à </w:t>
      </w:r>
      <m:oMath>
        <m:sSub>
          <m:sSubPr/>
          <m:e>
            <m:r>
              <m:rPr>
                <m:sty m:val="i"/>
              </m:rPr>
              <m:t>T</m:t>
            </m:r>
          </m:e>
          <m:sub>
            <m:r>
              <m:rPr>
                <m:sty m:val="i"/>
              </m:rPr>
              <m:t>i</m:t>
            </m:r>
          </m:sub>
        </m:sSub>
      </m:oMath>
      <w:r>
        <w:rPr/>
        <w:t xml:space="preserve">.</w:t>
      </w:r>
      <w:r>
        <w:rPr/>
        <w:br w:type="textWrapping"/>
      </w:r>
      <w:r>
        <w:rPr>
          <w:rFonts w:eastAsia="Georgia" w:cs="Georgia" w:ascii="Georgia" w:hAnsi="Georgia"/>
        </w:rPr>
        <w:t xml:space="preserve">Q 15. L'énergie nécessaire pour alimenter le module en énergie provient de panneaux photovoltaïques dont le rendement de conversion est estimé à </w:t>
      </w:r>
      <m:oMath>
        <m:r>
          <m:rPr>
            <m:sty m:val="p"/>
          </m:rPr>
          <m:t>20</m:t>
        </m:r>
        <m:r>
          <m:rPr>
            <m:sty m:val="p"/>
          </m:rPr>
          <m:t>%</m:t>
        </m:r>
      </m:oMath>
      <w:r>
        <w:rPr>
          <w:rFonts w:eastAsia="Georgia" w:cs="Georgia" w:ascii="Georgia" w:hAnsi="Georgia"/>
        </w:rPr>
        <w:t xml:space="preserve">. Les panneaux reçoivent du soleil la puissance surfacique </w:t>
      </w:r>
      <m:oMath>
        <m:sSub>
          <m:sSubPr/>
          <m:e>
            <m:r>
              <m:rPr>
                <m:sty m:val="i"/>
              </m:rPr>
              <m:t>P</m:t>
            </m:r>
          </m:e>
          <m:sub>
            <m:r>
              <m:rPr>
                <m:sty m:val="i"/>
              </m:rPr>
              <m:t>S</m:t>
            </m:r>
          </m:sub>
        </m:sSub>
        <m:r>
          <m:rPr>
            <m:sty m:val="p"/>
          </m:rPr>
          <m:t>=</m:t>
        </m:r>
        <m:r>
          <m:rPr>
            <m:sty m:val="p"/>
          </m:rPr>
          <m:t>490</m:t>
        </m:r>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oMath>
      <w:r>
        <w:rPr>
          <w:rFonts w:eastAsia="Georgia" w:cs="Georgia" w:ascii="Georgia" w:hAnsi="Georgia"/>
        </w:rPr>
        <w:t xml:space="preserve">. Quelle est la surface de panneaux solaires nécessaire ? Commenter le résultat au regard de la figure 3.</w:t>
      </w:r>
    </w:p>
    <w:p>
      <w:pPr>
        <w:spacing w:line="271" w:before="330" w:lineRule="auto"/>
      </w:pPr>
      <w:r>
        <w:rPr>
          <w:rFonts w:eastAsia="Georgia" w:cs="Georgia" w:ascii="Georgia" w:hAnsi="Georgia"/>
          <w:b/>
          <w:sz w:val="42"/>
        </w:rPr>
        <w:t xml:space="preserve">IV Sauvetage de Mark Watney par le vaisseau Hermès</w:t>
      </w:r>
    </w:p>
    <w:p>
      <w:pPr>
        <w:spacing w:after="220" w:lineRule="auto"/>
      </w:pPr>
      <w:r>
        <w:rPr>
          <w:rFonts w:eastAsia="Georgia" w:cs="Georgia" w:ascii="Georgia" w:hAnsi="Georgia"/>
        </w:rPr>
        <w:t xml:space="preserve">Cette opération consiste à envoyer Mark Watney dans l'espace, grâce à un VAM, et à l'intercepter depuis le vaisseau Hermès «en plein vol », comme représenté figure 5. L'enjeu est donc que L'Hermès et Mark Watney se retrouvent au même endroit, au même moment avec une vitesse relative nulle.</w:t>
      </w:r>
    </w:p>
    <w:p>
      <w:pPr>
        <w:spacing w:line="271" w:before="330" w:lineRule="auto"/>
      </w:pPr>
      <w:r>
        <w:rPr>
          <w:rFonts w:eastAsia="Georgia" w:cs="Georgia" w:ascii="Georgia" w:hAnsi="Georgia"/>
          <w:b/>
          <w:sz w:val="42"/>
        </w:rPr>
        <w:t xml:space="preserve">IV.A - Trajectoire du vaisseau Hermès</w:t>
      </w:r>
    </w:p>
    <w:p>
      <w:pPr>
        <w:spacing w:after="220" w:lineRule="auto"/>
      </w:pPr>
      <w:r>
        <w:rPr>
          <w:rFonts w:eastAsia="Georgia" w:cs="Georgia" w:ascii="Georgia" w:hAnsi="Georgia"/>
        </w:rPr>
        <w:t xml:space="preserve">Dans cette sous-partie, on se place dans le référentiel de Kepler.</w:t>
      </w:r>
      <w:r>
        <w:rPr/>
        <w:br w:type="textWrapping"/>
      </w:r>
      <w:r>
        <w:rPr>
          <w:rFonts w:eastAsia="Georgia" w:cs="Georgia" w:ascii="Georgia" w:hAnsi="Georgia"/>
        </w:rPr>
        <w:t xml:space="preserve">Le vaisseau Hermès est utilisé pour les trajets Terre-Mars au cours desquels le vaisseau n'est soumis qu'à l'attraction du Soleil. L'orbite de transfert utilisée est une orbite de transfert de Hohmann : ellipse dont le périhélie est un point de l'orbite de la Terre et l'aphélie un point de l'orbite de Mars (figure 6). On supposera, pour simplifier, que les orbites de la Terre et de Mars sont circulaires de rayons respectifs </w:t>
      </w:r>
      <m:oMath>
        <m:sSub>
          <m:sSubPr/>
          <m:e>
            <m:r>
              <m:rPr>
                <m:sty m:val="i"/>
              </m:rPr>
              <m:t>a</m:t>
            </m:r>
          </m:e>
          <m:sub>
            <m:r>
              <m:rPr>
                <m:sty m:val="i"/>
              </m:rPr>
              <m:t>T</m:t>
            </m:r>
          </m:sub>
        </m:sSub>
      </m:oMath>
      <w:r>
        <w:rPr/>
        <w:t xml:space="preserve"> et </w:t>
      </w:r>
      <m:oMath>
        <m:sSub>
          <m:sSubPr/>
          <m:e>
            <m:r>
              <m:rPr>
                <m:sty m:val="i"/>
              </m:rPr>
              <m:t>a</m:t>
            </m:r>
          </m:e>
          <m:sub>
            <m:r>
              <m:rPr>
                <m:sty m:val="i"/>
              </m:rPr>
              <m:t>M</m:t>
            </m:r>
          </m:sub>
        </m:sSub>
      </m:oMath>
      <w:r>
        <w:rPr/>
        <w:t xml:space="preserve">.</w:t>
      </w:r>
    </w:p>
    <w:p>
      <w:pPr>
        <w:spacing w:lineRule="auto"/>
        <w:jc w:val="center"/>
      </w:pPr>
      <w:r>
        <w:rPr/>
        <w:drawing>
          <wp:inline distB="0" distL="0" distR="0" distT="0">
            <wp:extent cx="5486400" cy="2496329"/>
            <wp:effectExtent b="0" l="0" r="0" t="0"/>
            <wp:docPr id="5" name="image-42f5b9cab79199b2de7ed92191a4471bf17375e2.jpg"/>
            <a:graphic>
              <a:graphicData uri="http://schemas.openxmlformats.org/drawingml/2006/picture">
                <pic:pic>
                  <pic:nvPicPr>
                    <pic:cNvPr id="5" name="image-42f5b9cab79199b2de7ed92191a4471bf17375e2.jpg" descr=""/>
                    <pic:cNvPicPr/>
                  </pic:nvPicPr>
                  <pic:blipFill>
                    <a:blip r:embed="rId9" cstate="print"/>
                    <a:srcRect b="0" l="0" r="0" t="0"/>
                    <a:stretch>
                      <a:fillRect/>
                    </a:stretch>
                  </pic:blipFill>
                  <pic:spPr>
                    <a:xfrm>
                      <a:off x="0" y="0"/>
                      <a:ext cx="5486400" cy="2496329"/>
                    </a:xfrm>
                    <a:prstGeom prst="rect"/>
                  </pic:spPr>
                </pic:pic>
              </a:graphicData>
            </a:graphic>
          </wp:inline>
        </w:drawing>
      </w:r>
    </w:p>
    <w:p>
      <w:pPr>
        <w:spacing w:lineRule="auto"/>
      </w:pPr>
      <w:r>
        <w:rPr>
          <w:rFonts w:eastAsia="Georgia" w:cs="Georgia" w:ascii="Georgia" w:hAnsi="Georgia"/>
        </w:rPr>
        <w:t xml:space="preserve">Figure 4 Le vaisseau Hermès</w:t>
      </w:r>
    </w:p>
    <w:p>
      <w:pPr>
        <w:spacing w:lineRule="auto"/>
        <w:jc w:val="center"/>
      </w:pPr>
      <w:r>
        <w:rPr/>
        <w:drawing>
          <wp:inline distB="0" distL="0" distR="0" distT="0">
            <wp:extent cx="5486400" cy="1709803"/>
            <wp:effectExtent b="0" l="0" r="0" t="0"/>
            <wp:docPr id="6" name="image-0cfcecff03e0139baf1f320495846270481e87ce.jpg"/>
            <a:graphic>
              <a:graphicData uri="http://schemas.openxmlformats.org/drawingml/2006/picture">
                <pic:pic>
                  <pic:nvPicPr>
                    <pic:cNvPr id="6" name="image-0cfcecff03e0139baf1f320495846270481e87ce.jpg" descr=""/>
                    <pic:cNvPicPr/>
                  </pic:nvPicPr>
                  <pic:blipFill>
                    <a:blip r:embed="rId10" cstate="print"/>
                    <a:srcRect b="0" l="0" r="0" t="0"/>
                    <a:stretch>
                      <a:fillRect/>
                    </a:stretch>
                  </pic:blipFill>
                  <pic:spPr>
                    <a:xfrm>
                      <a:off x="0" y="0"/>
                      <a:ext cx="5486400" cy="1709803"/>
                    </a:xfrm>
                    <a:prstGeom prst="rect"/>
                  </pic:spPr>
                </pic:pic>
              </a:graphicData>
            </a:graphic>
          </wp:inline>
        </w:drawing>
      </w:r>
    </w:p>
    <w:p>
      <w:pPr>
        <w:spacing w:lineRule="auto"/>
      </w:pPr>
      <w:r>
        <w:rPr>
          <w:rFonts w:eastAsia="Georgia" w:cs="Georgia" w:ascii="Georgia" w:hAnsi="Georgia"/>
        </w:rPr>
        <w:t xml:space="preserve">Figure 5 Principe de la récupération de Mark Watney</w:t>
      </w:r>
    </w:p>
    <w:p>
      <w:pPr>
        <w:spacing w:lineRule="auto"/>
        <w:jc w:val="center"/>
      </w:pPr>
      <w:r>
        <w:rPr/>
        <w:drawing>
          <wp:inline distB="0" distL="0" distR="0" distT="0">
            <wp:extent cx="5486400" cy="2605786"/>
            <wp:effectExtent b="0" l="0" r="0" t="0"/>
            <wp:docPr id="7" name="image-c6b760807d1eac186261a24da4934a5450333e88.jpg"/>
            <a:graphic>
              <a:graphicData uri="http://schemas.openxmlformats.org/drawingml/2006/picture">
                <pic:pic>
                  <pic:nvPicPr>
                    <pic:cNvPr id="7" name="image-c6b760807d1eac186261a24da4934a5450333e88.jpg" descr=""/>
                    <pic:cNvPicPr/>
                  </pic:nvPicPr>
                  <pic:blipFill>
                    <a:blip r:embed="rId11" cstate="print"/>
                    <a:srcRect b="0" l="0" r="0" t="0"/>
                    <a:stretch>
                      <a:fillRect/>
                    </a:stretch>
                  </pic:blipFill>
                  <pic:spPr>
                    <a:xfrm>
                      <a:off x="0" y="0"/>
                      <a:ext cx="5486400" cy="2605786"/>
                    </a:xfrm>
                    <a:prstGeom prst="rect"/>
                  </pic:spPr>
                </pic:pic>
              </a:graphicData>
            </a:graphic>
          </wp:inline>
        </w:drawing>
      </w:r>
    </w:p>
    <w:p>
      <w:pPr>
        <w:spacing w:lineRule="auto"/>
      </w:pPr>
      <w:r>
        <w:rPr/>
        <w:t xml:space="preserve">Figure 6</w:t>
      </w:r>
    </w:p>
    <w:p>
      <w:pPr>
        <w:spacing w:after="220" w:lineRule="auto"/>
      </w:pPr>
      <w:r>
        <w:rPr>
          <w:rFonts w:eastAsia="Georgia" w:cs="Georgia" w:ascii="Georgia" w:hAnsi="Georgia"/>
        </w:rPr>
        <w:t xml:space="preserve">Q 16. Déterminer le demi grand axe </w:t>
      </w:r>
      <m:oMath>
        <m:r>
          <m:rPr>
            <m:sty m:val="i"/>
          </m:rPr>
          <m:t>a</m:t>
        </m:r>
      </m:oMath>
      <w:r>
        <w:rPr/>
        <w:t xml:space="preserve"> de l'ellipse de transfert.</w:t>
      </w:r>
      <w:r>
        <w:rPr/>
        <w:br w:type="textWrapping"/>
      </w:r>
      <w:r>
        <w:rPr>
          <w:rFonts w:eastAsia="Georgia" w:cs="Georgia" w:ascii="Georgia" w:hAnsi="Georgia"/>
        </w:rPr>
        <w:t xml:space="preserve">On considère le transfert du vaisseau de la Terre vers la planète Mars, les positions initiales de la Terre et de Mars étant notées respectivement </w:t>
      </w:r>
      <m:oMath>
        <m:sSub>
          <m:sSubPr/>
          <m:e>
            <m:r>
              <m:rPr>
                <m:sty m:val="i"/>
              </m:rPr>
              <m:t>T</m:t>
            </m:r>
          </m:e>
          <m:sub>
            <m:r>
              <m:rPr>
                <m:sty m:val="p"/>
              </m:rPr>
              <m:t>0</m:t>
            </m:r>
          </m:sub>
        </m:sSub>
      </m:oMath>
      <w:r>
        <w:rPr/>
        <w:t xml:space="preserve"> et </w:t>
      </w:r>
      <m:oMath>
        <m:sSub>
          <m:sSubPr/>
          <m:e>
            <m:r>
              <m:rPr>
                <m:sty m:val="i"/>
              </m:rPr>
              <m:t>M</m:t>
            </m:r>
          </m:e>
          <m:sub>
            <m:r>
              <m:rPr>
                <m:sty m:val="p"/>
              </m:rPr>
              <m:t>0</m:t>
            </m:r>
          </m:sub>
        </m:sSub>
      </m:oMath>
      <w:r>
        <w:rPr/>
        <w:t xml:space="preserve">.</w:t>
      </w:r>
      <w:r>
        <w:rPr/>
        <w:br w:type="textWrapping"/>
      </w:r>
      <w:r>
        <w:rPr>
          <w:rFonts w:eastAsia="Georgia" w:cs="Georgia" w:ascii="Georgia" w:hAnsi="Georgia"/>
        </w:rPr>
        <w:t xml:space="preserve">Q 17. Déterminer la durée du transfert. En déduire la position de Mars au moment du lancement sur Terre </w:t>
      </w:r>
      <m:oMath>
        <m:d>
          <m:dPr>
            <m:begChr m:val="("/>
            <m:endChr m:val=")"/>
            <m:ctrlPr>
              <w:rPr>
                <w:rFonts w:ascii="Cambria Math" w:hAnsi="Cambria Math"/>
              </w:rPr>
            </m:ctrlPr>
          </m:dPr>
          <m:e>
            <m:sSub>
              <m:sSubPr/>
              <m:e>
                <m:r>
                  <m:rPr>
                    <m:sty m:val="i"/>
                  </m:rPr>
                  <m:t>M</m:t>
                </m:r>
              </m:e>
              <m:sub>
                <m:r>
                  <m:rPr>
                    <m:sty m:val="p"/>
                  </m:rPr>
                  <m:t>0</m:t>
                </m:r>
              </m:sub>
            </m:sSub>
          </m:e>
        </m:d>
      </m:oMath>
      <w:r>
        <w:rPr>
          <w:rFonts w:eastAsia="Georgia" w:cs="Georgia" w:ascii="Georgia" w:hAnsi="Georgia"/>
        </w:rPr>
        <w:t xml:space="preserve">. En déduire également la position de la Terre au moment de l'arrivée du vaisseau à proximité de Mars (les positions de la Terre et de Mars seront à ce moment là notées respectivement </w:t>
      </w:r>
      <m:oMath>
        <m:sSub>
          <m:sSubPr/>
          <m:e>
            <m:r>
              <m:rPr>
                <m:sty m:val="i"/>
              </m:rPr>
              <m:t>T</m:t>
            </m:r>
          </m:e>
          <m:sub>
            <m:r>
              <m:rPr>
                <m:sty m:val="p"/>
              </m:rPr>
              <m:t>1</m:t>
            </m:r>
          </m:sub>
        </m:sSub>
      </m:oMath>
      <w:r>
        <w:rPr/>
        <w:t xml:space="preserve"> et </w:t>
      </w:r>
      <m:oMath>
        <m:sSub>
          <m:sSubPr/>
          <m:e>
            <m:r>
              <m:rPr>
                <m:sty m:val="i"/>
              </m:rPr>
              <m:t>M</m:t>
            </m:r>
          </m:e>
          <m:sub>
            <m:r>
              <m:rPr>
                <m:sty m:val="p"/>
              </m:rPr>
              <m:t>1</m:t>
            </m:r>
          </m:sub>
        </m:sSub>
      </m:oMath>
      <w:r>
        <w:rPr/>
        <w:t xml:space="preserve"> ).</w:t>
      </w:r>
      <w:r>
        <w:rPr/>
        <w:br w:type="textWrapping"/>
      </w:r>
      <w:r>
        <w:rPr>
          <w:rFonts w:eastAsia="Georgia" w:cs="Georgia" w:ascii="Georgia" w:hAnsi="Georgia"/>
        </w:rPr>
        <w:t xml:space="preserve">Q 18. Montrer qu'un nouveau transfert, à partir de la Terre, ne peut avoir lieu qu'environ 780 jours après le premier lancement (période synodique).</w:t>
      </w:r>
      <w:r>
        <w:rPr/>
        <w:br w:type="textWrapping"/>
      </w:r>
      <w:r>
        <w:rPr>
          <w:rFonts w:eastAsia="Georgia" w:cs="Georgia" w:ascii="Georgia" w:hAnsi="Georgia"/>
        </w:rPr>
        <w:t xml:space="preserve">Q 19. Une fois le vaisseau arrivé au voisinage de la planète Mars ( </w:t>
      </w:r>
      <m:oMath>
        <m:sSub>
          <m:sSubPr/>
          <m:e>
            <m:r>
              <m:rPr>
                <m:sty m:val="i"/>
              </m:rPr>
              <m:t>M</m:t>
            </m:r>
          </m:e>
          <m:sub>
            <m:r>
              <m:rPr>
                <m:sty m:val="p"/>
              </m:rPr>
              <m:t>1</m:t>
            </m:r>
          </m:sub>
        </m:sSub>
        <m:r>
          <m:rPr>
            <m:sty m:val="p"/>
          </m:rPr>
          <m:t>,</m:t>
        </m:r>
        <m:sSub>
          <m:sSubPr/>
          <m:e>
            <m:r>
              <m:rPr>
                <m:sty m:val="i"/>
              </m:rPr>
              <m:t>T</m:t>
            </m:r>
          </m:e>
          <m:sub>
            <m:r>
              <m:rPr>
                <m:sty m:val="p"/>
              </m:rPr>
              <m:t>1</m:t>
            </m:r>
          </m:sub>
        </m:sSub>
      </m:oMath>
      <w:r>
        <w:rPr>
          <w:rFonts w:eastAsia="Georgia" w:cs="Georgia" w:ascii="Georgia" w:hAnsi="Georgia"/>
        </w:rPr>
        <w:t xml:space="preserve"> ), combien de temps faut-il attendre pour envisager un transfert d'Hohmann permettant de ramener le vaisseau à proximité de la Terre ? On notera </w:t>
      </w:r>
      <m:oMath>
        <m:sSub>
          <m:sSubPr/>
          <m:e>
            <m:r>
              <m:rPr>
                <m:sty m:val="i"/>
              </m:rPr>
              <m:t>T</m:t>
            </m:r>
          </m:e>
          <m:sub>
            <m:r>
              <m:rPr>
                <m:sty m:val="p"/>
              </m:rPr>
              <m:t>2</m:t>
            </m:r>
          </m:sub>
        </m:sSub>
      </m:oMath>
      <w:r>
        <w:rPr/>
        <w:t xml:space="preserve"> et </w:t>
      </w:r>
      <m:oMath>
        <m:sSub>
          <m:sSubPr/>
          <m:e>
            <m:r>
              <m:rPr>
                <m:sty m:val="i"/>
              </m:rPr>
              <m:t>M</m:t>
            </m:r>
          </m:e>
          <m:sub>
            <m:r>
              <m:rPr>
                <m:sty m:val="p"/>
              </m:rPr>
              <m:t>2</m:t>
            </m:r>
          </m:sub>
        </m:sSub>
      </m:oMath>
      <w:r>
        <w:rPr>
          <w:rFonts w:eastAsia="Georgia" w:cs="Georgia" w:ascii="Georgia" w:hAnsi="Georgia"/>
        </w:rPr>
        <w:t xml:space="preserve"> les positions respectives de la Terre et de Mars au début de ce second transfert.</w:t>
      </w:r>
      <w:r>
        <w:rPr/>
        <w:br w:type="textWrapping"/>
      </w:r>
      <w:r>
        <w:rPr>
          <w:rFonts w:eastAsia="Georgia" w:cs="Georgia" w:ascii="Georgia" w:hAnsi="Georgia"/>
        </w:rPr>
        <w:t xml:space="preserve">Q 20. Représenter les points </w:t>
      </w:r>
      <m:oMath>
        <m:sSub>
          <m:sSubPr/>
          <m:e>
            <m:r>
              <m:rPr>
                <m:sty m:val="i"/>
              </m:rPr>
              <m:t>T</m:t>
            </m:r>
          </m:e>
          <m:sub>
            <m:r>
              <m:rPr>
                <m:sty m:val="p"/>
              </m:rPr>
              <m:t>0</m:t>
            </m:r>
          </m:sub>
        </m:sSub>
        <m:r>
          <m:rPr>
            <m:sty m:val="p"/>
          </m:rPr>
          <m:t>,</m:t>
        </m:r>
        <m:sSub>
          <m:sSubPr/>
          <m:e>
            <m:r>
              <m:rPr>
                <m:sty m:val="i"/>
              </m:rPr>
              <m:t>M</m:t>
            </m:r>
          </m:e>
          <m:sub>
            <m:r>
              <m:rPr>
                <m:sty m:val="p"/>
              </m:rPr>
              <m:t>0</m:t>
            </m:r>
          </m:sub>
        </m:sSub>
        <m:r>
          <m:rPr>
            <m:sty m:val="p"/>
          </m:rPr>
          <m:t>,</m:t>
        </m:r>
        <m:sSub>
          <m:sSubPr/>
          <m:e>
            <m:r>
              <m:rPr>
                <m:sty m:val="i"/>
              </m:rPr>
              <m:t>T</m:t>
            </m:r>
          </m:e>
          <m:sub>
            <m:r>
              <m:rPr>
                <m:sty m:val="p"/>
              </m:rPr>
              <m:t>1</m:t>
            </m:r>
          </m:sub>
        </m:sSub>
        <m:r>
          <m:rPr>
            <m:sty m:val="p"/>
          </m:rPr>
          <m:t>,</m:t>
        </m:r>
        <m:sSub>
          <m:sSubPr/>
          <m:e>
            <m:r>
              <m:rPr>
                <m:sty m:val="i"/>
              </m:rPr>
              <m:t>M</m:t>
            </m:r>
          </m:e>
          <m:sub>
            <m:r>
              <m:rPr>
                <m:sty m:val="p"/>
              </m:rPr>
              <m:t>1</m:t>
            </m:r>
          </m:sub>
        </m:sSub>
        <m:r>
          <m:rPr>
            <m:sty m:val="p"/>
          </m:rPr>
          <m:t>,</m:t>
        </m:r>
        <m:sSub>
          <m:sSubPr/>
          <m:e>
            <m:r>
              <m:rPr>
                <m:sty m:val="i"/>
              </m:rPr>
              <m:t>T</m:t>
            </m:r>
          </m:e>
          <m:sub>
            <m:r>
              <m:rPr>
                <m:sty m:val="p"/>
              </m:rPr>
              <m:t>2</m:t>
            </m:r>
          </m:sub>
        </m:sSub>
      </m:oMath>
      <w:r>
        <w:rPr/>
        <w:t xml:space="preserve"> et </w:t>
      </w:r>
      <m:oMath>
        <m:sSub>
          <m:sSubPr/>
          <m:e>
            <m:r>
              <m:rPr>
                <m:sty m:val="i"/>
              </m:rPr>
              <m:t>M</m:t>
            </m:r>
          </m:e>
          <m:sub>
            <m:r>
              <m:rPr>
                <m:sty m:val="p"/>
              </m:rPr>
              <m:t>2</m:t>
            </m:r>
          </m:sub>
        </m:sSub>
      </m:oMath>
      <w:r>
        <w:rPr>
          <w:rFonts w:eastAsia="Georgia" w:cs="Georgia" w:ascii="Georgia" w:hAnsi="Georgia"/>
        </w:rPr>
        <w:t xml:space="preserve">, ainsi que les orbites d'aller et de retour, sur un schéma reproduisant la figure 6.</w:t>
      </w:r>
      <w:r>
        <w:rPr/>
        <w:br w:type="textWrapping"/>
      </w:r>
      <w:r>
        <w:rPr>
          <w:rFonts w:eastAsia="Georgia" w:cs="Georgia" w:ascii="Georgia" w:hAnsi="Georgia"/>
        </w:rPr>
        <w:t xml:space="preserve">Q 21. En déduire qu'une mission aller-retour vers Mars dure au minimum 972 jours. Sachant qu'entre le départ de l'Hermès vers la Terre, suite à la tempête, et son retour sur Mars, il s'est écoulé 549 jours, commenter.</w:t>
      </w:r>
    </w:p>
    <w:p>
      <w:pPr>
        <w:spacing w:line="271" w:before="330" w:lineRule="auto"/>
      </w:pPr>
      <w:r>
        <w:rPr>
          <w:rFonts w:eastAsia="Georgia" w:cs="Georgia" w:ascii="Georgia" w:hAnsi="Georgia"/>
          <w:b/>
          <w:sz w:val="42"/>
        </w:rPr>
        <w:t xml:space="preserve">IV.B - La récupération de Mark Watney</w:t>
      </w:r>
    </w:p>
    <w:p>
      <w:pPr>
        <w:spacing w:after="220" w:lineRule="auto"/>
      </w:pPr>
      <w:r>
        <w:rPr>
          <w:rFonts w:eastAsia="Georgia" w:cs="Georgia" w:ascii="Georgia" w:hAnsi="Georgia"/>
        </w:rPr>
        <w:t xml:space="preserve">Q 22. Au cours de l'opération de sauvetage, le vaisseau Hermès doit réduire brutalement sa vitesse de </w:t>
      </w:r>
      <m:oMath>
        <m:r>
          <m:rPr>
            <m:sty m:val="p"/>
          </m:rPr>
          <m:t>30</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Pour cela les astronautes ont l'idée de vider brutalement un ou des modules de l'Hermès de son air (modules de service sur la figure 4) et de profiter de la propulsion par réaction qui en découle pour freiner. On admet que la vitesse d'éjection des gaz est de l'ordre de </w:t>
      </w:r>
      <m:oMath>
        <m:r>
          <m:rPr>
            <m:sty m:val="p"/>
          </m:rPr>
          <m:t>500</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(ordre de grandeur de la vitesse d'agitation thermique des molécules de l'air de la cabine). Estimer l'ordre de grandeur du volume total des différents modules à vider de façon à freiner correctement le vaisseau Hermès. Commenter.</w:t>
      </w:r>
    </w:p>
    <w:p>
      <w:pPr>
        <w:spacing w:lineRule="auto"/>
        <w:jc w:val="center"/>
      </w:pPr>
      <w:r>
        <w:rPr/>
        <w:drawing>
          <wp:inline distB="0" distL="0" distR="0" distT="0">
            <wp:extent cx="5486400" cy="2380706"/>
            <wp:effectExtent b="0" l="0" r="0" t="0"/>
            <wp:docPr id="8" name="image-e6ec97b1edb628a62223b07061a84308773ac1ce.jpg"/>
            <a:graphic>
              <a:graphicData uri="http://schemas.openxmlformats.org/drawingml/2006/picture">
                <pic:pic>
                  <pic:nvPicPr>
                    <pic:cNvPr id="8" name="image-e6ec97b1edb628a62223b07061a84308773ac1ce.jpg" descr=""/>
                    <pic:cNvPicPr/>
                  </pic:nvPicPr>
                  <pic:blipFill>
                    <a:blip r:embed="rId12" cstate="print"/>
                    <a:srcRect b="0" l="0" r="0" t="0"/>
                    <a:stretch>
                      <a:fillRect/>
                    </a:stretch>
                  </pic:blipFill>
                  <pic:spPr>
                    <a:xfrm>
                      <a:off x="0" y="0"/>
                      <a:ext cx="5486400" cy="2380706"/>
                    </a:xfrm>
                    <a:prstGeom prst="rect"/>
                  </pic:spPr>
                </pic:pic>
              </a:graphicData>
            </a:graphic>
          </wp:inline>
        </w:drawing>
      </w:r>
    </w:p>
    <w:p>
      <w:pPr>
        <w:spacing w:lineRule="auto"/>
      </w:pPr>
      <w:r>
        <w:rPr>
          <w:rFonts w:eastAsia="Georgia" w:cs="Georgia" w:ascii="Georgia" w:hAnsi="Georgia"/>
        </w:rPr>
        <w:t xml:space="preserve">Figure 7 Mark Watney se propulsant vers l'Hermès</w:t>
      </w:r>
    </w:p>
    <w:p>
      <w:pPr>
        <w:spacing w:after="220" w:lineRule="auto"/>
      </w:pPr>
      <w:r>
        <w:rPr>
          <w:rFonts w:eastAsia="Georgia" w:cs="Georgia" w:ascii="Georgia" w:hAnsi="Georgia"/>
        </w:rPr>
        <w:t xml:space="preserve">Q 23. Au moment du sauvetage, Mark Watney s'aperçoit qu'il est encore trop loin de l'Hermès. il décide alors de percer sa combinaison (trou de diamètre de l'ordre de </w:t>
      </w:r>
      <m:oMath>
        <m:r>
          <m:rPr>
            <m:sty m:val="p"/>
          </m:rPr>
          <m:t>1</m:t>
        </m:r>
        <m:sSup>
          <m:sSupPr/>
          <m:e>
            <m:r>
              <m:rPr>
                <m:nor/>
              </m:rPr>
              <m:t xml:space="preserve"> </m:t>
            </m:r>
            <m:r>
              <m:rPr>
                <m:sty m:val="p"/>
              </m:rPr>
              <m:t>cm</m:t>
            </m:r>
          </m:e>
          <m:sup>
            <m:r>
              <m:rPr>
                <m:sty m:val="p"/>
              </m:rPr>
              <m:t>2</m:t>
            </m:r>
          </m:sup>
        </m:sSup>
      </m:oMath>
      <w:r>
        <w:rPr>
          <w:rFonts w:eastAsia="Georgia" w:cs="Georgia" w:ascii="Georgia" w:hAnsi="Georgia"/>
        </w:rPr>
        <w:t xml:space="preserve"> ) pour se propulser. De quelle force de poussée dispose-t-il alors ? Commenter votre résultat. Commenter également la photo (figure 7) représentant Mark Watney se propulsant vers l'Hermès.</w:t>
      </w:r>
    </w:p>
    <w:p>
      <w:pPr>
        <w:spacing w:line="271" w:before="330" w:lineRule="auto"/>
      </w:pPr>
      <w:r>
        <w:rPr>
          <w:b/>
          <w:sz w:val="42"/>
        </w:rPr>
        <w:t xml:space="preserve">V Fabrication d'eau sur Mars</w:t>
      </w:r>
    </w:p>
    <w:p>
      <w:pPr>
        <w:spacing w:after="220" w:lineRule="auto"/>
      </w:pPr>
      <w:r>
        <w:rPr>
          <w:rFonts w:eastAsia="Georgia" w:cs="Georgia" w:ascii="Georgia" w:hAnsi="Georgia"/>
        </w:rPr>
        <w:t xml:space="preserve">Mark Watney est bien conscient que l'eau est l'une des clefs de sa survie sur Mars. Il n'en manque pas grâce à l'ingéniosité des procédés développés dans le domaine spatial mais il a besoin d'énormes quantités d'eau pour arroser ses plants de pomme de terre et assurer son alimentation en attendant l'aide hypothétique de la Terre. Heureusement, outre sa qualité de botaniste, il a des notions élémentaires de mécanique, de physique et de chimie.</w:t>
      </w:r>
      <w:r>
        <w:rPr/>
        <w:br w:type="textWrapping"/>
      </w:r>
      <w:r>
        <w:rPr>
          <w:rFonts w:eastAsia="Georgia" w:cs="Georgia" w:ascii="Georgia" w:hAnsi="Georgia"/>
        </w:rPr>
        <w:t xml:space="preserve">Mark Watney estime avoir besoin de 600 L d'eau, qu'il décide d'obtenir par combustion de dihydrogène par le dioxygène. Il peut obtenir le dihydrogène par décomposition de l'hydrazine et le dioxygène par réduction du </w:t>
      </w:r>
      <m:oMath>
        <m:sSub>
          <m:sSubPr/>
          <m:e>
            <m:r>
              <m:rPr>
                <m:sty m:val="p"/>
              </m:rPr>
              <m:t>CO</m:t>
            </m:r>
          </m:e>
          <m:sub>
            <m:r>
              <m:rPr>
                <m:sty m:val="p"/>
              </m:rPr>
              <m:t>2</m:t>
            </m:r>
          </m:sub>
        </m:sSub>
      </m:oMath>
      <w:r>
        <w:rPr>
          <w:rFonts w:eastAsia="Georgia" w:cs="Georgia" w:ascii="Georgia" w:hAnsi="Georgia"/>
        </w:rPr>
        <w:t xml:space="preserve"> en CO à haute température ( </w:t>
      </w:r>
      <m:oMath>
        <m:sSup>
          <m:sSupPr/>
          <m:e>
            <m:r>
              <m:rPr>
                <m:sty m:val="p"/>
              </m:rPr>
              <m:t>800</m:t>
            </m:r>
          </m:e>
          <m:sup>
            <m:r>
              <m:rPr>
                <m:sty m:val="p"/>
              </m:rPr>
              <m:t>∘</m:t>
            </m:r>
          </m:sup>
        </m:sSup>
        <m:r>
          <m:rPr>
            <m:sty m:val="p"/>
          </m:rPr>
          <m:t>C</m:t>
        </m:r>
      </m:oMath>
      <w:r>
        <w:rPr>
          <w:rFonts w:eastAsia="Georgia" w:cs="Georgia" w:ascii="Georgia" w:hAnsi="Georgia"/>
        </w:rPr>
        <w:t xml:space="preserve"> ) selon la réaction </w:t>
      </w:r>
      <m:oMath>
        <m:r>
          <m:rPr>
            <m:sty m:val="p"/>
          </m:rPr>
          <m:t>2</m:t>
        </m:r>
        <m:sSub>
          <m:sSubPr/>
          <m:e>
            <m:r>
              <m:rPr>
                <m:sty m:val="p"/>
              </m:rPr>
              <m:t>CO</m:t>
            </m:r>
          </m:e>
          <m:sub>
            <m:r>
              <m:rPr>
                <m:sty m:val="p"/>
              </m:rPr>
              <m:t>2</m:t>
            </m:r>
          </m:sub>
        </m:sSub>
        <m:r>
          <m:rPr>
            <m:sty m:val="p"/>
          </m:rPr>
          <m:t>→</m:t>
        </m:r>
        <m:sSub>
          <m:sSubPr/>
          <m:e>
            <m:r>
              <m:rPr>
                <m:sty m:val="p"/>
              </m:rPr>
              <m:t>O</m:t>
            </m:r>
          </m:e>
          <m:sub>
            <m:r>
              <m:rPr>
                <m:sty m:val="p"/>
              </m:rPr>
              <m:t>2</m:t>
            </m:r>
          </m:sub>
        </m:sSub>
        <m:r>
          <m:rPr>
            <m:sty m:val="p"/>
          </m:rPr>
          <m:t>+</m:t>
        </m:r>
        <m:r>
          <m:rPr>
            <m:sty m:val="p"/>
          </m:rPr>
          <m:t>2</m:t>
        </m:r>
        <m:r>
          <m:rPr>
            <m:sty m:val="p"/>
          </m:rPr>
          <m:t>CO</m:t>
        </m:r>
      </m:oMath>
      <w:r>
        <w:rPr/>
        <w:t xml:space="preserve"> en phase gazeuse.</w:t>
      </w:r>
      <w:r>
        <w:rPr/>
        <w:br w:type="textWrapping"/>
      </w:r>
      <w:r>
        <w:rPr>
          <w:rFonts w:eastAsia="Georgia" w:cs="Georgia" w:ascii="Georgia" w:hAnsi="Georgia"/>
        </w:rPr>
        <w:t xml:space="preserve">L'hydrazine dont il souhaite tirer le dihydrogène avant de le «brûler » pour former l'eau est un carburant notamment utilisé dans la conquête spatiale. Les réactions chimiques de décomposition de l'hydrazine en molécules de </w:t>
      </w:r>
      <m:oMath>
        <m:sSub>
          <m:sSubPr/>
          <m:e>
            <m:r>
              <m:rPr>
                <m:sty m:val="p"/>
              </m:rPr>
              <m:t>N</m:t>
            </m:r>
          </m:e>
          <m:sub>
            <m:r>
              <m:rPr>
                <m:sty m:val="p"/>
              </m:rPr>
              <m:t>2</m:t>
            </m:r>
          </m:sub>
        </m:sSub>
      </m:oMath>
      <w:r>
        <w:rPr/>
        <w:t xml:space="preserve"> et </w:t>
      </w:r>
      <m:oMath>
        <m:sSub>
          <m:sSubPr/>
          <m:e>
            <m:r>
              <m:rPr>
                <m:sty m:val="p"/>
              </m:rPr>
              <m:t>H</m:t>
            </m:r>
          </m:e>
          <m:sub>
            <m:r>
              <m:rPr>
                <m:sty m:val="p"/>
              </m:rPr>
              <m:t>2</m:t>
            </m:r>
          </m:sub>
        </m:sSub>
      </m:oMath>
      <w:r>
        <w:rPr>
          <w:rFonts w:eastAsia="Georgia" w:cs="Georgia" w:ascii="Georgia" w:hAnsi="Georgia"/>
        </w:rPr>
        <w:t xml:space="preserve">, en présence d'iridium comme catalyseur, sont les suivantes (en phase gazeuse)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r>
                  <m:rPr>
                    <m:sty m:val="p"/>
                  </m:rPr>
                  <m:t>3</m:t>
                </m:r>
                <m:sSub>
                  <m:sSubPr/>
                  <m:e>
                    <m:r>
                      <m:rPr>
                        <m:nor/>
                      </m:rPr>
                      <m:t xml:space="preserve"> </m:t>
                    </m:r>
                    <m:r>
                      <m:rPr>
                        <m:sty m:val="p"/>
                      </m:rPr>
                      <m:t>N</m:t>
                    </m:r>
                  </m:e>
                  <m:sub>
                    <m:r>
                      <m:rPr>
                        <m:sty m:val="p"/>
                      </m:rPr>
                      <m:t>2</m:t>
                    </m:r>
                  </m:sub>
                </m:sSub>
                <m:sSub>
                  <m:sSubPr/>
                  <m:e>
                    <m:r>
                      <m:rPr>
                        <m:sty m:val="p"/>
                      </m:rPr>
                      <m:t>H</m:t>
                    </m:r>
                  </m:e>
                  <m:sub>
                    <m:r>
                      <m:rPr>
                        <m:sty m:val="p"/>
                      </m:rPr>
                      <m:t>4</m:t>
                    </m:r>
                  </m:sub>
                </m:sSub>
              </m:e>
              <m:e>
                <m:r>
                  <m:rPr>
                    <m:sty m:val="i"/>
                  </m:rPr>
                  <m:t xml:space="preserve"> </m:t>
                </m:r>
                <m:r>
                  <m:rPr>
                    <m:sty m:val="p"/>
                  </m:rPr>
                  <m:t>=</m:t>
                </m:r>
                <m:r>
                  <m:rPr>
                    <m:sty m:val="p"/>
                  </m:rPr>
                  <m:t>4</m:t>
                </m:r>
                <m:sSub>
                  <m:sSubPr/>
                  <m:e>
                    <m:r>
                      <m:rPr>
                        <m:sty m:val="p"/>
                      </m:rPr>
                      <m:t>NH</m:t>
                    </m:r>
                  </m:e>
                  <m:sub>
                    <m:r>
                      <m:rPr>
                        <m:sty m:val="p"/>
                      </m:rPr>
                      <m:t>3</m:t>
                    </m:r>
                  </m:sub>
                </m:sSub>
                <m:r>
                  <m:rPr>
                    <m:sty m:val="p"/>
                  </m:rPr>
                  <m:t>+</m:t>
                </m:r>
                <m:sSub>
                  <m:sSubPr/>
                  <m:e>
                    <m:r>
                      <m:rPr>
                        <m:sty m:val="p"/>
                      </m:rPr>
                      <m:t>N</m:t>
                    </m:r>
                  </m:e>
                  <m:sub>
                    <m:r>
                      <m:rPr>
                        <m:sty m:val="p"/>
                      </m:rPr>
                      <m:t>2</m:t>
                    </m:r>
                  </m:sub>
                </m:sSub>
              </m:e>
            </m:mr>
            <m:mr>
              <m:e>
                <m:sSub>
                  <m:sSubPr/>
                  <m:e>
                    <m:r>
                      <m:rPr>
                        <m:nor/>
                      </m:rPr>
                      <m:t xml:space="preserve"> </m:t>
                    </m:r>
                    <m:r>
                      <m:rPr>
                        <m:sty m:val="p"/>
                      </m:rPr>
                      <m:t>N</m:t>
                    </m:r>
                  </m:e>
                  <m:sub>
                    <m:r>
                      <m:rPr>
                        <m:sty m:val="p"/>
                      </m:rPr>
                      <m:t>2</m:t>
                    </m:r>
                  </m:sub>
                </m:sSub>
                <m:sSub>
                  <m:sSubPr/>
                  <m:e>
                    <m:r>
                      <m:rPr>
                        <m:sty m:val="p"/>
                      </m:rPr>
                      <m:t>H</m:t>
                    </m:r>
                  </m:e>
                  <m:sub>
                    <m:r>
                      <m:rPr>
                        <m:sty m:val="p"/>
                      </m:rPr>
                      <m:t>4</m:t>
                    </m:r>
                  </m:sub>
                </m:sSub>
              </m:e>
              <m:e>
                <m:r>
                  <m:rPr>
                    <m:sty m:val="i"/>
                  </m:rPr>
                  <m:t xml:space="preserve"> </m:t>
                </m:r>
                <m:r>
                  <m:rPr>
                    <m:sty m:val="p"/>
                  </m:rPr>
                  <m:t>=</m:t>
                </m:r>
                <m:sSub>
                  <m:sSubPr/>
                  <m:e>
                    <m:r>
                      <m:rPr>
                        <m:sty m:val="p"/>
                      </m:rPr>
                      <m:t>N</m:t>
                    </m:r>
                  </m:e>
                  <m:sub>
                    <m:r>
                      <m:rPr>
                        <m:sty m:val="p"/>
                      </m:rPr>
                      <m:t>2</m:t>
                    </m:r>
                  </m:sub>
                </m:sSub>
                <m:r>
                  <m:rPr>
                    <m:sty m:val="p"/>
                  </m:rPr>
                  <m:t>+</m:t>
                </m:r>
                <m:r>
                  <m:rPr>
                    <m:sty m:val="p"/>
                  </m:rPr>
                  <m:t>2</m:t>
                </m:r>
                <m:sSub>
                  <m:sSubPr/>
                  <m:e>
                    <m:r>
                      <m:rPr>
                        <m:sty m:val="p"/>
                      </m:rPr>
                      <m:t>H</m:t>
                    </m:r>
                  </m:e>
                  <m:sub>
                    <m:r>
                      <m:rPr>
                        <m:sty m:val="p"/>
                      </m:rPr>
                      <m:t>2</m:t>
                    </m:r>
                  </m:sub>
                </m:sSub>
              </m:e>
            </m:mr>
            <m:mr>
              <m:e>
                <m:r>
                  <m:rPr>
                    <m:sty m:val="p"/>
                  </m:rPr>
                  <m:t>4</m:t>
                </m:r>
                <m:sSub>
                  <m:sSubPr/>
                  <m:e>
                    <m:r>
                      <m:rPr>
                        <m:sty m:val="p"/>
                      </m:rPr>
                      <m:t>NH</m:t>
                    </m:r>
                  </m:e>
                  <m:sub>
                    <m:r>
                      <m:rPr>
                        <m:sty m:val="p"/>
                      </m:rPr>
                      <m:t>3</m:t>
                    </m:r>
                  </m:sub>
                </m:sSub>
                <m:r>
                  <m:rPr>
                    <m:sty m:val="p"/>
                  </m:rPr>
                  <m:t>+</m:t>
                </m:r>
                <m:sSub>
                  <m:sSubPr/>
                  <m:e>
                    <m:r>
                      <m:rPr>
                        <m:sty m:val="p"/>
                      </m:rPr>
                      <m:t>N</m:t>
                    </m:r>
                  </m:e>
                  <m:sub>
                    <m:r>
                      <m:rPr>
                        <m:sty m:val="p"/>
                      </m:rPr>
                      <m:t>2</m:t>
                    </m:r>
                  </m:sub>
                </m:sSub>
                <m:sSub>
                  <m:sSubPr/>
                  <m:e>
                    <m:r>
                      <m:rPr>
                        <m:sty m:val="p"/>
                      </m:rPr>
                      <m:t>H</m:t>
                    </m:r>
                  </m:e>
                  <m:sub>
                    <m:r>
                      <m:rPr>
                        <m:sty m:val="p"/>
                      </m:rPr>
                      <m:t>4</m:t>
                    </m:r>
                  </m:sub>
                </m:sSub>
              </m:e>
              <m:e>
                <m:r>
                  <m:rPr>
                    <m:sty m:val="i"/>
                  </m:rPr>
                  <m:t xml:space="preserve"> </m:t>
                </m:r>
                <m:r>
                  <m:rPr>
                    <m:sty m:val="p"/>
                  </m:rPr>
                  <m:t>=</m:t>
                </m:r>
                <m:r>
                  <m:rPr>
                    <m:sty m:val="p"/>
                  </m:rPr>
                  <m:t>3</m:t>
                </m:r>
                <m:sSub>
                  <m:sSubPr/>
                  <m:e>
                    <m:r>
                      <m:rPr>
                        <m:nor/>
                      </m:rPr>
                      <m:t xml:space="preserve"> </m:t>
                    </m:r>
                    <m:r>
                      <m:rPr>
                        <m:sty m:val="p"/>
                      </m:rPr>
                      <m:t>N</m:t>
                    </m:r>
                  </m:e>
                  <m:sub>
                    <m:r>
                      <m:rPr>
                        <m:sty m:val="p"/>
                      </m:rPr>
                      <m:t>2</m:t>
                    </m:r>
                  </m:sub>
                </m:sSub>
                <m:r>
                  <m:rPr>
                    <m:sty m:val="p"/>
                  </m:rPr>
                  <m:t>+</m:t>
                </m:r>
                <m:r>
                  <m:rPr>
                    <m:sty m:val="p"/>
                  </m:rPr>
                  <m:t>8</m:t>
                </m:r>
                <m:sSub>
                  <m:sSubPr/>
                  <m:e>
                    <m:r>
                      <m:rPr>
                        <m:sty m:val="p"/>
                      </m:rPr>
                      <m:t>H</m:t>
                    </m:r>
                  </m:e>
                  <m:sub>
                    <m:r>
                      <m:rPr>
                        <m:sty m:val="p"/>
                      </m:rPr>
                      <m:t>2</m:t>
                    </m:r>
                  </m:sub>
                </m:sSub>
              </m:e>
            </m:mr>
          </m:m>
        </m:oMath>
      </m:oMathPara>
    </w:p>
    <w:p>
      <w:pPr>
        <w:spacing w:after="220" w:lineRule="auto"/>
      </w:pPr>
      <w:r>
        <w:rPr/>
        <w:t xml:space="preserve">Q 24. Proposer des formules de Lewis pour l'hydrazine </w:t>
      </w:r>
      <m:oMath>
        <m:sSub>
          <m:sSubPr/>
          <m:e>
            <m:r>
              <m:rPr>
                <m:sty m:val="p"/>
              </m:rPr>
              <m:t>N</m:t>
            </m:r>
          </m:e>
          <m:sub>
            <m:r>
              <m:rPr>
                <m:sty m:val="p"/>
              </m:rPr>
              <m:t>2</m:t>
            </m:r>
          </m:sub>
        </m:sSub>
        <m:sSub>
          <m:sSubPr/>
          <m:e>
            <m:r>
              <m:rPr>
                <m:sty m:val="p"/>
              </m:rPr>
              <m:t>H</m:t>
            </m:r>
          </m:e>
          <m:sub>
            <m:r>
              <m:rPr>
                <m:sty m:val="p"/>
              </m:rPr>
              <m:t>4</m:t>
            </m:r>
          </m:sub>
        </m:sSub>
      </m:oMath>
      <w:r>
        <w:rPr/>
        <w:t xml:space="preserve">, l'ammoniac </w:t>
      </w:r>
      <m:oMath>
        <m:sSub>
          <m:sSubPr/>
          <m:e>
            <m:r>
              <m:rPr>
                <m:sty m:val="p"/>
              </m:rPr>
              <m:t>NH</m:t>
            </m:r>
          </m:e>
          <m:sub>
            <m:r>
              <m:rPr>
                <m:sty m:val="p"/>
              </m:rPr>
              <m:t>3</m:t>
            </m:r>
          </m:sub>
        </m:sSub>
      </m:oMath>
      <w:r>
        <w:rPr/>
        <w:t xml:space="preserve"> et le diazote </w:t>
      </w:r>
      <m:oMath>
        <m:sSub>
          <m:sSubPr/>
          <m:e>
            <m:r>
              <m:rPr>
                <m:sty m:val="p"/>
              </m:rPr>
              <m:t>N</m:t>
            </m:r>
          </m:e>
          <m:sub>
            <m:r>
              <m:rPr>
                <m:sty m:val="p"/>
              </m:rPr>
              <m:t>2</m:t>
            </m:r>
          </m:sub>
        </m:sSub>
      </m:oMath>
      <w:r>
        <w:rPr/>
        <w:t xml:space="preserve">.</w:t>
      </w:r>
      <w:r>
        <w:rPr/>
        <w:br w:type="textWrapping"/>
      </w:r>
      <w:r>
        <w:rPr>
          <w:rFonts w:eastAsia="Georgia" w:cs="Georgia" w:ascii="Georgia" w:hAnsi="Georgia"/>
        </w:rPr>
        <w:t xml:space="preserve">Q 25. Déterminer le volume d'hydrazine (densité 1,02 ) nécessaire pour obtenir les 600 L d'eau liquide voulus par Mark Watney.</w:t>
      </w:r>
      <w:r>
        <w:rPr/>
        <w:br w:type="textWrapping"/>
      </w:r>
      <w:r>
        <w:rPr>
          <w:rFonts w:eastAsia="Georgia" w:cs="Georgia" w:ascii="Georgia" w:hAnsi="Georgia"/>
        </w:rPr>
        <w:t xml:space="preserve">Q 26. La présence du catalyseur d'iridium modifie-t-elle l'état d'équilibre?</w:t>
      </w:r>
      <w:r>
        <w:rPr/>
        <w:br w:type="textWrapping"/>
      </w:r>
      <w:r>
        <w:rPr>
          <w:rFonts w:eastAsia="Georgia" w:cs="Georgia" w:ascii="Georgia" w:hAnsi="Georgia"/>
        </w:rPr>
        <w:t xml:space="preserve">Q 27. L'iridium cristallise dans un réseau cubique à faces centrées avec une densité de 22,5 . Représenter cette maille cristalline. Estimer le rayon atomique de l'iridium.</w:t>
      </w:r>
      <w:r>
        <w:rPr/>
        <w:br w:type="textWrapping"/>
      </w:r>
      <w:r>
        <w:rPr>
          <w:rFonts w:eastAsia="Georgia" w:cs="Georgia" w:ascii="Georgia" w:hAnsi="Georgia"/>
        </w:rPr>
        <w:t xml:space="preserve">Q 28. Calculer la constante thermodynamique de la réaction </w:t>
      </w:r>
      <m:oMath>
        <m:r>
          <m:rPr>
            <m:sty m:val="p"/>
          </m:rPr>
          <m:t>2</m:t>
        </m:r>
        <m:sSub>
          <m:sSubPr/>
          <m:e>
            <m:r>
              <m:rPr>
                <m:sty m:val="p"/>
              </m:rPr>
              <m:t>CO</m:t>
            </m:r>
          </m:e>
          <m:sub>
            <m:r>
              <m:rPr>
                <m:sty m:val="p"/>
              </m:rPr>
              <m:t>2</m:t>
            </m:r>
          </m:sub>
        </m:sSub>
        <m:r>
          <m:rPr>
            <m:sty m:val="p"/>
          </m:rPr>
          <m:t>=</m:t>
        </m:r>
        <m:sSub>
          <m:sSubPr/>
          <m:e>
            <m:r>
              <m:rPr>
                <m:sty m:val="p"/>
              </m:rPr>
              <m:t>O</m:t>
            </m:r>
          </m:e>
          <m:sub>
            <m:r>
              <m:rPr>
                <m:sty m:val="p"/>
              </m:rPr>
              <m:t>2</m:t>
            </m:r>
          </m:sub>
        </m:sSub>
        <m:r>
          <m:rPr>
            <m:sty m:val="p"/>
          </m:rPr>
          <m:t>+</m:t>
        </m:r>
        <m:r>
          <m:rPr>
            <m:sty m:val="p"/>
          </m:rPr>
          <m:t>2</m:t>
        </m:r>
        <m:r>
          <m:rPr>
            <m:sty m:val="p"/>
          </m:rPr>
          <m:t>CO</m:t>
        </m:r>
      </m:oMath>
      <w:r>
        <w:rPr>
          <w:rFonts w:eastAsia="Georgia" w:cs="Georgia" w:ascii="Georgia" w:hAnsi="Georgia"/>
        </w:rPr>
        <w:t xml:space="preserve"> à </w:t>
      </w:r>
      <m:oMath>
        <m:sSup>
          <m:sSupPr/>
          <m:e>
            <m:r>
              <m:rPr>
                <m:sty m:val="p"/>
              </m:rPr>
              <m:t>800</m:t>
            </m:r>
          </m:e>
          <m:sup>
            <m:r>
              <m:rPr>
                <m:sty m:val="p"/>
              </m:rPr>
              <m:t>∘</m:t>
            </m:r>
          </m:sup>
        </m:sSup>
        <m:r>
          <m:rPr>
            <m:sty m:val="p"/>
          </m:rPr>
          <m:t>C</m:t>
        </m:r>
      </m:oMath>
      <w:r>
        <w:rPr/>
        <w:t xml:space="preserve"> en phase gazeuse. Commenter.</w:t>
      </w:r>
      <w:r>
        <w:rPr/>
        <w:br w:type="textWrapping"/>
      </w:r>
      <w:r>
        <w:rPr>
          <w:rFonts w:eastAsia="Georgia" w:cs="Georgia" w:ascii="Georgia" w:hAnsi="Georgia"/>
        </w:rPr>
        <w:t xml:space="preserve">Q 29. Comment évolue la réaction </w:t>
      </w:r>
      <m:oMath>
        <m:r>
          <m:rPr>
            <m:sty m:val="p"/>
          </m:rPr>
          <m:t>2</m:t>
        </m:r>
        <m:sSub>
          <m:sSubPr/>
          <m:e>
            <m:r>
              <m:rPr>
                <m:sty m:val="p"/>
              </m:rPr>
              <m:t>CO</m:t>
            </m:r>
          </m:e>
          <m:sub>
            <m:r>
              <m:rPr>
                <m:sty m:val="p"/>
              </m:rPr>
              <m:t>2</m:t>
            </m:r>
          </m:sub>
        </m:sSub>
        <m:r>
          <m:rPr>
            <m:sty m:val="p"/>
          </m:rPr>
          <m:t>=</m:t>
        </m:r>
        <m:sSub>
          <m:sSubPr/>
          <m:e>
            <m:r>
              <m:rPr>
                <m:sty m:val="p"/>
              </m:rPr>
              <m:t>O</m:t>
            </m:r>
          </m:e>
          <m:sub>
            <m:r>
              <m:rPr>
                <m:sty m:val="p"/>
              </m:rPr>
              <m:t>2</m:t>
            </m:r>
          </m:sub>
        </m:sSub>
        <m:r>
          <m:rPr>
            <m:sty m:val="p"/>
          </m:rPr>
          <m:t>+</m:t>
        </m:r>
        <m:r>
          <m:rPr>
            <m:sty m:val="p"/>
          </m:rPr>
          <m:t>2</m:t>
        </m:r>
        <m:r>
          <m:rPr>
            <m:sty m:val="p"/>
          </m:rPr>
          <m:t>CO</m:t>
        </m:r>
      </m:oMath>
      <w:r>
        <w:rPr>
          <w:rFonts w:eastAsia="Georgia" w:cs="Georgia" w:ascii="Georgia" w:hAnsi="Georgia"/>
        </w:rPr>
        <w:t xml:space="preserve"> si on diminue la température ? Justifier.</w:t>
      </w:r>
      <w:r>
        <w:rPr/>
        <w:br w:type="textWrapping"/>
      </w:r>
      <w:r>
        <w:rPr>
          <w:rFonts w:eastAsia="Georgia" w:cs="Georgia" w:ascii="Georgia" w:hAnsi="Georgia"/>
        </w:rPr>
        <w:t xml:space="preserve">Q 30. Quelle est la température maximale atteinte lors de la combustion du dihydrogène ?</w:t>
      </w:r>
    </w:p>
    <w:p>
      <w:pPr>
        <w:spacing w:line="271" w:before="330" w:lineRule="auto"/>
      </w:pPr>
      <w:r>
        <w:rPr>
          <w:b/>
          <w:sz w:val="42"/>
        </w:rPr>
        <w:t xml:space="preserve">VI Peut-on cultiver des pommes de terre sur Mars?</w:t>
      </w:r>
    </w:p>
    <w:p>
      <w:pPr>
        <w:spacing w:after="220" w:lineRule="auto"/>
      </w:pPr>
      <w:r>
        <w:rPr>
          <w:rFonts w:eastAsia="Georgia" w:cs="Georgia" w:ascii="Georgia" w:hAnsi="Georgia"/>
        </w:rPr>
        <w:t xml:space="preserve">Pour s'alimenter Mark Watney fait pousser des pommes de terre dans le sol martien en utilisant les selles récupérées dans les toilettes de la mission. Les selles contiennent des bactéries nécessaires à une culture. Néanmoins, les sondes Viking ont montré qu'un tel sol, particulièrement oxydant, tue toutes les bactéries, à fortiori celles des selles. Dans cette partie, afin d'étudier l'action oxydante du sol sur les bactérie on utilise la bactérie </w:t>
      </w:r>
      <m:oMath>
        <m:r>
          <m:rPr>
            <m:sty m:val="i"/>
          </m:rPr>
          <m:t>E</m:t>
        </m:r>
      </m:oMath>
      <w:r>
        <w:rPr>
          <w:rFonts w:eastAsia="Georgia" w:cs="Georgia" w:ascii="Georgia" w:hAnsi="Georgia"/>
        </w:rPr>
        <w:t xml:space="preserve">. coli comme organisme modèle et on modélise le stress oxydant par l'action du peroxyde d'hydrogène </w:t>
      </w:r>
      <m:oMath>
        <m:sSub>
          <m:sSubPr/>
          <m:e>
            <m:r>
              <m:rPr>
                <m:sty m:val="p"/>
              </m:rPr>
              <m:t>H</m:t>
            </m:r>
          </m:e>
          <m:sub>
            <m:r>
              <m:rPr>
                <m:sty m:val="p"/>
              </m:rPr>
              <m:t>2</m:t>
            </m:r>
          </m:sub>
        </m:sSub>
        <m:sSub>
          <m:sSubPr/>
          <m:e>
            <m:r>
              <m:rPr>
                <m:sty m:val="p"/>
              </m:rPr>
              <m:t>O</m:t>
            </m:r>
          </m:e>
          <m:sub>
            <m:r>
              <m:rPr>
                <m:sty m:val="p"/>
              </m:rPr>
              <m:t>2</m:t>
            </m:r>
          </m:sub>
        </m:sSub>
      </m:oMath>
      <w:r>
        <w:rPr/>
        <w:t xml:space="preserve">.</w:t>
      </w:r>
    </w:p>
    <w:p>
      <w:pPr>
        <w:spacing w:line="271" w:before="330" w:lineRule="auto"/>
      </w:pPr>
      <w:r>
        <w:rPr>
          <w:rFonts w:eastAsia="Georgia" w:cs="Georgia" w:ascii="Georgia" w:hAnsi="Georgia"/>
          <w:b/>
          <w:sz w:val="42"/>
        </w:rPr>
        <w:t xml:space="preserve">VI.A - Métabolisme de la bactérie</w:t>
      </w:r>
    </w:p>
    <w:p>
      <w:pPr>
        <w:spacing w:after="220" w:lineRule="auto"/>
      </w:pPr>
      <w:r>
        <w:rPr>
          <w:rFonts w:eastAsia="Georgia" w:cs="Georgia" w:ascii="Georgia" w:hAnsi="Georgia"/>
        </w:rPr>
        <w:t xml:space="preserve">Le peroxyde d'hydrogène est un sous-produit du métabolisme des cellules, sa production suit une cinétique d'ordre 0 de constante de vitesse </w:t>
      </w:r>
      <m:oMath>
        <m:sSub>
          <m:sSubPr/>
          <m:e>
            <m:r>
              <m:rPr>
                <m:sty m:val="i"/>
              </m:rPr>
              <m:t>k</m:t>
            </m:r>
          </m:e>
          <m:sub>
            <m:r>
              <m:rPr>
                <m:sty m:val="i"/>
              </m:rPr>
              <m:t>p</m:t>
            </m:r>
          </m:sub>
        </m:sSub>
        <m:r>
          <m:rPr>
            <m:sty m:val="p"/>
          </m:rPr>
          <m:t>=</m:t>
        </m:r>
        <m:r>
          <m:rPr>
            <m:sty m:val="p"/>
          </m:rPr>
          <m:t>15</m:t>
        </m:r>
        <m:r>
          <m:rPr>
            <m:sty m:val="i"/>
          </m:rPr>
          <m:t>μ</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Pour lutter contre le peroxyde d'hydrogène, la bactérie a développé un arsenal de défense dont les principales actrices sont les enzymes alkylhydroperoxydase (notée Ahp) et catalase (notée Cat). Le peroxyde d'hydrogène est également capable de diffuser à travers la paroi de la bactérie. Dans la suite on considère que les concentrations à l'intérieur de la bactérie et à l'extérieur sont uniformes. Le modèle complet a été développé par Uhl et Dukan (PLoS One. </w:t>
      </w:r>
      <m:oMath>
        <m:r>
          <m:rPr>
            <m:sty m:val="p"/>
          </m:rPr>
          <m:t>2016</m:t>
        </m:r>
        <m:r>
          <m:rPr>
            <m:sty m:val="p"/>
          </m:rPr>
          <m:t>;</m:t>
        </m:r>
        <m:r>
          <m:rPr>
            <m:sty m:val="p"/>
          </m:rPr>
          <m:t>11</m:t>
        </m:r>
        <m:r>
          <m:rPr>
            <m:sty m:val="p"/>
          </m:rPr>
          <m:t>(</m:t>
        </m:r>
        <m:r>
          <m:rPr>
            <m:sty m:val="p"/>
          </m:rPr>
          <m:t>8</m:t>
        </m:r>
        <m:r>
          <m:rPr>
            <m:sty m:val="p"/>
          </m:rPr>
          <m:t>)</m:t>
        </m:r>
      </m:oMath>
      <w:r>
        <w:rPr/>
        <w:t xml:space="preserve"> ).</w:t>
      </w:r>
      <w:r>
        <w:rPr/>
        <w:br w:type="textWrapping"/>
      </w:r>
      <w:r>
        <w:rPr>
          <w:rFonts w:eastAsia="Georgia" w:cs="Georgia" w:ascii="Georgia" w:hAnsi="Georgia"/>
        </w:rPr>
        <w:t xml:space="preserve">VI.A.1) La bactérie est modélisée par une sphère de volume total </w:t>
      </w:r>
      <m:oMath>
        <m:sSub>
          <m:sSubPr/>
          <m:e>
            <m:r>
              <m:rPr>
                <m:sty m:val="i"/>
              </m:rPr>
              <m:t>V</m:t>
            </m:r>
          </m:e>
          <m:sub>
            <m:r>
              <m:rPr>
                <m:sty m:val="i"/>
              </m:rPr>
              <m:t>i</m:t>
            </m:r>
          </m:sub>
        </m:sSub>
      </m:oMath>
      <w:r>
        <w:rPr/>
        <w:t xml:space="preserve"> de rayon externe </w:t>
      </w:r>
      <m:oMath>
        <m:r>
          <m:rPr>
            <m:sty m:val="i"/>
          </m:rPr>
          <m:t>R</m:t>
        </m:r>
      </m:oMath>
      <w:r>
        <w:rPr>
          <w:rFonts w:eastAsia="Georgia" w:cs="Georgia" w:ascii="Georgia" w:hAnsi="Georgia"/>
        </w:rPr>
        <w:t xml:space="preserve"> et d'épaisseur de paroi </w:t>
      </w:r>
      <m:oMath>
        <m:r>
          <m:rPr>
            <m:sty m:val="i"/>
          </m:rPr>
          <m:t>e</m:t>
        </m:r>
      </m:oMath>
      <w:r>
        <w:rPr/>
        <w:t xml:space="preserve">. On note </w:t>
      </w:r>
      <m:oMath>
        <m:r>
          <m:rPr>
            <m:sty m:val="i"/>
          </m:rPr>
          <m:t>ϕ</m:t>
        </m:r>
      </m:oMath>
      <w:r>
        <w:rPr>
          <w:rFonts w:eastAsia="Georgia" w:cs="Georgia" w:ascii="Georgia" w:hAnsi="Georgia"/>
        </w:rPr>
        <w:t xml:space="preserve"> le flux de peroxyde d'hydrogène ( </w:t>
      </w:r>
      <m:oMath>
        <m:r>
          <m:rPr>
            <m:sty m:val="p"/>
          </m:rPr>
          <m:t>en</m:t>
        </m:r>
        <m:r>
          <m:rPr>
            <m:sty m:val="p"/>
          </m:rPr>
          <m:t>mol</m:t>
        </m:r>
        <m:r>
          <m:rPr>
            <m:sty m:val="p"/>
          </m:rPr>
          <m:t>⋅</m:t>
        </m:r>
        <m:sSup>
          <m:sSupPr/>
          <m:e>
            <m:r>
              <m:rPr>
                <m:sty m:val="p"/>
              </m:rPr>
              <m:t>s</m:t>
            </m:r>
          </m:e>
          <m:sup>
            <m:r>
              <m:rPr>
                <m:sty m:val="p"/>
              </m:rPr>
              <m:t>−</m:t>
            </m:r>
            <m:r>
              <m:rPr>
                <m:sty m:val="p"/>
              </m:rPr>
              <m:t>1</m:t>
            </m:r>
          </m:sup>
        </m:sSup>
      </m:oMath>
      <w:r>
        <w:rPr>
          <w:rFonts w:eastAsia="Georgia" w:cs="Georgia" w:ascii="Georgia" w:hAnsi="Georgia"/>
        </w:rPr>
        <w:t xml:space="preserve"> ) sortant de la bactérie à travers sa paroi et </w:t>
      </w:r>
      <m:oMath>
        <m:r>
          <m:rPr>
            <m:sty m:val="i"/>
          </m:rPr>
          <m:t>D</m:t>
        </m:r>
      </m:oMath>
      <w:r>
        <w:rPr>
          <w:rFonts w:eastAsia="Georgia" w:cs="Georgia" w:ascii="Georgia" w:hAnsi="Georgia"/>
        </w:rPr>
        <w:t xml:space="preserve"> le coefficient de diffusion particulaire du peroxyde d'hydrogène dans la paroi.</w:t>
      </w:r>
      <w:r>
        <w:rPr/>
        <w:br w:type="textWrapping"/>
      </w:r>
      <w:r>
        <w:rPr>
          <w:rFonts w:eastAsia="Georgia" w:cs="Georgia" w:ascii="Georgia" w:hAnsi="Georgia"/>
        </w:rPr>
        <w:t xml:space="preserve">Dans l'hypothèse d'un régime stationnaire, on définit une résistance particulaire </w:t>
      </w:r>
      <m:oMath>
        <m:sSub>
          <m:sSubPr/>
          <m:e>
            <m:r>
              <m:rPr>
                <m:sty m:val="i"/>
              </m:rPr>
              <m:t>R</m:t>
            </m:r>
          </m:e>
          <m:sub>
            <m:r>
              <m:rPr>
                <m:sty m:val="i"/>
              </m:rPr>
              <m:t>p</m:t>
            </m:r>
          </m:sub>
        </m:sSub>
      </m:oMath>
      <w:r>
        <w:rPr>
          <w:rFonts w:eastAsia="Georgia" w:cs="Georgia" w:ascii="Georgia" w:hAnsi="Georgia"/>
        </w:rPr>
        <w:t xml:space="preserve"> à l'aide de l'expression</w:t>
      </w:r>
    </w:p>
    <w:p>
      <w:pPr>
        <w:spacing w:after="220" w:lineRule="auto"/>
      </w:pPr>
      <m:oMathPara>
        <m:oMath>
          <m:r>
            <m:rPr>
              <m:sty m:val="i"/>
            </m:rPr>
            <m:t>ϕ</m:t>
          </m:r>
          <m:r>
            <m:rPr>
              <m:sty m:val="p"/>
            </m:rPr>
            <m:t>=</m:t>
          </m:r>
          <m:f>
            <m:fPr>
              <m:ctrlPr>
                <w:rPr>
                  <w:rFonts w:ascii="Cambria Math" w:hAnsi="Cambria Math"/>
                </w:rPr>
              </m:ctrlPr>
            </m:fPr>
            <m:num>
              <m:sSub>
                <m:sSubPr/>
                <m:e>
                  <m:d>
                    <m:dPr>
                      <m:begChr m:val="["/>
                      <m:endChr m:val="]"/>
                      <m:ctrlPr>
                        <w:rPr>
                          <w:rFonts w:ascii="Cambria Math" w:hAnsi="Cambria Math"/>
                        </w:rPr>
                      </m:ctrlPr>
                    </m:dPr>
                    <m:e>
                      <m:sSub>
                        <m:sSubPr/>
                        <m:e>
                          <m:r>
                            <m:rPr>
                              <m:sty m:val="p"/>
                            </m:rPr>
                            <m:t>H</m:t>
                          </m:r>
                        </m:e>
                        <m:sub>
                          <m:r>
                            <m:rPr>
                              <m:sty m:val="p"/>
                            </m:rPr>
                            <m:t>2</m:t>
                          </m:r>
                        </m:sub>
                      </m:sSub>
                      <m:sSub>
                        <m:sSubPr/>
                        <m:e>
                          <m:r>
                            <m:rPr>
                              <m:sty m:val="p"/>
                            </m:rPr>
                            <m:t>O</m:t>
                          </m:r>
                        </m:e>
                        <m:sub>
                          <m:r>
                            <m:rPr>
                              <m:sty m:val="p"/>
                            </m:rPr>
                            <m:t>2</m:t>
                          </m:r>
                        </m:sub>
                      </m:sSub>
                    </m:e>
                  </m:d>
                </m:e>
                <m:sub>
                  <m:r>
                    <m:rPr>
                      <m:sty m:val="i"/>
                    </m:rPr>
                    <m:t>i</m:t>
                  </m:r>
                </m:sub>
              </m:sSub>
              <m:r>
                <m:rPr>
                  <m:sty m:val="p"/>
                </m:rPr>
                <m:t>−</m:t>
              </m:r>
              <m:sSub>
                <m:sSubPr/>
                <m:e>
                  <m:d>
                    <m:dPr>
                      <m:begChr m:val="["/>
                      <m:endChr m:val="]"/>
                      <m:ctrlPr>
                        <w:rPr>
                          <w:rFonts w:ascii="Cambria Math" w:hAnsi="Cambria Math"/>
                        </w:rPr>
                      </m:ctrlPr>
                    </m:dPr>
                    <m:e>
                      <m:sSub>
                        <m:sSubPr/>
                        <m:e>
                          <m:r>
                            <m:rPr>
                              <m:sty m:val="p"/>
                            </m:rPr>
                            <m:t>H</m:t>
                          </m:r>
                        </m:e>
                        <m:sub>
                          <m:r>
                            <m:rPr>
                              <m:sty m:val="p"/>
                            </m:rPr>
                            <m:t>2</m:t>
                          </m:r>
                        </m:sub>
                      </m:sSub>
                      <m:sSub>
                        <m:sSubPr/>
                        <m:e>
                          <m:r>
                            <m:rPr>
                              <m:sty m:val="p"/>
                            </m:rPr>
                            <m:t>O</m:t>
                          </m:r>
                        </m:e>
                        <m:sub>
                          <m:r>
                            <m:rPr>
                              <m:sty m:val="p"/>
                            </m:rPr>
                            <m:t>2</m:t>
                          </m:r>
                        </m:sub>
                      </m:sSub>
                    </m:e>
                  </m:d>
                </m:e>
                <m:sub>
                  <m:r>
                    <m:rPr>
                      <m:sty m:val="i"/>
                    </m:rPr>
                    <m:t>e</m:t>
                  </m:r>
                </m:sub>
              </m:sSub>
            </m:num>
            <m:den>
              <m:sSub>
                <m:sSubPr/>
                <m:e>
                  <m:r>
                    <m:rPr>
                      <m:sty m:val="i"/>
                    </m:rPr>
                    <m:t>R</m:t>
                  </m:r>
                </m:e>
                <m:sub>
                  <m:r>
                    <m:rPr>
                      <m:sty m:val="i"/>
                    </m:rPr>
                    <m:t>p</m:t>
                  </m:r>
                </m:sub>
              </m:sSub>
            </m:den>
          </m:f>
        </m:oMath>
      </m:oMathPara>
    </w:p>
    <w:p>
      <w:pPr>
        <w:spacing w:after="220" w:lineRule="auto"/>
      </w:pPr>
      <w:r>
        <w:rPr>
          <w:rFonts w:eastAsia="Georgia" w:cs="Georgia" w:ascii="Georgia" w:hAnsi="Georgia"/>
        </w:rPr>
        <w:t xml:space="preserve">où </w:t>
      </w:r>
      <m:oMath>
        <m:sSub>
          <m:sSubPr/>
          <m:e>
            <m:d>
              <m:dPr>
                <m:begChr m:val="["/>
                <m:endChr m:val="]"/>
                <m:ctrlPr>
                  <w:rPr>
                    <w:rFonts w:ascii="Cambria Math" w:hAnsi="Cambria Math"/>
                  </w:rPr>
                </m:ctrlPr>
              </m:dPr>
              <m:e>
                <m:sSub>
                  <m:sSubPr/>
                  <m:e>
                    <m:r>
                      <m:rPr>
                        <m:sty m:val="p"/>
                      </m:rPr>
                      <m:t>H</m:t>
                    </m:r>
                  </m:e>
                  <m:sub>
                    <m:r>
                      <m:rPr>
                        <m:sty m:val="p"/>
                      </m:rPr>
                      <m:t>2</m:t>
                    </m:r>
                  </m:sub>
                </m:sSub>
                <m:sSub>
                  <m:sSubPr/>
                  <m:e>
                    <m:r>
                      <m:rPr>
                        <m:sty m:val="p"/>
                      </m:rPr>
                      <m:t>O</m:t>
                    </m:r>
                  </m:e>
                  <m:sub>
                    <m:r>
                      <m:rPr>
                        <m:sty m:val="p"/>
                      </m:rPr>
                      <m:t>2</m:t>
                    </m:r>
                  </m:sub>
                </m:sSub>
              </m:e>
            </m:d>
          </m:e>
          <m:sub>
            <m:r>
              <m:rPr>
                <m:sty m:val="i"/>
              </m:rPr>
              <m:t>i</m:t>
            </m:r>
          </m:sub>
        </m:sSub>
      </m:oMath>
      <w:r>
        <w:rPr>
          <w:rFonts w:eastAsia="Georgia" w:cs="Georgia" w:ascii="Georgia" w:hAnsi="Georgia"/>
        </w:rPr>
        <w:t xml:space="preserve"> est la concentration en peroxyde d'hydrogène à l'intérieur de la bactérie et </w:t>
      </w:r>
      <m:oMath>
        <m:sSub>
          <m:sSubPr/>
          <m:e>
            <m:d>
              <m:dPr>
                <m:begChr m:val="["/>
                <m:endChr m:val="]"/>
                <m:ctrlPr>
                  <w:rPr>
                    <w:rFonts w:ascii="Cambria Math" w:hAnsi="Cambria Math"/>
                  </w:rPr>
                </m:ctrlPr>
              </m:dPr>
              <m:e>
                <m:sSub>
                  <m:sSubPr/>
                  <m:e>
                    <m:r>
                      <m:rPr>
                        <m:sty m:val="p"/>
                      </m:rPr>
                      <m:t>H</m:t>
                    </m:r>
                  </m:e>
                  <m:sub>
                    <m:r>
                      <m:rPr>
                        <m:sty m:val="p"/>
                      </m:rPr>
                      <m:t>2</m:t>
                    </m:r>
                  </m:sub>
                </m:sSub>
                <m:sSub>
                  <m:sSubPr/>
                  <m:e>
                    <m:r>
                      <m:rPr>
                        <m:sty m:val="p"/>
                      </m:rPr>
                      <m:t>O</m:t>
                    </m:r>
                  </m:e>
                  <m:sub>
                    <m:r>
                      <m:rPr>
                        <m:sty m:val="p"/>
                      </m:rPr>
                      <m:t>2</m:t>
                    </m:r>
                  </m:sub>
                </m:sSub>
              </m:e>
            </m:d>
          </m:e>
          <m:sub>
            <m:r>
              <m:rPr>
                <m:sty m:val="i"/>
              </m:rPr>
              <m:t>e</m:t>
            </m:r>
          </m:sub>
        </m:sSub>
      </m:oMath>
      <w:r>
        <w:rPr>
          <w:rFonts w:eastAsia="Georgia" w:cs="Georgia" w:ascii="Georgia" w:hAnsi="Georgia"/>
        </w:rPr>
        <w:t xml:space="preserve"> sa concentration dans le milieu extérieur.</w:t>
      </w:r>
      <w:r>
        <w:rPr/>
        <w:br w:type="textWrapping"/>
      </w:r>
      <w:r>
        <w:rPr>
          <w:rFonts w:eastAsia="Georgia" w:cs="Georgia" w:ascii="Georgia" w:hAnsi="Georgia"/>
        </w:rPr>
        <w:t xml:space="preserve">Q 31. Citer deux autres domaines de la physique utilisant la notion de résistance. Préciser les analogies.</w:t>
      </w:r>
      <w:r>
        <w:rPr/>
        <w:br w:type="textWrapping"/>
      </w:r>
      <w:r>
        <w:rPr/>
        <w:t xml:space="preserve">Q 32. Exprimer </w:t>
      </w:r>
      <m:oMath>
        <m:sSub>
          <m:sSubPr/>
          <m:e>
            <m:r>
              <m:rPr>
                <m:sty m:val="i"/>
              </m:rPr>
              <m:t>R</m:t>
            </m:r>
          </m:e>
          <m:sub>
            <m:r>
              <m:rPr>
                <m:sty m:val="i"/>
              </m:rPr>
              <m:t>p</m:t>
            </m:r>
          </m:sub>
        </m:sSub>
      </m:oMath>
      <w:r>
        <w:rPr/>
        <w:t xml:space="preserve"> en fonction de </w:t>
      </w:r>
      <m:oMath>
        <m:r>
          <m:rPr>
            <m:sty m:val="i"/>
          </m:rPr>
          <m:t>e</m:t>
        </m:r>
        <m:r>
          <m:rPr>
            <m:sty m:val="p"/>
          </m:rPr>
          <m:t>,</m:t>
        </m:r>
        <m:r>
          <m:rPr>
            <m:sty m:val="i"/>
          </m:rPr>
          <m:t>D</m:t>
        </m:r>
      </m:oMath>
      <w:r>
        <w:rPr/>
        <w:t xml:space="preserve"> et </w:t>
      </w:r>
      <m:oMath>
        <m:r>
          <m:rPr>
            <m:sty m:val="i"/>
          </m:rPr>
          <m:t>R</m:t>
        </m:r>
      </m:oMath>
      <w:r>
        <w:rPr/>
        <w:t xml:space="preserve">.</w:t>
      </w:r>
      <w:r>
        <w:rPr/>
        <w:br w:type="textWrapping"/>
      </w:r>
      <w:r>
        <w:rPr>
          <w:rFonts w:eastAsia="Georgia" w:cs="Georgia" w:ascii="Georgia" w:hAnsi="Georgia"/>
        </w:rPr>
        <w:t xml:space="preserve">Q 33. Simplifier cette expression dans l'hypothèse où </w:t>
      </w:r>
      <m:oMath>
        <m:r>
          <m:rPr>
            <m:sty m:val="i"/>
          </m:rPr>
          <m:t>e</m:t>
        </m:r>
        <m:r>
          <m:rPr>
            <m:sty m:val="p"/>
          </m:rPr>
          <m:t>≪</m:t>
        </m:r>
        <m:r>
          <m:rPr>
            <m:sty m:val="i"/>
          </m:rPr>
          <m:t>R</m:t>
        </m:r>
      </m:oMath>
      <w:r>
        <w:rPr/>
        <w:t xml:space="preserve">.</w:t>
      </w:r>
      <w:r>
        <w:rPr/>
        <w:br w:type="textWrapping"/>
      </w:r>
      <w:r>
        <w:rPr>
          <w:rFonts w:eastAsia="Georgia" w:cs="Georgia" w:ascii="Georgia" w:hAnsi="Georgia"/>
        </w:rPr>
        <w:t xml:space="preserve">Q 34. Proposer une valeur numérique de </w:t>
      </w:r>
      <m:oMath>
        <m:sSub>
          <m:sSubPr/>
          <m:e>
            <m:r>
              <m:rPr>
                <m:sty m:val="i"/>
              </m:rPr>
              <m:t>R</m:t>
            </m:r>
          </m:e>
          <m:sub>
            <m:r>
              <m:rPr>
                <m:sty m:val="i"/>
              </m:rPr>
              <m:t>p</m:t>
            </m:r>
          </m:sub>
        </m:sSub>
      </m:oMath>
      <w:r>
        <w:rPr/>
        <w:t xml:space="preserve">.</w:t>
      </w:r>
      <w:r>
        <w:rPr/>
        <w:br w:type="textWrapping"/>
      </w:r>
      <w:r>
        <w:rPr>
          <w:rFonts w:eastAsia="Georgia" w:cs="Georgia" w:ascii="Georgia" w:hAnsi="Georgia"/>
        </w:rPr>
        <w:t xml:space="preserve">Q 35. Montrer que la loi de cinétique de diffusion à travers la membrane peut s'écrire sous la forme</w:t>
      </w:r>
    </w:p>
    <w:p>
      <w:pPr>
        <w:spacing w:after="220" w:lineRule="auto"/>
      </w:pPr>
      <m:oMathPara>
        <m:oMath>
          <m:f>
            <m:fPr>
              <m:ctrlPr>
                <w:rPr>
                  <w:rFonts w:ascii="Cambria Math" w:hAnsi="Cambria Math"/>
                </w:rPr>
              </m:ctrlPr>
            </m:fPr>
            <m:num>
              <m:r>
                <m:rPr>
                  <m:sty m:val="p"/>
                </m:rPr>
                <m:t>d</m:t>
              </m:r>
              <m:sSub>
                <m:sSubPr/>
                <m:e>
                  <m:d>
                    <m:dPr>
                      <m:begChr m:val="["/>
                      <m:endChr m:val="]"/>
                      <m:ctrlPr>
                        <w:rPr>
                          <w:rFonts w:ascii="Cambria Math" w:hAnsi="Cambria Math"/>
                        </w:rPr>
                      </m:ctrlPr>
                    </m:dPr>
                    <m:e>
                      <m:sSub>
                        <m:sSubPr/>
                        <m:e>
                          <m:r>
                            <m:rPr>
                              <m:sty m:val="p"/>
                            </m:rPr>
                            <m:t>H</m:t>
                          </m:r>
                        </m:e>
                        <m:sub>
                          <m:r>
                            <m:rPr>
                              <m:sty m:val="p"/>
                            </m:rPr>
                            <m:t>2</m:t>
                          </m:r>
                        </m:sub>
                      </m:sSub>
                      <m:sSub>
                        <m:sSubPr/>
                        <m:e>
                          <m:r>
                            <m:rPr>
                              <m:sty m:val="p"/>
                            </m:rPr>
                            <m:t>O</m:t>
                          </m:r>
                        </m:e>
                        <m:sub>
                          <m:r>
                            <m:rPr>
                              <m:sty m:val="p"/>
                            </m:rPr>
                            <m:t>2</m:t>
                          </m:r>
                        </m:sub>
                      </m:sSub>
                    </m:e>
                  </m:d>
                </m:e>
                <m:sub>
                  <m:r>
                    <m:rPr>
                      <m:sty m:val="i"/>
                    </m:rPr>
                    <m:t>i</m:t>
                  </m:r>
                </m:sub>
              </m:sSub>
            </m:num>
            <m:den>
              <m:r>
                <m:rPr>
                  <m:nor/>
                </m:rPr>
                <m:t xml:space="preserve"> </m:t>
              </m:r>
              <m:r>
                <m:rPr>
                  <m:sty m:val="p"/>
                </m:rPr>
                <m:t>d</m:t>
              </m:r>
              <m:r>
                <m:rPr>
                  <m:sty m:val="i"/>
                </m:rPr>
                <m:t>t</m:t>
              </m:r>
            </m:den>
          </m:f>
          <m:r>
            <m:rPr>
              <m:sty m:val="p"/>
            </m:rPr>
            <m:t>=</m:t>
          </m:r>
          <m:r>
            <m:rPr>
              <m:sty m:val="p"/>
            </m:rPr>
            <m:t>±</m:t>
          </m:r>
          <m:sSub>
            <m:sSubPr/>
            <m:e>
              <m:r>
                <m:rPr>
                  <m:sty m:val="i"/>
                </m:rPr>
                <m:t>k</m:t>
              </m:r>
            </m:e>
            <m:sub>
              <m:r>
                <m:rPr>
                  <m:sty m:val="i"/>
                </m:rPr>
                <m:t>d</m:t>
              </m:r>
            </m:sub>
          </m:sSub>
          <m:d>
            <m:dPr>
              <m:begChr m:val="("/>
              <m:endChr m:val=")"/>
              <m:ctrlPr>
                <w:rPr>
                  <w:rFonts w:ascii="Cambria Math" w:hAnsi="Cambria Math"/>
                </w:rPr>
              </m:ctrlPr>
            </m:dPr>
            <m:e>
              <m:sSub>
                <m:sSubPr/>
                <m:e>
                  <m:d>
                    <m:dPr>
                      <m:begChr m:val="["/>
                      <m:endChr m:val="]"/>
                      <m:ctrlPr>
                        <w:rPr>
                          <w:rFonts w:ascii="Cambria Math" w:hAnsi="Cambria Math"/>
                        </w:rPr>
                      </m:ctrlPr>
                    </m:dPr>
                    <m:e>
                      <m:sSub>
                        <m:sSubPr/>
                        <m:e>
                          <m:r>
                            <m:rPr>
                              <m:sty m:val="p"/>
                            </m:rPr>
                            <m:t>H</m:t>
                          </m:r>
                        </m:e>
                        <m:sub>
                          <m:r>
                            <m:rPr>
                              <m:sty m:val="p"/>
                            </m:rPr>
                            <m:t>2</m:t>
                          </m:r>
                        </m:sub>
                      </m:sSub>
                      <m:sSub>
                        <m:sSubPr/>
                        <m:e>
                          <m:r>
                            <m:rPr>
                              <m:sty m:val="p"/>
                            </m:rPr>
                            <m:t>O</m:t>
                          </m:r>
                        </m:e>
                        <m:sub>
                          <m:r>
                            <m:rPr>
                              <m:sty m:val="p"/>
                            </m:rPr>
                            <m:t>2</m:t>
                          </m:r>
                        </m:sub>
                      </m:sSub>
                    </m:e>
                  </m:d>
                </m:e>
                <m:sub>
                  <m:r>
                    <m:rPr>
                      <m:sty m:val="i"/>
                    </m:rPr>
                    <m:t>i</m:t>
                  </m:r>
                </m:sub>
              </m:sSub>
              <m:r>
                <m:rPr>
                  <m:sty m:val="p"/>
                </m:rPr>
                <m:t>−</m:t>
              </m:r>
              <m:sSub>
                <m:sSubPr/>
                <m:e>
                  <m:d>
                    <m:dPr>
                      <m:begChr m:val="["/>
                      <m:endChr m:val="]"/>
                      <m:ctrlPr>
                        <w:rPr>
                          <w:rFonts w:ascii="Cambria Math" w:hAnsi="Cambria Math"/>
                        </w:rPr>
                      </m:ctrlPr>
                    </m:dPr>
                    <m:e>
                      <m:sSub>
                        <m:sSubPr/>
                        <m:e>
                          <m:r>
                            <m:rPr>
                              <m:sty m:val="p"/>
                            </m:rPr>
                            <m:t>H</m:t>
                          </m:r>
                        </m:e>
                        <m:sub>
                          <m:r>
                            <m:rPr>
                              <m:sty m:val="p"/>
                            </m:rPr>
                            <m:t>2</m:t>
                          </m:r>
                        </m:sub>
                      </m:sSub>
                      <m:sSub>
                        <m:sSubPr/>
                        <m:e>
                          <m:r>
                            <m:rPr>
                              <m:sty m:val="p"/>
                            </m:rPr>
                            <m:t>O</m:t>
                          </m:r>
                        </m:e>
                        <m:sub>
                          <m:r>
                            <m:rPr>
                              <m:sty m:val="p"/>
                            </m:rPr>
                            <m:t>2</m:t>
                          </m:r>
                        </m:sub>
                      </m:sSub>
                    </m:e>
                  </m:d>
                </m:e>
                <m:sub>
                  <m:r>
                    <m:rPr>
                      <m:sty m:val="i"/>
                    </m:rPr>
                    <m:t>e</m:t>
                  </m:r>
                </m:sub>
              </m:sSub>
            </m:e>
          </m:d>
        </m:oMath>
      </m:oMathPara>
    </w:p>
    <w:p>
      <w:pPr>
        <w:spacing w:after="220" w:lineRule="auto"/>
      </w:pPr>
      <w:r>
        <w:rPr/>
        <w:t xml:space="preserve">Q 36. Quel signe doit-on choisir sachant que </w:t>
      </w:r>
      <m:oMath>
        <m:sSub>
          <m:sSubPr/>
          <m:e>
            <m:r>
              <m:rPr>
                <m:sty m:val="i"/>
              </m:rPr>
              <m:t>k</m:t>
            </m:r>
          </m:e>
          <m:sub>
            <m:r>
              <m:rPr>
                <m:sty m:val="i"/>
              </m:rPr>
              <m:t>d</m:t>
            </m:r>
          </m:sub>
        </m:sSub>
        <m:r>
          <m:rPr>
            <m:sty m:val="p"/>
          </m:rPr>
          <m:t>&gt;</m:t>
        </m:r>
        <m:r>
          <m:rPr>
            <m:sty m:val="p"/>
          </m:rPr>
          <m:t>0</m:t>
        </m:r>
      </m:oMath>
      <w:r>
        <w:rPr/>
        <w:t xml:space="preserve"> ? Exprimer </w:t>
      </w:r>
      <m:oMath>
        <m:sSub>
          <m:sSubPr/>
          <m:e>
            <m:r>
              <m:rPr>
                <m:sty m:val="i"/>
              </m:rPr>
              <m:t>k</m:t>
            </m:r>
          </m:e>
          <m:sub>
            <m:r>
              <m:rPr>
                <m:sty m:val="i"/>
              </m:rPr>
              <m:t>d</m:t>
            </m:r>
          </m:sub>
        </m:sSub>
      </m:oMath>
      <w:r>
        <w:rPr/>
        <w:t xml:space="preserve"> en fonction de </w:t>
      </w:r>
      <m:oMath>
        <m:r>
          <m:rPr>
            <m:sty m:val="i"/>
          </m:rPr>
          <m:t>e</m:t>
        </m:r>
        <m:r>
          <m:rPr>
            <m:sty m:val="p"/>
          </m:rPr>
          <m:t>,</m:t>
        </m:r>
        <m:r>
          <m:rPr>
            <m:sty m:val="i"/>
          </m:rPr>
          <m:t>D</m:t>
        </m:r>
      </m:oMath>
      <w:r>
        <w:rPr/>
        <w:t xml:space="preserve"> et </w:t>
      </w:r>
      <m:oMath>
        <m:r>
          <m:rPr>
            <m:sty m:val="i"/>
          </m:rPr>
          <m:t>R</m:t>
        </m:r>
      </m:oMath>
      <w:r>
        <w:rPr>
          <w:rFonts w:eastAsia="Georgia" w:cs="Georgia" w:ascii="Georgia" w:hAnsi="Georgia"/>
        </w:rPr>
        <w:t xml:space="preserve"> et proposer une application numérique.</w:t>
      </w:r>
      <w:r>
        <w:rPr/>
        <w:br w:type="textWrapping"/>
      </w:r>
      <w:r>
        <w:rPr>
          <w:rFonts w:eastAsia="Georgia" w:cs="Georgia" w:ascii="Georgia" w:hAnsi="Georgia"/>
        </w:rPr>
        <w:t xml:space="preserve">VI.A.2) Les enzymes présentes dans la bactérie obéissent à une cinétique, dite michaelienne, où la vitesse de réaction a la forme générale</w:t>
      </w:r>
    </w:p>
    <w:p>
      <w:pPr>
        <w:spacing w:after="220" w:lineRule="auto"/>
      </w:pPr>
      <m:oMathPara>
        <m:oMath>
          <m:r>
            <m:rPr>
              <m:sty m:val="i"/>
            </m:rPr>
            <m:t>v</m:t>
          </m:r>
          <m:r>
            <m:rPr>
              <m:sty m:val="p"/>
            </m:rPr>
            <m:t>=</m:t>
          </m:r>
          <m:r>
            <m:rPr>
              <m:sty m:val="p"/>
            </m:rPr>
            <m:t>−</m:t>
          </m:r>
          <m:f>
            <m:fPr>
              <m:ctrlPr>
                <w:rPr>
                  <w:rFonts w:ascii="Cambria Math" w:hAnsi="Cambria Math"/>
                </w:rPr>
              </m:ctrlPr>
            </m:fPr>
            <m:num>
              <m:r>
                <m:rPr>
                  <m:sty m:val="p"/>
                </m:rPr>
                <m:t>d</m:t>
              </m:r>
              <m:r>
                <m:rPr>
                  <m:sty m:val="p"/>
                </m:rPr>
                <m:t>[</m:t>
              </m:r>
              <m:r>
                <m:rPr>
                  <m:sty m:val="i"/>
                </m:rPr>
                <m:t>S</m:t>
              </m:r>
              <m:r>
                <m:rPr>
                  <m:sty m:val="p"/>
                </m:rPr>
                <m:t>]</m:t>
              </m:r>
            </m:num>
            <m:den>
              <m:r>
                <m:rPr>
                  <m:sty m:val="p"/>
                </m:rPr>
                <m:t>d</m:t>
              </m:r>
              <m:r>
                <m:rPr>
                  <m:sty m:val="i"/>
                </m:rPr>
                <m:t>t</m:t>
              </m:r>
            </m:den>
          </m:f>
          <m:r>
            <m:rPr>
              <m:sty m:val="p"/>
            </m:rPr>
            <m:t>=</m:t>
          </m:r>
          <m:f>
            <m:fPr>
              <m:ctrlPr>
                <w:rPr>
                  <w:rFonts w:ascii="Cambria Math" w:hAnsi="Cambria Math"/>
                </w:rPr>
              </m:ctrlPr>
            </m:fPr>
            <m:num>
              <m:sSub>
                <m:sSubPr/>
                <m:e>
                  <m:r>
                    <m:rPr>
                      <m:sty m:val="i"/>
                    </m:rPr>
                    <m:t>v</m:t>
                  </m:r>
                </m:e>
                <m:sub>
                  <m:r>
                    <m:rPr>
                      <m:sty m:val="p"/>
                    </m:rPr>
                    <m:t>max</m:t>
                  </m:r>
                </m:sub>
              </m:sSub>
              <m:r>
                <m:rPr>
                  <m:sty m:val="p"/>
                </m:rPr>
                <m:t>[</m:t>
              </m:r>
              <m:r>
                <m:rPr>
                  <m:sty m:val="i"/>
                </m:rPr>
                <m:t>S</m:t>
              </m:r>
              <m:r>
                <m:rPr>
                  <m:sty m:val="p"/>
                </m:rPr>
                <m:t>]</m:t>
              </m:r>
            </m:num>
            <m:den>
              <m:r>
                <m:rPr>
                  <m:sty m:val="p"/>
                </m:rPr>
                <m:t>[</m:t>
              </m:r>
              <m:r>
                <m:rPr>
                  <m:sty m:val="i"/>
                </m:rPr>
                <m:t>S</m:t>
              </m:r>
              <m:r>
                <m:rPr>
                  <m:sty m:val="p"/>
                </m:rPr>
                <m:t>]</m:t>
              </m:r>
              <m:r>
                <m:rPr>
                  <m:sty m:val="p"/>
                </m:rPr>
                <m:t>+</m:t>
              </m:r>
              <m:sSub>
                <m:sSubPr/>
                <m:e>
                  <m:r>
                    <m:rPr>
                      <m:sty m:val="i"/>
                    </m:rPr>
                    <m:t>K</m:t>
                  </m:r>
                </m:e>
                <m:sub>
                  <m:r>
                    <m:rPr>
                      <m:sty m:val="i"/>
                    </m:rPr>
                    <m:t>M</m:t>
                  </m:r>
                </m:sub>
              </m:sSub>
            </m:den>
          </m:f>
        </m:oMath>
      </m:oMathPara>
    </w:p>
    <w:p>
      <w:pPr>
        <w:spacing w:after="220" w:lineRule="auto"/>
      </w:pPr>
      <w:r>
        <w:rPr>
          <w:rFonts w:eastAsia="Georgia" w:cs="Georgia" w:ascii="Georgia" w:hAnsi="Georgia"/>
        </w:rPr>
        <w:t xml:space="preserve">où </w:t>
      </w:r>
      <m:oMath>
        <m:sSub>
          <m:sSubPr/>
          <m:e>
            <m:r>
              <m:rPr>
                <m:sty m:val="i"/>
              </m:rPr>
              <m:t>v</m:t>
            </m:r>
          </m:e>
          <m:sub>
            <m:r>
              <m:rPr>
                <m:nor/>
              </m:rPr>
              <m:t>max </m:t>
            </m:r>
          </m:sub>
        </m:sSub>
      </m:oMath>
      <w:r>
        <w:rPr/>
        <w:t xml:space="preserve"> et </w:t>
      </w:r>
      <m:oMath>
        <m:sSub>
          <m:sSubPr/>
          <m:e>
            <m:r>
              <m:rPr>
                <m:sty m:val="i"/>
              </m:rPr>
              <m:t>K</m:t>
            </m:r>
          </m:e>
          <m:sub>
            <m:r>
              <m:rPr>
                <m:sty m:val="i"/>
              </m:rPr>
              <m:t>M</m:t>
            </m:r>
          </m:sub>
        </m:sSub>
      </m:oMath>
      <w:r>
        <w:rPr>
          <w:rFonts w:eastAsia="Georgia" w:cs="Georgia" w:ascii="Georgia" w:hAnsi="Georgia"/>
        </w:rPr>
        <w:t xml:space="preserve"> (constante de Michaelis) sont des constantes caractéristiques de l'enzyme et </w:t>
      </w:r>
      <m:oMath>
        <m:r>
          <m:rPr>
            <m:sty m:val="i"/>
          </m:rPr>
          <m:t>S</m:t>
        </m:r>
      </m:oMath>
      <w:r>
        <w:rPr>
          <w:rFonts w:eastAsia="Georgia" w:cs="Georgia" w:ascii="Georgia" w:hAnsi="Georgia"/>
        </w:rPr>
        <w:t xml:space="preserve"> représente le composé chimique décomposé par l'enzyme.</w:t>
      </w:r>
      <w:r>
        <w:rPr/>
        <w:br w:type="textWrapping"/>
      </w:r>
      <w:r>
        <w:rPr/>
        <w:t xml:space="preserve">Q 37. Quelle est la dimension de la constante </w:t>
      </w:r>
      <m:oMath>
        <m:sSub>
          <m:sSubPr/>
          <m:e>
            <m:r>
              <m:rPr>
                <m:sty m:val="i"/>
              </m:rPr>
              <m:t>K</m:t>
            </m:r>
          </m:e>
          <m:sub>
            <m:r>
              <m:rPr>
                <m:sty m:val="i"/>
              </m:rPr>
              <m:t>M</m:t>
            </m:r>
          </m:sub>
        </m:sSub>
      </m:oMath>
      <w:r>
        <w:rPr>
          <w:rFonts w:eastAsia="Georgia" w:cs="Georgia" w:ascii="Georgia" w:hAnsi="Georgia"/>
        </w:rPr>
        <w:t xml:space="preserve"> ? Quel sens concret peut-on donner au paramètre </w:t>
      </w:r>
      <m:oMath>
        <m:sSub>
          <m:sSubPr/>
          <m:e>
            <m:r>
              <m:rPr>
                <m:sty m:val="i"/>
              </m:rPr>
              <m:t>K</m:t>
            </m:r>
          </m:e>
          <m:sub>
            <m:r>
              <m:rPr>
                <m:sty m:val="i"/>
              </m:rPr>
              <m:t>M</m:t>
            </m:r>
          </m:sub>
        </m:sSub>
      </m:oMath>
      <w:r>
        <w:rPr/>
        <w:t xml:space="preserve"> ?</w:t>
      </w:r>
      <w:r>
        <w:rPr/>
        <w:br w:type="textWrapping"/>
      </w:r>
      <w:r>
        <w:rPr>
          <w:rFonts w:eastAsia="Georgia" w:cs="Georgia" w:ascii="Georgia" w:hAnsi="Georgia"/>
        </w:rPr>
        <w:t xml:space="preserve">VI.A.3) La dynamique du peroxyde d'hydrogène est donc décrite par le système présenté figure 8.</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Réactions associées à </w:t>
            </w:r>
            <m:oMath>
              <m:sSub>
                <m:sSubPr/>
                <m:e>
                  <m:r>
                    <m:rPr>
                      <m:sty m:val="p"/>
                    </m:rPr>
                    <m:t>H</m:t>
                  </m:r>
                </m:e>
                <m:sub>
                  <m:r>
                    <m:rPr>
                      <m:sty m:val="p"/>
                    </m:rPr>
                    <m:t>2</m:t>
                  </m:r>
                </m:sub>
              </m:sSub>
              <m:sSub>
                <m:sSubPr/>
                <m:e>
                  <m:r>
                    <m:rPr>
                      <m:sty m:val="p"/>
                    </m:rPr>
                    <m:t>O</m:t>
                  </m:r>
                </m:e>
                <m:sub>
                  <m:r>
                    <m:rPr>
                      <m:sty m:val="p"/>
                    </m:rPr>
                    <m:t>2</m:t>
                  </m:r>
                </m:sub>
              </m:sSub>
            </m:oMath>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Équations chimiques</w:t>
            </w:r>
          </w:p>
        </w:tc>
        <w:tc>
          <w:tcPr>
            <w:tcBorders>
              <w:top w:val="single" w:sz="8" w:space="0" w:color="000000"/>
              <w:bottom w:val="single" w:sz="8" w:space="0" w:color="000000"/>
              <w:right w:val="single" w:sz="8" w:space="0" w:color="000000"/>
            </w:tcBorders>
            <w:vAlign w:val="center"/>
          </w:tcPr>
          <w:p>
            <w:pPr>
              <w:spacing w:lineRule="auto"/>
              <w:jc w:val="left"/>
            </w:pPr>
            <w:r>
              <w:rPr/>
              <w:t xml:space="preserve">Loi de vitesse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Production métabolique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r>
                  <m:rPr>
                    <m:sty m:val="p"/>
                  </m:rPr>
                  <m:t>→</m:t>
                </m:r>
                <m:sSub>
                  <m:sSubPr/>
                  <m:e>
                    <m:r>
                      <m:rPr>
                        <m:sty m:val="p"/>
                      </m:rPr>
                      <m:t>H</m:t>
                    </m:r>
                  </m:e>
                  <m:sub>
                    <m:r>
                      <m:rPr>
                        <m:sty m:val="p"/>
                      </m:rPr>
                      <m:t>2</m:t>
                    </m:r>
                  </m:sub>
                </m:sSub>
                <m:sSub>
                  <m:sSubPr/>
                  <m:e>
                    <m:r>
                      <m:rPr>
                        <m:sty m:val="p"/>
                      </m:rPr>
                      <m:t>O</m:t>
                    </m:r>
                  </m:e>
                  <m:sub>
                    <m:r>
                      <m:rPr>
                        <m:sty m:val="p"/>
                      </m:rPr>
                      <m:t>2</m:t>
                    </m:r>
                  </m:sub>
                </m:sSub>
              </m:oMath>
            </m:oMathPara>
          </w:p>
        </w:tc>
        <w:tc>
          <w:tcPr>
            <w:tcBorders>
              <w:bottom w:val="single" w:sz="8" w:space="0" w:color="000000"/>
              <w:right w:val="single" w:sz="8" w:space="0" w:color="000000"/>
            </w:tcBorders>
            <w:vAlign w:val="center"/>
          </w:tcPr>
          <w:p>
            <w:pPr>
              <w:spacing w:lineRule="auto"/>
              <w:jc w:val="left"/>
            </w:pPr>
            <w:r>
              <w:rPr/>
              <w:t xml:space="preserve">ordre 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Décomposition par Ahp</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2</m:t>
                    </m:r>
                  </m:sub>
                </m:sSub>
                <m:sSub>
                  <m:sSubPr/>
                  <m:e>
                    <m:r>
                      <m:rPr>
                        <m:sty m:val="p"/>
                      </m:rPr>
                      <m:t>O</m:t>
                    </m:r>
                  </m:e>
                  <m:sub>
                    <m:r>
                      <m:rPr>
                        <m:sty m:val="p"/>
                      </m:rPr>
                      <m:t>2</m:t>
                    </m:r>
                  </m:sub>
                </m:sSub>
                <m:r>
                  <m:rPr>
                    <m:sty m:val="p"/>
                  </m:rPr>
                  <m:t>→</m:t>
                </m:r>
                <m:sSub>
                  <m:sSubPr/>
                  <m:e>
                    <m:r>
                      <m:rPr>
                        <m:sty m:val="p"/>
                      </m:rPr>
                      <m:t>H</m:t>
                    </m:r>
                  </m:e>
                  <m:sub>
                    <m:r>
                      <m:rPr>
                        <m:sty m:val="p"/>
                      </m:rPr>
                      <m:t>2</m:t>
                    </m:r>
                  </m:sub>
                </m:sSub>
                <m:r>
                  <m:rPr>
                    <m:sty m:val="p"/>
                  </m:rPr>
                  <m:t>O</m:t>
                </m:r>
                <m:r>
                  <m:rPr>
                    <m:sty m:val="p"/>
                  </m:rPr>
                  <m:t>+</m:t>
                </m:r>
                <m:f>
                  <m:fPr>
                    <m:ctrlPr>
                      <w:rPr>
                        <w:rFonts w:ascii="Cambria Math" w:hAnsi="Cambria Math"/>
                      </w:rPr>
                    </m:ctrlPr>
                  </m:fPr>
                  <m:num>
                    <m:r>
                      <m:rPr>
                        <m:sty m:val="p"/>
                      </m:rPr>
                      <m:t>1</m:t>
                    </m:r>
                  </m:num>
                  <m:den>
                    <m:r>
                      <m:rPr>
                        <m:sty m:val="p"/>
                      </m:rPr>
                      <m:t>2</m:t>
                    </m:r>
                  </m:den>
                </m:f>
                <m:sSub>
                  <m:sSubPr/>
                  <m:e>
                    <m:r>
                      <m:rPr>
                        <m:sty m:val="p"/>
                      </m:rPr>
                      <m:t>O</m:t>
                    </m:r>
                  </m:e>
                  <m:sub>
                    <m:r>
                      <m:rPr>
                        <m:sty m:val="p"/>
                      </m:rPr>
                      <m:t>2</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i"/>
                      </m:rPr>
                      <m:t>v</m:t>
                    </m:r>
                  </m:e>
                  <m:sup>
                    <m:r>
                      <m:rPr>
                        <m:sty m:val="p"/>
                      </m:rPr>
                      <m:t>Ahp</m:t>
                    </m:r>
                  </m:sup>
                </m:sSup>
                <m:r>
                  <m:rPr>
                    <m:sty m:val="p"/>
                  </m:rPr>
                  <m:t>=</m:t>
                </m:r>
                <m:f>
                  <m:fPr>
                    <m:ctrlPr>
                      <w:rPr>
                        <w:rFonts w:ascii="Cambria Math" w:hAnsi="Cambria Math"/>
                      </w:rPr>
                    </m:ctrlPr>
                  </m:fPr>
                  <m:num>
                    <m:sSubSup>
                      <m:sSubSupPr/>
                      <m:e>
                        <m:r>
                          <m:rPr>
                            <m:sty m:val="i"/>
                          </m:rPr>
                          <m:t>v</m:t>
                        </m:r>
                      </m:e>
                      <m:sub>
                        <m:r>
                          <m:rPr>
                            <m:sty m:val="p"/>
                          </m:rPr>
                          <m:t>max</m:t>
                        </m:r>
                      </m:sub>
                      <m:sup>
                        <m:r>
                          <m:rPr>
                            <m:sty m:val="p"/>
                          </m:rPr>
                          <m:t>Ahp</m:t>
                        </m:r>
                      </m:sup>
                    </m:sSubSup>
                    <m:d>
                      <m:dPr>
                        <m:begChr m:val="["/>
                        <m:endChr m:val="]"/>
                        <m:ctrlPr>
                          <w:rPr>
                            <w:rFonts w:ascii="Cambria Math" w:hAnsi="Cambria Math"/>
                          </w:rPr>
                        </m:ctrlPr>
                      </m:dPr>
                      <m:e>
                        <m:sSub>
                          <m:sSubPr/>
                          <m:e>
                            <m:r>
                              <m:rPr>
                                <m:sty m:val="p"/>
                              </m:rPr>
                              <m:t>H</m:t>
                            </m:r>
                          </m:e>
                          <m:sub>
                            <m:r>
                              <m:rPr>
                                <m:sty m:val="p"/>
                              </m:rPr>
                              <m:t>2</m:t>
                            </m:r>
                          </m:sub>
                        </m:sSub>
                        <m:sSub>
                          <m:sSubPr/>
                          <m:e>
                            <m:r>
                              <m:rPr>
                                <m:sty m:val="p"/>
                              </m:rPr>
                              <m:t>O</m:t>
                            </m:r>
                          </m:e>
                          <m:sub>
                            <m:r>
                              <m:rPr>
                                <m:sty m:val="p"/>
                              </m:rPr>
                              <m:t>2</m:t>
                            </m:r>
                          </m:sub>
                        </m:sSub>
                      </m:e>
                    </m:d>
                  </m:num>
                  <m:den>
                    <m:d>
                      <m:dPr>
                        <m:begChr m:val="["/>
                        <m:endChr m:val="]"/>
                        <m:ctrlPr>
                          <w:rPr>
                            <w:rFonts w:ascii="Cambria Math" w:hAnsi="Cambria Math"/>
                          </w:rPr>
                        </m:ctrlPr>
                      </m:dPr>
                      <m:e>
                        <m:sSub>
                          <m:sSubPr/>
                          <m:e>
                            <m:r>
                              <m:rPr>
                                <m:sty m:val="p"/>
                              </m:rPr>
                              <m:t>H</m:t>
                            </m:r>
                          </m:e>
                          <m:sub>
                            <m:r>
                              <m:rPr>
                                <m:sty m:val="p"/>
                              </m:rPr>
                              <m:t>2</m:t>
                            </m:r>
                          </m:sub>
                        </m:sSub>
                        <m:sSub>
                          <m:sSubPr/>
                          <m:e>
                            <m:r>
                              <m:rPr>
                                <m:sty m:val="p"/>
                              </m:rPr>
                              <m:t>O</m:t>
                            </m:r>
                          </m:e>
                          <m:sub>
                            <m:r>
                              <m:rPr>
                                <m:sty m:val="p"/>
                              </m:rPr>
                              <m:t>2</m:t>
                            </m:r>
                          </m:sub>
                        </m:sSub>
                      </m:e>
                    </m:d>
                    <m:r>
                      <m:rPr>
                        <m:sty m:val="p"/>
                      </m:rPr>
                      <m:t>+</m:t>
                    </m:r>
                    <m:sSubSup>
                      <m:sSubSupPr/>
                      <m:e>
                        <m:r>
                          <m:rPr>
                            <m:sty m:val="i"/>
                          </m:rPr>
                          <m:t>K</m:t>
                        </m:r>
                      </m:e>
                      <m:sub>
                        <m:r>
                          <m:rPr>
                            <m:sty m:val="i"/>
                          </m:rPr>
                          <m:t>M</m:t>
                        </m:r>
                      </m:sub>
                      <m:sup>
                        <m:r>
                          <m:rPr>
                            <m:sty m:val="p"/>
                          </m:rPr>
                          <m:t>Ahp</m:t>
                        </m:r>
                      </m:sup>
                    </m:sSubSup>
                  </m:den>
                </m:f>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Décomposition par Cat</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2</m:t>
                    </m:r>
                  </m:sub>
                </m:sSub>
                <m:sSub>
                  <m:sSubPr/>
                  <m:e>
                    <m:r>
                      <m:rPr>
                        <m:sty m:val="p"/>
                      </m:rPr>
                      <m:t>O</m:t>
                    </m:r>
                  </m:e>
                  <m:sub>
                    <m:r>
                      <m:rPr>
                        <m:sty m:val="p"/>
                      </m:rPr>
                      <m:t>2</m:t>
                    </m:r>
                  </m:sub>
                </m:sSub>
                <m:r>
                  <m:rPr>
                    <m:sty m:val="p"/>
                  </m:rPr>
                  <m:t>→</m:t>
                </m:r>
                <m:sSub>
                  <m:sSubPr/>
                  <m:e>
                    <m:r>
                      <m:rPr>
                        <m:sty m:val="p"/>
                      </m:rPr>
                      <m:t>H</m:t>
                    </m:r>
                  </m:e>
                  <m:sub>
                    <m:r>
                      <m:rPr>
                        <m:sty m:val="p"/>
                      </m:rPr>
                      <m:t>2</m:t>
                    </m:r>
                  </m:sub>
                </m:sSub>
                <m:r>
                  <m:rPr>
                    <m:sty m:val="p"/>
                  </m:rPr>
                  <m:t>O</m:t>
                </m:r>
                <m:r>
                  <m:rPr>
                    <m:sty m:val="p"/>
                  </m:rPr>
                  <m:t>+</m:t>
                </m:r>
                <m:f>
                  <m:fPr>
                    <m:ctrlPr>
                      <w:rPr>
                        <w:rFonts w:ascii="Cambria Math" w:hAnsi="Cambria Math"/>
                      </w:rPr>
                    </m:ctrlPr>
                  </m:fPr>
                  <m:num>
                    <m:r>
                      <m:rPr>
                        <m:sty m:val="p"/>
                      </m:rPr>
                      <m:t>1</m:t>
                    </m:r>
                  </m:num>
                  <m:den>
                    <m:r>
                      <m:rPr>
                        <m:sty m:val="p"/>
                      </m:rPr>
                      <m:t>2</m:t>
                    </m:r>
                  </m:den>
                </m:f>
                <m:sSub>
                  <m:sSubPr/>
                  <m:e>
                    <m:r>
                      <m:rPr>
                        <m:sty m:val="p"/>
                      </m:rPr>
                      <m:t>O</m:t>
                    </m:r>
                  </m:e>
                  <m:sub>
                    <m:r>
                      <m:rPr>
                        <m:sty m:val="p"/>
                      </m:rPr>
                      <m:t>2</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i"/>
                      </m:rPr>
                      <m:t>v</m:t>
                    </m:r>
                  </m:e>
                  <m:sup>
                    <m:r>
                      <m:rPr>
                        <m:sty m:val="p"/>
                      </m:rPr>
                      <m:t>Cat</m:t>
                    </m:r>
                  </m:sup>
                </m:sSup>
                <m:r>
                  <m:rPr>
                    <m:sty m:val="p"/>
                  </m:rPr>
                  <m:t>=</m:t>
                </m:r>
                <m:f>
                  <m:fPr>
                    <m:ctrlPr>
                      <w:rPr>
                        <w:rFonts w:ascii="Cambria Math" w:hAnsi="Cambria Math"/>
                      </w:rPr>
                    </m:ctrlPr>
                  </m:fPr>
                  <m:num>
                    <m:sSubSup>
                      <m:sSubSupPr/>
                      <m:e>
                        <m:r>
                          <m:rPr>
                            <m:sty m:val="i"/>
                          </m:rPr>
                          <m:t>v</m:t>
                        </m:r>
                      </m:e>
                      <m:sub>
                        <m:r>
                          <m:rPr>
                            <m:sty m:val="p"/>
                          </m:rPr>
                          <m:t>max</m:t>
                        </m:r>
                      </m:sub>
                      <m:sup>
                        <m:r>
                          <m:rPr>
                            <m:sty m:val="p"/>
                          </m:rPr>
                          <m:t>Cat</m:t>
                        </m:r>
                      </m:sup>
                    </m:sSubSup>
                    <m:d>
                      <m:dPr>
                        <m:begChr m:val="["/>
                        <m:endChr m:val="]"/>
                        <m:ctrlPr>
                          <w:rPr>
                            <w:rFonts w:ascii="Cambria Math" w:hAnsi="Cambria Math"/>
                          </w:rPr>
                        </m:ctrlPr>
                      </m:dPr>
                      <m:e>
                        <m:sSub>
                          <m:sSubPr/>
                          <m:e>
                            <m:r>
                              <m:rPr>
                                <m:sty m:val="p"/>
                              </m:rPr>
                              <m:t>H</m:t>
                            </m:r>
                          </m:e>
                          <m:sub>
                            <m:r>
                              <m:rPr>
                                <m:sty m:val="p"/>
                              </m:rPr>
                              <m:t>2</m:t>
                            </m:r>
                          </m:sub>
                        </m:sSub>
                        <m:sSub>
                          <m:sSubPr/>
                          <m:e>
                            <m:r>
                              <m:rPr>
                                <m:sty m:val="p"/>
                              </m:rPr>
                              <m:t>O</m:t>
                            </m:r>
                          </m:e>
                          <m:sub>
                            <m:r>
                              <m:rPr>
                                <m:sty m:val="p"/>
                              </m:rPr>
                              <m:t>2</m:t>
                            </m:r>
                          </m:sub>
                        </m:sSub>
                      </m:e>
                    </m:d>
                  </m:num>
                  <m:den>
                    <m:d>
                      <m:dPr>
                        <m:begChr m:val="["/>
                        <m:endChr m:val="]"/>
                        <m:ctrlPr>
                          <w:rPr>
                            <w:rFonts w:ascii="Cambria Math" w:hAnsi="Cambria Math"/>
                          </w:rPr>
                        </m:ctrlPr>
                      </m:dPr>
                      <m:e>
                        <m:sSub>
                          <m:sSubPr/>
                          <m:e>
                            <m:r>
                              <m:rPr>
                                <m:sty m:val="p"/>
                              </m:rPr>
                              <m:t>H</m:t>
                            </m:r>
                          </m:e>
                          <m:sub>
                            <m:r>
                              <m:rPr>
                                <m:sty m:val="p"/>
                              </m:rPr>
                              <m:t>2</m:t>
                            </m:r>
                          </m:sub>
                        </m:sSub>
                        <m:sSub>
                          <m:sSubPr/>
                          <m:e>
                            <m:r>
                              <m:rPr>
                                <m:sty m:val="p"/>
                              </m:rPr>
                              <m:t>O</m:t>
                            </m:r>
                          </m:e>
                          <m:sub>
                            <m:r>
                              <m:rPr>
                                <m:sty m:val="p"/>
                              </m:rPr>
                              <m:t>2</m:t>
                            </m:r>
                          </m:sub>
                        </m:sSub>
                      </m:e>
                    </m:d>
                    <m:r>
                      <m:rPr>
                        <m:sty m:val="p"/>
                      </m:rPr>
                      <m:t>+</m:t>
                    </m:r>
                    <m:sSubSup>
                      <m:sSubSupPr/>
                      <m:e>
                        <m:r>
                          <m:rPr>
                            <m:sty m:val="i"/>
                          </m:rPr>
                          <m:t>K</m:t>
                        </m:r>
                      </m:e>
                      <m:sub>
                        <m:r>
                          <m:rPr>
                            <m:sty m:val="i"/>
                          </m:rPr>
                          <m:t>M</m:t>
                        </m:r>
                      </m:sub>
                      <m:sup>
                        <m:r>
                          <m:rPr>
                            <m:sty m:val="p"/>
                          </m:rPr>
                          <m:t>Cat</m:t>
                        </m:r>
                      </m:sup>
                    </m:sSubSup>
                  </m:den>
                </m:f>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Diffusion membranaire</w:t>
            </w:r>
          </w:p>
        </w:tc>
        <w:tc>
          <w:tcPr>
            <w:tcBorders>
              <w:bottom w:val="single" w:sz="8" w:space="0" w:color="000000"/>
              <w:right w:val="single" w:sz="8" w:space="0" w:color="000000"/>
            </w:tcBorders>
            <w:vAlign w:val="center"/>
          </w:tcPr>
          <w:p>
            <w:pPr>
              <w:spacing w:lineRule="auto"/>
              <w:jc w:val="left"/>
            </w:pPr>
            <m:oMath>
              <m:sSub>
                <m:sSubPr/>
                <m:e>
                  <m:r>
                    <m:rPr>
                      <m:sty m:val="p"/>
                    </m:rPr>
                    <m:t>H</m:t>
                  </m:r>
                </m:e>
                <m:sub>
                  <m:r>
                    <m:rPr>
                      <m:sty m:val="p"/>
                    </m:rPr>
                    <m:t>2</m:t>
                  </m:r>
                </m:sub>
              </m:sSub>
              <m:sSub>
                <m:sSubPr/>
                <m:e>
                  <m:r>
                    <m:rPr>
                      <m:sty m:val="p"/>
                    </m:rPr>
                    <m:t>O</m:t>
                  </m:r>
                </m:e>
                <m:sub>
                  <m:r>
                    <m:rPr>
                      <m:sty m:val="p"/>
                    </m:rPr>
                    <m:t>2</m:t>
                  </m:r>
                </m:sub>
              </m:sSub>
              <m:r>
                <m:rPr>
                  <m:sty m:val="p"/>
                </m:rPr>
                <m:t>→</m:t>
              </m:r>
            </m:oMath>
            <w:r>
              <w:rPr>
                <w:rFonts w:eastAsia="Georgia" w:cs="Georgia" w:ascii="Georgia" w:hAnsi="Georgia"/>
              </w:rPr>
              <w:t xml:space="preserve"> extérieur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v</m:t>
                </m:r>
                <m:r>
                  <m:rPr>
                    <m:sty m:val="p"/>
                  </m:rPr>
                  <m:t>=</m:t>
                </m:r>
                <m:r>
                  <m:rPr>
                    <m:sty m:val="p"/>
                  </m:rPr>
                  <m:t>±</m:t>
                </m:r>
                <m:sSub>
                  <m:sSubPr/>
                  <m:e>
                    <m:r>
                      <m:rPr>
                        <m:sty m:val="i"/>
                      </m:rPr>
                      <m:t>k</m:t>
                    </m:r>
                  </m:e>
                  <m:sub>
                    <m:r>
                      <m:rPr>
                        <m:sty m:val="i"/>
                      </m:rPr>
                      <m:t>d</m:t>
                    </m:r>
                  </m:sub>
                </m:sSub>
                <m:d>
                  <m:dPr>
                    <m:begChr m:val="("/>
                    <m:endChr m:val=")"/>
                    <m:ctrlPr>
                      <w:rPr>
                        <w:rFonts w:ascii="Cambria Math" w:hAnsi="Cambria Math"/>
                      </w:rPr>
                    </m:ctrlPr>
                  </m:dPr>
                  <m:e>
                    <m:sSub>
                      <m:sSubPr/>
                      <m:e>
                        <m:d>
                          <m:dPr>
                            <m:begChr m:val="["/>
                            <m:endChr m:val="]"/>
                            <m:ctrlPr>
                              <w:rPr>
                                <w:rFonts w:ascii="Cambria Math" w:hAnsi="Cambria Math"/>
                              </w:rPr>
                            </m:ctrlPr>
                          </m:dPr>
                          <m:e>
                            <m:sSub>
                              <m:sSubPr/>
                              <m:e>
                                <m:r>
                                  <m:rPr>
                                    <m:sty m:val="p"/>
                                  </m:rPr>
                                  <m:t>H</m:t>
                                </m:r>
                              </m:e>
                              <m:sub>
                                <m:r>
                                  <m:rPr>
                                    <m:sty m:val="p"/>
                                  </m:rPr>
                                  <m:t>2</m:t>
                                </m:r>
                              </m:sub>
                            </m:sSub>
                            <m:sSub>
                              <m:sSubPr/>
                              <m:e>
                                <m:r>
                                  <m:rPr>
                                    <m:sty m:val="p"/>
                                  </m:rPr>
                                  <m:t>O</m:t>
                                </m:r>
                              </m:e>
                              <m:sub>
                                <m:r>
                                  <m:rPr>
                                    <m:sty m:val="p"/>
                                  </m:rPr>
                                  <m:t>2</m:t>
                                </m:r>
                              </m:sub>
                            </m:sSub>
                          </m:e>
                        </m:d>
                      </m:e>
                      <m:sub>
                        <m:r>
                          <m:rPr>
                            <m:sty m:val="i"/>
                          </m:rPr>
                          <m:t>i</m:t>
                        </m:r>
                      </m:sub>
                    </m:sSub>
                    <m:r>
                      <m:rPr>
                        <m:sty m:val="p"/>
                      </m:rPr>
                      <m:t>−</m:t>
                    </m:r>
                    <m:sSub>
                      <m:sSubPr/>
                      <m:e>
                        <m:d>
                          <m:dPr>
                            <m:begChr m:val="["/>
                            <m:endChr m:val="]"/>
                            <m:ctrlPr>
                              <w:rPr>
                                <w:rFonts w:ascii="Cambria Math" w:hAnsi="Cambria Math"/>
                              </w:rPr>
                            </m:ctrlPr>
                          </m:dPr>
                          <m:e>
                            <m:sSub>
                              <m:sSubPr/>
                              <m:e>
                                <m:r>
                                  <m:rPr>
                                    <m:sty m:val="p"/>
                                  </m:rPr>
                                  <m:t>H</m:t>
                                </m:r>
                              </m:e>
                              <m:sub>
                                <m:r>
                                  <m:rPr>
                                    <m:sty m:val="p"/>
                                  </m:rPr>
                                  <m:t>2</m:t>
                                </m:r>
                              </m:sub>
                            </m:sSub>
                            <m:sSub>
                              <m:sSubPr/>
                              <m:e>
                                <m:r>
                                  <m:rPr>
                                    <m:sty m:val="p"/>
                                  </m:rPr>
                                  <m:t>O</m:t>
                                </m:r>
                              </m:e>
                              <m:sub>
                                <m:r>
                                  <m:rPr>
                                    <m:sty m:val="p"/>
                                  </m:rPr>
                                  <m:t>2</m:t>
                                </m:r>
                              </m:sub>
                            </m:sSub>
                          </m:e>
                        </m:d>
                      </m:e>
                      <m:sub>
                        <m:r>
                          <m:rPr>
                            <m:sty m:val="i"/>
                          </m:rPr>
                          <m:t>e</m:t>
                        </m:r>
                      </m:sub>
                    </m:sSub>
                  </m:e>
                </m:d>
              </m:oMath>
            </m:oMathPara>
          </w:p>
        </w:tc>
      </w:tr>
    </w:tbl>
    <w:p>
      <w:pPr>
        <w:spacing w:lineRule="auto"/>
      </w:pPr>
    </w:p>
    <w:p>
      <w:pPr>
        <w:spacing w:lineRule="auto"/>
      </w:pPr>
      <w:r>
        <w:rPr/>
        <w:t xml:space="preserve">Figure 8</w:t>
      </w:r>
    </w:p>
    <w:p>
      <w:pPr>
        <w:spacing w:after="220" w:lineRule="auto"/>
      </w:pPr>
      <w:r>
        <w:rPr/>
        <w:t xml:space="preserve">On note </w:t>
      </w:r>
      <m:oMath>
        <m:r>
          <m:rPr>
            <m:sty m:val="i"/>
          </m:rPr>
          <m:t>N</m:t>
        </m:r>
      </m:oMath>
      <w:r>
        <w:rPr>
          <w:rFonts w:eastAsia="Georgia" w:cs="Georgia" w:ascii="Georgia" w:hAnsi="Georgia"/>
        </w:rPr>
        <w:t xml:space="preserve"> le nombre de bactéries dans le milieu extérieur. Le volume extérieur est noté </w:t>
      </w:r>
      <m:oMath>
        <m:sSub>
          <m:sSubPr/>
          <m:e>
            <m:r>
              <m:rPr>
                <m:sty m:val="i"/>
              </m:rPr>
              <m:t>V</m:t>
            </m:r>
          </m:e>
          <m:sub>
            <m:r>
              <m:rPr>
                <m:sty m:val="i"/>
              </m:rPr>
              <m:t>e</m:t>
            </m:r>
          </m:sub>
        </m:sSub>
      </m:oMath>
      <w:r>
        <w:rPr>
          <w:rFonts w:eastAsia="Georgia" w:cs="Georgia" w:ascii="Georgia" w:hAnsi="Georgia"/>
        </w:rPr>
        <w:t xml:space="preserve">. La densité de bactéries est alors notée </w:t>
      </w:r>
      <m:oMath>
        <m:r>
          <m:rPr>
            <m:sty m:val="i"/>
          </m:rPr>
          <m:t>n</m:t>
        </m:r>
        <m:r>
          <m:rPr>
            <m:sty m:val="p"/>
          </m:rPr>
          <m:t>=</m:t>
        </m:r>
        <m:r>
          <m:rPr>
            <m:sty m:val="i"/>
          </m:rPr>
          <m:t>N</m:t>
        </m:r>
        <m:r>
          <m:rPr>
            <m:sty m:val="p"/>
          </m:rPr>
          <m:t>/</m:t>
        </m:r>
        <m:sSub>
          <m:sSubPr/>
          <m:e>
            <m:r>
              <m:rPr>
                <m:sty m:val="i"/>
              </m:rPr>
              <m:t>V</m:t>
            </m:r>
          </m:e>
          <m:sub>
            <m:r>
              <m:rPr>
                <m:sty m:val="i"/>
              </m:rPr>
              <m:t>e</m:t>
            </m:r>
          </m:sub>
        </m:sSub>
      </m:oMath>
      <w:r>
        <w:rPr/>
        <w:t xml:space="preserve">.</w:t>
      </w:r>
      <w:r>
        <w:rPr/>
        <w:br w:type="textWrapping"/>
      </w:r>
      <w:r>
        <w:rPr>
          <w:rFonts w:eastAsia="Georgia" w:cs="Georgia" w:ascii="Georgia" w:hAnsi="Georgia"/>
        </w:rPr>
        <w:t xml:space="preserve">Q 38. Préciser les degrés d'oxydation de l'oxygène dans les trois molécules de la réaction </w:t>
      </w:r>
      <m:oMath>
        <m:sSub>
          <m:sSubPr/>
          <m:e>
            <m:r>
              <m:rPr>
                <m:sty m:val="p"/>
              </m:rPr>
              <m:t>H</m:t>
            </m:r>
          </m:e>
          <m:sub>
            <m:r>
              <m:rPr>
                <m:sty m:val="p"/>
              </m:rPr>
              <m:t>2</m:t>
            </m:r>
          </m:sub>
        </m:sSub>
        <m:sSub>
          <m:sSubPr/>
          <m:e>
            <m:r>
              <m:rPr>
                <m:sty m:val="p"/>
              </m:rPr>
              <m:t>O</m:t>
            </m:r>
          </m:e>
          <m:sub>
            <m:r>
              <m:rPr>
                <m:sty m:val="p"/>
              </m:rPr>
              <m:t>2</m:t>
            </m:r>
          </m:sub>
        </m:sSub>
        <m:r>
          <m:rPr>
            <m:sty m:val="p"/>
          </m:rPr>
          <m:t>→</m:t>
        </m:r>
        <m:sSub>
          <m:sSubPr/>
          <m:e>
            <m:r>
              <m:rPr>
                <m:sty m:val="p"/>
              </m:rPr>
              <m:t>H</m:t>
            </m:r>
          </m:e>
          <m:sub>
            <m:r>
              <m:rPr>
                <m:sty m:val="p"/>
              </m:rPr>
              <m:t>2</m:t>
            </m:r>
          </m:sub>
        </m:sSub>
        <m:r>
          <m:rPr>
            <m:sty m:val="p"/>
          </m:rPr>
          <m:t>O</m:t>
        </m:r>
        <m:r>
          <m:rPr>
            <m:sty m:val="p"/>
          </m:rPr>
          <m:t>+</m:t>
        </m:r>
        <m:f>
          <m:fPr>
            <m:ctrlPr>
              <w:rPr>
                <w:rFonts w:ascii="Cambria Math" w:hAnsi="Cambria Math"/>
              </w:rPr>
            </m:ctrlPr>
          </m:fPr>
          <m:num>
            <m:r>
              <m:rPr>
                <m:sty m:val="p"/>
              </m:rPr>
              <m:t>1</m:t>
            </m:r>
          </m:num>
          <m:den>
            <m:r>
              <m:rPr>
                <m:sty m:val="p"/>
              </m:rPr>
              <m:t>2</m:t>
            </m:r>
          </m:den>
        </m:f>
        <m:sSub>
          <m:sSubPr/>
          <m:e>
            <m:r>
              <m:rPr>
                <m:sty m:val="p"/>
              </m:rPr>
              <m:t>O</m:t>
            </m:r>
          </m:e>
          <m:sub>
            <m:r>
              <m:rPr>
                <m:sty m:val="p"/>
              </m:rPr>
              <m:t>2</m:t>
            </m:r>
          </m:sub>
        </m:sSub>
      </m:oMath>
      <w:r>
        <w:rPr>
          <w:rFonts w:eastAsia="Georgia" w:cs="Georgia" w:ascii="Georgia" w:hAnsi="Georgia"/>
        </w:rPr>
        <w:t xml:space="preserve">. Comment nomme-t-on se type de réaction en chimie ?</w:t>
      </w:r>
    </w:p>
    <w:p>
      <w:pPr>
        <w:spacing w:after="220" w:lineRule="auto"/>
      </w:pPr>
      <w:r>
        <w:rPr>
          <w:rFonts w:eastAsia="Georgia" w:cs="Georgia" w:ascii="Georgia" w:hAnsi="Georgia"/>
        </w:rPr>
        <w:t xml:space="preserve">Q 39. Calculer la constante thermodynamique de cette réaction de décomposition à </w:t>
      </w:r>
      <m:oMath>
        <m:sSup>
          <m:sSupPr/>
          <m:e>
            <m:r>
              <m:rPr>
                <m:sty m:val="p"/>
              </m:rPr>
              <m:t>25</m:t>
            </m:r>
          </m:e>
          <m:sup>
            <m:r>
              <m:rPr>
                <m:sty m:val="p"/>
              </m:rPr>
              <m:t>∘</m:t>
            </m:r>
          </m:sup>
        </m:sSup>
        <m:r>
          <m:rPr>
            <m:sty m:val="p"/>
          </m:rPr>
          <m:t>C</m:t>
        </m:r>
      </m:oMath>
      <w:r>
        <w:rPr/>
        <w:t xml:space="preserve">. Commenter.</w:t>
      </w:r>
      <w:r>
        <w:rPr/>
        <w:br w:type="textWrapping"/>
      </w:r>
      <w:r>
        <w:rPr>
          <w:rFonts w:eastAsia="Georgia" w:cs="Georgia" w:ascii="Georgia" w:hAnsi="Georgia"/>
        </w:rPr>
        <w:t xml:space="preserve">Q 40. Donner les équations différentielles associées au système dynamique ci-dessus vérifiées par </w:t>
      </w:r>
      <m:oMath>
        <m:sSub>
          <m:sSubPr/>
          <m:e>
            <m:d>
              <m:dPr>
                <m:begChr m:val="["/>
                <m:endChr m:val="]"/>
                <m:ctrlPr>
                  <w:rPr>
                    <w:rFonts w:ascii="Cambria Math" w:hAnsi="Cambria Math"/>
                  </w:rPr>
                </m:ctrlPr>
              </m:dPr>
              <m:e>
                <m:sSub>
                  <m:sSubPr/>
                  <m:e>
                    <m:r>
                      <m:rPr>
                        <m:sty m:val="p"/>
                      </m:rPr>
                      <m:t>H</m:t>
                    </m:r>
                  </m:e>
                  <m:sub>
                    <m:r>
                      <m:rPr>
                        <m:sty m:val="p"/>
                      </m:rPr>
                      <m:t>2</m:t>
                    </m:r>
                  </m:sub>
                </m:sSub>
                <m:sSub>
                  <m:sSubPr/>
                  <m:e>
                    <m:r>
                      <m:rPr>
                        <m:sty m:val="p"/>
                      </m:rPr>
                      <m:t>O</m:t>
                    </m:r>
                  </m:e>
                  <m:sub>
                    <m:r>
                      <m:rPr>
                        <m:sty m:val="p"/>
                      </m:rPr>
                      <m:t>2</m:t>
                    </m:r>
                  </m:sub>
                </m:sSub>
              </m:e>
            </m:d>
          </m:e>
          <m:sub>
            <m:r>
              <m:rPr>
                <m:sty m:val="i"/>
              </m:rPr>
              <m:t>i</m:t>
            </m:r>
          </m:sub>
        </m:sSub>
      </m:oMath>
      <w:r>
        <w:rPr/>
        <w:t xml:space="preserve"> et </w:t>
      </w:r>
      <m:oMath>
        <m:sSub>
          <m:sSubPr/>
          <m:e>
            <m:d>
              <m:dPr>
                <m:begChr m:val="["/>
                <m:endChr m:val="]"/>
                <m:ctrlPr>
                  <w:rPr>
                    <w:rFonts w:ascii="Cambria Math" w:hAnsi="Cambria Math"/>
                  </w:rPr>
                </m:ctrlPr>
              </m:dPr>
              <m:e>
                <m:sSub>
                  <m:sSubPr/>
                  <m:e>
                    <m:r>
                      <m:rPr>
                        <m:sty m:val="p"/>
                      </m:rPr>
                      <m:t>H</m:t>
                    </m:r>
                  </m:e>
                  <m:sub>
                    <m:r>
                      <m:rPr>
                        <m:sty m:val="p"/>
                      </m:rPr>
                      <m:t>2</m:t>
                    </m:r>
                  </m:sub>
                </m:sSub>
                <m:sSub>
                  <m:sSubPr/>
                  <m:e>
                    <m:r>
                      <m:rPr>
                        <m:sty m:val="p"/>
                      </m:rPr>
                      <m:t>O</m:t>
                    </m:r>
                  </m:e>
                  <m:sub>
                    <m:r>
                      <m:rPr>
                        <m:sty m:val="p"/>
                      </m:rPr>
                      <m:t>2</m:t>
                    </m:r>
                  </m:sub>
                </m:sSub>
              </m:e>
            </m:d>
          </m:e>
          <m:sub>
            <m:r>
              <m:rPr>
                <m:sty m:val="i"/>
              </m:rPr>
              <m:t>e</m:t>
            </m:r>
          </m:sub>
        </m:sSub>
      </m:oMath>
      <w:r>
        <w:rPr/>
        <w:t xml:space="preserve">.</w:t>
      </w:r>
      <w:r>
        <w:rPr/>
        <w:br w:type="textWrapping"/>
      </w:r>
      <w:r>
        <w:rPr>
          <w:rFonts w:eastAsia="Georgia" w:cs="Georgia" w:ascii="Georgia" w:hAnsi="Georgia"/>
        </w:rPr>
        <w:t xml:space="preserve">En condition physiologique, sans stress exogène, on admet que </w:t>
      </w:r>
      <m:oMath>
        <m:d>
          <m:dPr>
            <m:begChr m:val="["/>
            <m:endChr m:val="]"/>
            <m:ctrlPr>
              <w:rPr>
                <w:rFonts w:ascii="Cambria Math" w:hAnsi="Cambria Math"/>
              </w:rPr>
            </m:ctrlPr>
          </m:dPr>
          <m:e>
            <m:sSub>
              <m:sSubPr/>
              <m:e>
                <m:r>
                  <m:rPr>
                    <m:sty m:val="p"/>
                  </m:rPr>
                  <m:t>H</m:t>
                </m:r>
              </m:e>
              <m:sub>
                <m:r>
                  <m:rPr>
                    <m:sty m:val="p"/>
                  </m:rPr>
                  <m:t>2</m:t>
                </m:r>
              </m:sub>
            </m:sSub>
            <m:sSub>
              <m:sSubPr/>
              <m:e>
                <m:r>
                  <m:rPr>
                    <m:sty m:val="p"/>
                  </m:rPr>
                  <m:t>O</m:t>
                </m:r>
              </m:e>
              <m:sub>
                <m:r>
                  <m:rPr>
                    <m:sty m:val="p"/>
                  </m:rPr>
                  <m:t>2</m:t>
                </m:r>
              </m:sub>
            </m:sSub>
          </m:e>
        </m:d>
        <m:r>
          <m:rPr>
            <m:sty m:val="p"/>
          </m:rPr>
          <m:t>≪</m:t>
        </m:r>
        <m:sSubSup>
          <m:sSubSupPr/>
          <m:e>
            <m:r>
              <m:rPr>
                <m:sty m:val="i"/>
              </m:rPr>
              <m:t>K</m:t>
            </m:r>
          </m:e>
          <m:sub>
            <m:r>
              <m:rPr>
                <m:sty m:val="i"/>
              </m:rPr>
              <m:t>M</m:t>
            </m:r>
          </m:sub>
          <m:sup>
            <m:r>
              <m:rPr>
                <m:sty m:val="p"/>
              </m:rPr>
              <m:t>Ahp</m:t>
            </m:r>
          </m:sup>
        </m:sSubSup>
      </m:oMath>
      <w:r>
        <w:rPr/>
        <w:t xml:space="preserve"> et </w:t>
      </w:r>
      <m:oMath>
        <m:d>
          <m:dPr>
            <m:begChr m:val="["/>
            <m:endChr m:val="]"/>
            <m:ctrlPr>
              <w:rPr>
                <w:rFonts w:ascii="Cambria Math" w:hAnsi="Cambria Math"/>
              </w:rPr>
            </m:ctrlPr>
          </m:dPr>
          <m:e>
            <m:sSub>
              <m:sSubPr/>
              <m:e>
                <m:r>
                  <m:rPr>
                    <m:sty m:val="p"/>
                  </m:rPr>
                  <m:t>H</m:t>
                </m:r>
              </m:e>
              <m:sub>
                <m:r>
                  <m:rPr>
                    <m:sty m:val="p"/>
                  </m:rPr>
                  <m:t>2</m:t>
                </m:r>
              </m:sub>
            </m:sSub>
            <m:sSub>
              <m:sSubPr/>
              <m:e>
                <m:r>
                  <m:rPr>
                    <m:sty m:val="p"/>
                  </m:rPr>
                  <m:t>O</m:t>
                </m:r>
              </m:e>
              <m:sub>
                <m:r>
                  <m:rPr>
                    <m:sty m:val="p"/>
                  </m:rPr>
                  <m:t>2</m:t>
                </m:r>
              </m:sub>
            </m:sSub>
          </m:e>
        </m:d>
        <m:r>
          <m:rPr>
            <m:sty m:val="p"/>
          </m:rPr>
          <m:t>≪</m:t>
        </m:r>
        <m:sSubSup>
          <m:sSubSupPr/>
          <m:e>
            <m:r>
              <m:rPr>
                <m:sty m:val="i"/>
              </m:rPr>
              <m:t>K</m:t>
            </m:r>
          </m:e>
          <m:sub>
            <m:r>
              <m:rPr>
                <m:sty m:val="i"/>
              </m:rPr>
              <m:t>M</m:t>
            </m:r>
          </m:sub>
          <m:sup>
            <m:r>
              <m:rPr>
                <m:sty m:val="p"/>
              </m:rPr>
              <m:t>Cat</m:t>
            </m:r>
          </m:sup>
        </m:sSubSup>
      </m:oMath>
      <w:r>
        <w:rPr>
          <w:rFonts w:eastAsia="Georgia" w:cs="Georgia" w:ascii="Georgia" w:hAnsi="Georgia"/>
        </w:rPr>
        <w:t xml:space="preserve">. Ces hypothèses seront vérifiées à postériori.</w:t>
      </w:r>
      <w:r>
        <w:rPr/>
        <w:br w:type="textWrapping"/>
      </w:r>
      <w:r>
        <w:rPr>
          <w:rFonts w:eastAsia="Georgia" w:cs="Georgia" w:ascii="Georgia" w:hAnsi="Georgia"/>
        </w:rPr>
        <w:t xml:space="preserve">Q 41. Déterminer la concentration en peroxyde d'hydrogène à l'équilibre à l'intérieur des cellules.</w:t>
      </w:r>
      <w:r>
        <w:rPr/>
        <w:br w:type="textWrapping"/>
      </w:r>
      <w:r>
        <w:rPr>
          <w:rFonts w:eastAsia="Georgia" w:cs="Georgia" w:ascii="Georgia" w:hAnsi="Georgia"/>
        </w:rPr>
        <w:t xml:space="preserve">Q 42. Faire l'application numérique, commenter.</w:t>
      </w:r>
    </w:p>
    <w:p>
      <w:pPr>
        <w:spacing w:line="271" w:before="330" w:lineRule="auto"/>
      </w:pPr>
      <w:r>
        <w:rPr>
          <w:b/>
          <w:sz w:val="42"/>
        </w:rPr>
        <w:t xml:space="preserve">VI.B - Situation de stress oxydant</w:t>
      </w:r>
    </w:p>
    <w:p>
      <w:pPr>
        <w:spacing w:after="220" w:lineRule="auto"/>
      </w:pPr>
      <w:r>
        <w:rPr>
          <w:rFonts w:eastAsia="Georgia" w:cs="Georgia" w:ascii="Georgia" w:hAnsi="Georgia"/>
        </w:rPr>
        <w:t xml:space="preserve">On considère désormais une situation de stress oxydant produit par l'ajout d'une importante quantité de peroxyde d'hydrogène exogène (c'est-à-dire introduite à l'extérieur de la bactérie) : on suppose que les bactéries se trouvent dans un milieu où la concentration extérieure en peroxyde d'hydrogène vaut initialement </w:t>
      </w:r>
      <m:oMath>
        <m:r>
          <m:rPr>
            <m:sty m:val="p"/>
          </m:rPr>
          <m:t>1</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Tant que la concentration exogène est très élevée, les bactéries sont submergées et par conséquent elles voient leur concentration interne en peroxyde d'hydrogène atteindre quasi instantanément la valeur exogène (la diffusion n'est plus limitante).</w:t>
      </w:r>
      <w:r>
        <w:rPr/>
        <w:br w:type="textWrapping"/>
      </w:r>
      <w:r>
        <w:rPr>
          <w:rFonts w:eastAsia="Georgia" w:cs="Georgia" w:ascii="Georgia" w:hAnsi="Georgia"/>
        </w:rPr>
        <w:t xml:space="preserve">Q 43. Proposer une approximation à l'équation différentielle vérifiée par </w:t>
      </w:r>
      <m:oMath>
        <m:sSub>
          <m:sSubPr/>
          <m:e>
            <m:d>
              <m:dPr>
                <m:begChr m:val="["/>
                <m:endChr m:val="]"/>
                <m:ctrlPr>
                  <w:rPr>
                    <w:rFonts w:ascii="Cambria Math" w:hAnsi="Cambria Math"/>
                  </w:rPr>
                </m:ctrlPr>
              </m:dPr>
              <m:e>
                <m:sSub>
                  <m:sSubPr/>
                  <m:e>
                    <m:r>
                      <m:rPr>
                        <m:sty m:val="p"/>
                      </m:rPr>
                      <m:t>H</m:t>
                    </m:r>
                  </m:e>
                  <m:sub>
                    <m:r>
                      <m:rPr>
                        <m:sty m:val="p"/>
                      </m:rPr>
                      <m:t>2</m:t>
                    </m:r>
                  </m:sub>
                </m:sSub>
                <m:sSub>
                  <m:sSubPr/>
                  <m:e>
                    <m:r>
                      <m:rPr>
                        <m:sty m:val="p"/>
                      </m:rPr>
                      <m:t>O</m:t>
                    </m:r>
                  </m:e>
                  <m:sub>
                    <m:r>
                      <m:rPr>
                        <m:sty m:val="p"/>
                      </m:rPr>
                      <m:t>2</m:t>
                    </m:r>
                  </m:sub>
                </m:sSub>
              </m:e>
            </m:d>
          </m:e>
          <m:sub>
            <m:r>
              <m:rPr>
                <m:sty m:val="i"/>
              </m:rPr>
              <m:t>i</m:t>
            </m:r>
          </m:sub>
        </m:sSub>
      </m:oMath>
      <w:r>
        <w:rPr>
          <w:rFonts w:eastAsia="Georgia" w:cs="Georgia" w:ascii="Georgia" w:hAnsi="Georgia"/>
        </w:rPr>
        <w:t xml:space="preserve"> dans le cas du stress exogène proposé (tant qu'il est important).</w:t>
      </w:r>
      <w:r>
        <w:rPr/>
        <w:br w:type="textWrapping"/>
      </w:r>
      <w:r>
        <w:rPr>
          <w:rFonts w:eastAsia="Georgia" w:cs="Georgia" w:ascii="Georgia" w:hAnsi="Georgia"/>
        </w:rPr>
        <w:t xml:space="preserve">Q 44. En déduire la quantité (en mole) de peroxyde d'hydrogène décomposé par seconde et par bactérie.</w:t>
      </w:r>
      <w:r>
        <w:rPr/>
        <w:br w:type="textWrapping"/>
      </w:r>
      <w:r>
        <w:rPr>
          <w:rFonts w:eastAsia="Georgia" w:cs="Georgia" w:ascii="Georgia" w:hAnsi="Georgia"/>
        </w:rPr>
        <w:t xml:space="preserve">Q 45. Combien de temps faudra-t-il à </w:t>
      </w:r>
      <m:oMath>
        <m:r>
          <m:rPr>
            <m:sty m:val="i"/>
          </m:rPr>
          <m:t>n</m:t>
        </m:r>
        <m:r>
          <m:rPr>
            <m:sty m:val="p"/>
          </m:rPr>
          <m:t>=</m:t>
        </m:r>
        <m:sSup>
          <m:sSupPr/>
          <m:e>
            <m:r>
              <m:rPr>
                <m:sty m:val="p"/>
              </m:rPr>
              <m:t>10</m:t>
            </m:r>
          </m:e>
          <m:sup>
            <m:r>
              <m:rPr>
                <m:sty m:val="p"/>
              </m:rPr>
              <m:t>7</m:t>
            </m:r>
          </m:sup>
        </m:sSup>
      </m:oMath>
      <w:r>
        <w:rPr>
          <w:rFonts w:eastAsia="Georgia" w:cs="Georgia" w:ascii="Georgia" w:hAnsi="Georgia"/>
        </w:rPr>
        <w:t xml:space="preserve"> bactéries par mL pour décomposer la moitié du peroxyde d'hydrogène externe introduit ? Même question pour </w:t>
      </w:r>
      <m:oMath>
        <m:sSup>
          <m:sSupPr/>
          <m:e>
            <m:r>
              <m:rPr>
                <m:sty m:val="p"/>
              </m:rPr>
              <m:t>10</m:t>
            </m:r>
          </m:e>
          <m:sup>
            <m:r>
              <m:rPr>
                <m:sty m:val="p"/>
              </m:rPr>
              <m:t>9</m:t>
            </m:r>
          </m:sup>
        </m:sSup>
      </m:oMath>
      <w:r>
        <w:rPr>
          <w:rFonts w:eastAsia="Georgia" w:cs="Georgia" w:ascii="Georgia" w:hAnsi="Georgia"/>
        </w:rPr>
        <w:t xml:space="preserve"> bactéries par mL . Commenter.</w:t>
      </w:r>
    </w:p>
    <w:p>
      <w:pPr>
        <w:spacing w:line="271" w:before="330" w:lineRule="auto"/>
      </w:pPr>
      <w:r>
        <w:rPr>
          <w:rFonts w:eastAsia="Georgia" w:cs="Georgia" w:ascii="Georgia" w:hAnsi="Georgia"/>
          <w:b/>
          <w:sz w:val="42"/>
        </w:rPr>
        <w:t xml:space="preserve">Données</w:t>
      </w:r>
    </w:p>
    <w:p>
      <w:pPr>
        <w:spacing w:line="271" w:before="330" w:lineRule="auto"/>
      </w:pPr>
      <w:r>
        <w:rPr>
          <w:b/>
          <w:sz w:val="42"/>
        </w:rPr>
        <w:t xml:space="preserve">Terre-Mars</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vAlign w:val="center"/>
          </w:tcPr>
          <w:p/>
        </w:tc>
        <w:tc>
          <w:tcPr>
            <w:tcBorders/>
            <w:vAlign w:val="center"/>
          </w:tcPr>
          <w:p>
            <w:pPr>
              <w:spacing w:lineRule="auto"/>
              <w:jc w:val="center"/>
            </w:pPr>
            <w:r>
              <w:rPr/>
              <w:t xml:space="preserve">Terre</w:t>
            </w:r>
          </w:p>
        </w:tc>
        <w:tc>
          <w:tcPr>
            <w:tcBorders/>
            <w:vAlign w:val="center"/>
          </w:tcPr>
          <w:p>
            <w:pPr>
              <w:spacing w:lineRule="auto"/>
              <w:jc w:val="center"/>
            </w:pPr>
            <w:r>
              <w:rPr/>
              <w:t xml:space="preserve">Mars</w:t>
            </w:r>
          </w:p>
        </w:tc>
      </w:tr>
      <w:tr>
        <w:trPr>
          <w:cantSplit/>
        </w:trPr>
        <w:tc>
          <w:tcPr>
            <w:tcBorders/>
            <w:vAlign w:val="center"/>
          </w:tcPr>
          <w:p>
            <w:pPr>
              <w:spacing w:lineRule="auto"/>
              <w:jc w:val="left"/>
            </w:pPr>
            <w:r>
              <w:rPr>
                <w:rFonts w:eastAsia="Georgia" w:cs="Georgia" w:ascii="Georgia" w:hAnsi="Georgia"/>
              </w:rPr>
              <w:t xml:space="preserve">Composition de l'atmosphère</w:t>
            </w:r>
          </w:p>
        </w:tc>
        <w:tc>
          <w:tcPr>
            <w:tcBorders/>
            <w:vAlign w:val="center"/>
          </w:tcPr>
          <w:p>
            <w:pPr>
              <w:spacing w:lineRule="auto"/>
              <w:jc w:val="center"/>
            </w:pPr>
            <m:oMathPara>
              <m:oMathParaPr>
                <m:jc m:val="center"/>
              </m:oMathParaPr>
              <m:oMath>
                <m:sSub>
                  <m:sSubPr/>
                  <m:e>
                    <m:r>
                      <m:rPr>
                        <m:sty m:val="p"/>
                      </m:rPr>
                      <m:t>N</m:t>
                    </m:r>
                  </m:e>
                  <m:sub>
                    <m:r>
                      <m:rPr>
                        <m:sty m:val="p"/>
                      </m:rPr>
                      <m:t>2</m:t>
                    </m:r>
                  </m:sub>
                </m:sSub>
                <m:r>
                  <m:rPr>
                    <m:sty m:val="p"/>
                  </m:rPr>
                  <m:t>(</m:t>
                </m:r>
                <m:r>
                  <m:rPr>
                    <m:sty m:val="p"/>
                  </m:rPr>
                  <m:t>77</m:t>
                </m:r>
                <m:r>
                  <m:rPr>
                    <m:sty m:val="p"/>
                  </m:rPr>
                  <m:t>%</m:t>
                </m:r>
                <m:r>
                  <m:rPr>
                    <m:sty m:val="p"/>
                  </m:rPr>
                  <m:t>)</m:t>
                </m:r>
                <m:r>
                  <m:rPr>
                    <m:sty m:val="p"/>
                  </m:rPr>
                  <m:t>,</m:t>
                </m:r>
                <m:sSub>
                  <m:sSubPr/>
                  <m:e>
                    <m:r>
                      <m:rPr>
                        <m:sty m:val="p"/>
                      </m:rPr>
                      <m:t>O</m:t>
                    </m:r>
                  </m:e>
                  <m:sub>
                    <m:r>
                      <m:rPr>
                        <m:sty m:val="p"/>
                      </m:rPr>
                      <m:t>2</m:t>
                    </m:r>
                  </m:sub>
                </m:sSub>
                <m:r>
                  <m:rPr>
                    <m:sty m:val="p"/>
                  </m:rPr>
                  <m:t>(</m:t>
                </m:r>
                <m:r>
                  <m:rPr>
                    <m:sty m:val="p"/>
                  </m:rPr>
                  <m:t>21</m:t>
                </m:r>
                <m:r>
                  <m:rPr>
                    <m:sty m:val="p"/>
                  </m:rPr>
                  <m:t>%</m:t>
                </m:r>
                <m:r>
                  <m:rPr>
                    <m:sty m:val="p"/>
                  </m:rPr>
                  <m:t>)</m:t>
                </m:r>
              </m:oMath>
            </m:oMathPara>
          </w:p>
        </w:tc>
        <w:tc>
          <w:tcPr>
            <w:tcBorders/>
            <w:vAlign w:val="center"/>
          </w:tcPr>
          <w:p>
            <w:pPr>
              <w:spacing w:lineRule="auto"/>
              <w:jc w:val="center"/>
            </w:pPr>
            <m:oMathPara>
              <m:oMathParaPr>
                <m:jc m:val="center"/>
              </m:oMathParaPr>
              <m:oMath>
                <m:sSub>
                  <m:sSubPr/>
                  <m:e>
                    <m:r>
                      <m:rPr>
                        <m:sty m:val="p"/>
                      </m:rPr>
                      <m:t>CO</m:t>
                    </m:r>
                  </m:e>
                  <m:sub>
                    <m:r>
                      <m:rPr>
                        <m:sty m:val="p"/>
                      </m:rPr>
                      <m:t>2</m:t>
                    </m:r>
                  </m:sub>
                </m:sSub>
                <m:r>
                  <m:rPr>
                    <m:sty m:val="p"/>
                  </m:rPr>
                  <m:t>(</m:t>
                </m:r>
                <m:r>
                  <m:rPr>
                    <m:sty m:val="p"/>
                  </m:rPr>
                  <m:t>95</m:t>
                </m:r>
                <m:r>
                  <m:rPr>
                    <m:sty m:val="p"/>
                  </m:rPr>
                  <m:t>%</m:t>
                </m:r>
                <m:r>
                  <m:rPr>
                    <m:sty m:val="p"/>
                  </m:rPr>
                  <m:t>)</m:t>
                </m:r>
                <m:r>
                  <m:rPr>
                    <m:sty m:val="p"/>
                  </m:rPr>
                  <m:t>,</m:t>
                </m:r>
                <m:sSub>
                  <m:sSubPr/>
                  <m:e>
                    <m:r>
                      <m:rPr>
                        <m:sty m:val="p"/>
                      </m:rPr>
                      <m:t>N</m:t>
                    </m:r>
                  </m:e>
                  <m:sub>
                    <m:r>
                      <m:rPr>
                        <m:sty m:val="p"/>
                      </m:rPr>
                      <m:t>2</m:t>
                    </m:r>
                  </m:sub>
                </m:sSub>
                <m:r>
                  <m:rPr>
                    <m:sty m:val="p"/>
                  </m:rPr>
                  <m:t>(</m:t>
                </m:r>
                <m:r>
                  <m:rPr>
                    <m:sty m:val="p"/>
                  </m:rPr>
                  <m:t>2</m:t>
                </m:r>
                <m:r>
                  <m:rPr>
                    <m:sty m:val="p"/>
                  </m:rPr>
                  <m:t>,</m:t>
                </m:r>
                <m:r>
                  <m:rPr>
                    <m:sty m:val="p"/>
                  </m:rPr>
                  <m:t>7</m:t>
                </m:r>
                <m:r>
                  <m:rPr>
                    <m:sty m:val="p"/>
                  </m:rPr>
                  <m:t>%</m:t>
                </m:r>
                <m:r>
                  <m:rPr>
                    <m:sty m:val="p"/>
                  </m:rPr>
                  <m:t>)</m:t>
                </m:r>
              </m:oMath>
            </m:oMathPara>
          </w:p>
        </w:tc>
      </w:tr>
      <w:tr>
        <w:trPr>
          <w:cantSplit/>
        </w:trPr>
        <w:tc>
          <w:tcPr>
            <w:tcBorders/>
            <w:vAlign w:val="center"/>
          </w:tcPr>
          <w:p>
            <w:pPr>
              <w:spacing w:lineRule="auto"/>
              <w:jc w:val="left"/>
            </w:pPr>
            <w:r>
              <w:rPr>
                <w:rFonts w:eastAsia="Georgia" w:cs="Georgia" w:ascii="Georgia" w:hAnsi="Georgia"/>
              </w:rPr>
              <w:t xml:space="preserve">Rayon des planètes </w:t>
            </w:r>
            <m:oMath>
              <m:r>
                <m:rPr>
                  <m:sty m:val="p"/>
                </m:rPr>
                <m:t>(</m:t>
              </m:r>
              <m:r>
                <m:rPr>
                  <m:sty m:val="p"/>
                </m:rPr>
                <m:t>km</m:t>
              </m:r>
              <m:r>
                <m:rPr>
                  <m:sty m:val="p"/>
                </m:rPr>
                <m:t>)</m:t>
              </m:r>
            </m:oMath>
          </w:p>
        </w:tc>
        <w:tc>
          <w:tcPr>
            <w:tcBorders/>
            <w:vAlign w:val="center"/>
          </w:tcPr>
          <w:p>
            <w:pPr>
              <w:spacing w:lineRule="auto"/>
              <w:jc w:val="center"/>
            </w:pPr>
            <w:r>
              <w:rPr/>
              <w:t xml:space="preserve">6380</w:t>
            </w:r>
          </w:p>
        </w:tc>
        <w:tc>
          <w:tcPr>
            <w:tcBorders/>
            <w:vAlign w:val="center"/>
          </w:tcPr>
          <w:p>
            <w:pPr>
              <w:spacing w:lineRule="auto"/>
              <w:jc w:val="center"/>
            </w:pPr>
            <w:r>
              <w:rPr/>
              <w:t xml:space="preserve">3390</w:t>
            </w:r>
          </w:p>
        </w:tc>
      </w:tr>
      <w:tr>
        <w:trPr>
          <w:cantSplit/>
        </w:trPr>
        <w:tc>
          <w:tcPr>
            <w:tcBorders/>
            <w:vAlign w:val="center"/>
          </w:tcPr>
          <w:p>
            <w:pPr>
              <w:spacing w:lineRule="auto"/>
              <w:jc w:val="left"/>
            </w:pPr>
            <w:r>
              <w:rPr>
                <w:rFonts w:eastAsia="Georgia" w:cs="Georgia" w:ascii="Georgia" w:hAnsi="Georgia"/>
              </w:rPr>
              <w:t xml:space="preserve">Densité globale</w:t>
            </w:r>
          </w:p>
        </w:tc>
        <w:tc>
          <w:tcPr>
            <w:tcBorders/>
            <w:vAlign w:val="center"/>
          </w:tcPr>
          <w:p>
            <w:pPr>
              <w:spacing w:lineRule="auto"/>
              <w:jc w:val="center"/>
            </w:pPr>
            <w:r>
              <w:rPr/>
              <w:t xml:space="preserve">5,5</w:t>
            </w:r>
          </w:p>
        </w:tc>
        <w:tc>
          <w:tcPr>
            <w:tcBorders/>
            <w:vAlign w:val="center"/>
          </w:tcPr>
          <w:p>
            <w:pPr>
              <w:spacing w:lineRule="auto"/>
              <w:jc w:val="center"/>
            </w:pPr>
            <w:r>
              <w:rPr/>
              <w:t xml:space="preserve">3,9</w:t>
            </w:r>
          </w:p>
        </w:tc>
      </w:tr>
    </w:tbl>
    <w:p>
      <w:pPr>
        <w:spacing w:lineRule="auto"/>
      </w:pPr>
    </w:p>
    <w:p>
      <w:pPr>
        <w:spacing w:after="220" w:lineRule="auto"/>
      </w:pPr>
      <w:r>
        <w:rPr/>
        <w:t xml:space="preserve">Grandeurs thermodynamiques entre </w:t>
      </w:r>
      <m:oMath>
        <m:sSup>
          <m:sSupPr/>
          <m:e>
            <m:r>
              <m:rPr>
                <m:sty m:val="p"/>
              </m:rPr>
              <m:t>0</m:t>
            </m:r>
          </m:e>
          <m:sup>
            <m:r>
              <m:rPr>
                <m:sty m:val="p"/>
              </m:rPr>
              <m:t>∘</m:t>
            </m:r>
          </m:sup>
        </m:sSup>
        <m:r>
          <m:rPr>
            <m:sty m:val="p"/>
          </m:rPr>
          <m:t>C</m:t>
        </m:r>
      </m:oMath>
      <w:r>
        <w:rPr/>
        <w:t xml:space="preserve"> et </w:t>
      </w:r>
      <m:oMath>
        <m:sSup>
          <m:sSupPr/>
          <m:e>
            <m:r>
              <m:rPr>
                <m:sty m:val="p"/>
              </m:rPr>
              <m:t>1000</m:t>
            </m:r>
          </m:e>
          <m:sup>
            <m:r>
              <m:rPr>
                <m:sty m:val="p"/>
              </m:rPr>
              <m:t>∘</m:t>
            </m:r>
          </m:sup>
        </m:sSup>
        <m:r>
          <m:rPr>
            <m:sty m:val="p"/>
          </m:rPr>
          <m:t>C</m:t>
        </m:r>
      </m:oMath>
      <w:r>
        <w:rPr/>
        <w:t xml:space="preserve"> (approximation d'Ellingham)</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vAlign w:val="center"/>
          </w:tcPr>
          <w:p/>
        </w:tc>
        <w:tc>
          <w:tcPr>
            <w:tcBorders/>
            <w:vAlign w:val="center"/>
          </w:tcPr>
          <w:p>
            <w:pPr>
              <w:spacing w:lineRule="auto"/>
              <w:jc w:val="center"/>
            </w:pPr>
            <m:oMathPara>
              <m:oMathParaPr>
                <m:jc m:val="center"/>
              </m:oMathParaPr>
              <m:oMath>
                <m:sSub>
                  <m:sSubPr/>
                  <m:e>
                    <m:r>
                      <m:rPr>
                        <m:sty m:val="p"/>
                      </m:rPr>
                      <m:t>CO</m:t>
                    </m:r>
                  </m:e>
                  <m:sub>
                    <m:r>
                      <m:rPr>
                        <m:sty m:val="p"/>
                      </m:rPr>
                      <m:t>2</m:t>
                    </m:r>
                    <m:r>
                      <m:rPr>
                        <m:sty m:val="p"/>
                      </m:rPr>
                      <m:t>(</m:t>
                    </m:r>
                    <m:r>
                      <m:rPr>
                        <m:nor/>
                      </m:rPr>
                      <m:t xml:space="preserve"> </m:t>
                    </m:r>
                    <m:r>
                      <m:rPr>
                        <m:sty m:val="p"/>
                      </m:rPr>
                      <m:t>g</m:t>
                    </m:r>
                    <m:r>
                      <m:rPr>
                        <m:sty m:val="p"/>
                      </m:rPr>
                      <m:t>)</m:t>
                    </m:r>
                  </m:sub>
                </m:sSub>
              </m:oMath>
            </m:oMathPara>
          </w:p>
        </w:tc>
        <w:tc>
          <w:tcPr>
            <w:tcBorders/>
            <w:vAlign w:val="center"/>
          </w:tcPr>
          <w:p>
            <w:pPr>
              <w:spacing w:lineRule="auto"/>
              <w:jc w:val="center"/>
            </w:pPr>
            <m:oMathPara>
              <m:oMathParaPr>
                <m:jc m:val="center"/>
              </m:oMathParaPr>
              <m:oMath>
                <m:sSub>
                  <m:sSubPr/>
                  <m:e>
                    <m:r>
                      <m:rPr>
                        <m:sty m:val="p"/>
                      </m:rPr>
                      <m:t>O</m:t>
                    </m:r>
                  </m:e>
                  <m:sub>
                    <m:r>
                      <m:rPr>
                        <m:sty m:val="p"/>
                      </m:rPr>
                      <m:t>2</m:t>
                    </m:r>
                    <m:r>
                      <m:rPr>
                        <m:sty m:val="p"/>
                      </m:rPr>
                      <m:t>(</m:t>
                    </m:r>
                    <m:r>
                      <m:rPr>
                        <m:nor/>
                      </m:rPr>
                      <m:t xml:space="preserve"> </m:t>
                    </m:r>
                    <m:r>
                      <m:rPr>
                        <m:sty m:val="p"/>
                      </m:rPr>
                      <m:t>g</m:t>
                    </m:r>
                    <m:r>
                      <m:rPr>
                        <m:sty m:val="p"/>
                      </m:rPr>
                      <m:t>)</m:t>
                    </m:r>
                  </m:sub>
                </m:sSub>
              </m:oMath>
            </m:oMathPara>
          </w:p>
        </w:tc>
        <w:tc>
          <w:tcPr>
            <w:tcBorders/>
            <w:vAlign w:val="center"/>
          </w:tcPr>
          <w:p>
            <w:pPr>
              <w:spacing w:lineRule="auto"/>
              <w:jc w:val="center"/>
            </w:pPr>
            <m:oMathPara>
              <m:oMathParaPr>
                <m:jc m:val="center"/>
              </m:oMathParaPr>
              <m:oMath>
                <m:sSub>
                  <m:sSubPr/>
                  <m:e>
                    <m:r>
                      <m:rPr>
                        <m:sty m:val="p"/>
                      </m:rPr>
                      <m:t>CO</m:t>
                    </m:r>
                  </m:e>
                  <m:sub>
                    <m:r>
                      <m:rPr>
                        <m:sty m:val="p"/>
                      </m:rPr>
                      <m:t>(</m:t>
                    </m:r>
                    <m:r>
                      <m:rPr>
                        <m:sty m:val="p"/>
                      </m:rPr>
                      <m:t>g</m:t>
                    </m:r>
                    <m:r>
                      <m:rPr>
                        <m:sty m:val="p"/>
                      </m:rPr>
                      <m:t>)</m:t>
                    </m:r>
                  </m:sub>
                </m:sSub>
              </m:oMath>
            </m:oMathPara>
          </w:p>
        </w:tc>
        <w:tc>
          <w:tcPr>
            <w:tcBorders/>
            <w:vAlign w:val="center"/>
          </w:tcPr>
          <w:p>
            <w:pPr>
              <w:spacing w:lineRule="auto"/>
              <w:jc w:val="center"/>
            </w:pPr>
            <m:oMathPara>
              <m:oMathParaPr>
                <m:jc m:val="center"/>
              </m:oMathParaPr>
              <m:oMath>
                <m:sSub>
                  <m:sSubPr/>
                  <m:e>
                    <m:r>
                      <m:rPr>
                        <m:sty m:val="p"/>
                      </m:rPr>
                      <m:t>H</m:t>
                    </m:r>
                  </m:e>
                  <m:sub>
                    <m:r>
                      <m:rPr>
                        <m:sty m:val="p"/>
                      </m:rPr>
                      <m:t>2</m:t>
                    </m:r>
                    <m:r>
                      <m:rPr>
                        <m:sty m:val="p"/>
                      </m:rPr>
                      <m:t>(</m:t>
                    </m:r>
                    <m:r>
                      <m:rPr>
                        <m:nor/>
                      </m:rPr>
                      <m:t xml:space="preserve"> </m:t>
                    </m:r>
                    <m:r>
                      <m:rPr>
                        <m:sty m:val="p"/>
                      </m:rPr>
                      <m:t>g</m:t>
                    </m:r>
                    <m:r>
                      <m:rPr>
                        <m:sty m:val="p"/>
                      </m:rPr>
                      <m:t>)</m:t>
                    </m:r>
                  </m:sub>
                </m:sSub>
              </m:oMath>
            </m:oMathPara>
          </w:p>
        </w:tc>
        <w:tc>
          <w:tcPr>
            <w:tcBorders/>
            <w:vAlign w:val="center"/>
          </w:tcPr>
          <w:p>
            <w:pPr>
              <w:spacing w:lineRule="auto"/>
              <w:jc w:val="center"/>
            </w:pPr>
            <m:oMathPara>
              <m:oMathParaPr>
                <m:jc m:val="center"/>
              </m:oMathParaPr>
              <m:oMath>
                <m:sSub>
                  <m:sSubPr/>
                  <m:e>
                    <m:r>
                      <m:rPr>
                        <m:sty m:val="p"/>
                      </m:rPr>
                      <m:t>H</m:t>
                    </m:r>
                  </m:e>
                  <m:sub>
                    <m:r>
                      <m:rPr>
                        <m:sty m:val="p"/>
                      </m:rPr>
                      <m:t>2</m:t>
                    </m:r>
                  </m:sub>
                </m:sSub>
                <m:sSub>
                  <m:sSubPr/>
                  <m:e>
                    <m:r>
                      <m:rPr>
                        <m:sty m:val="p"/>
                      </m:rPr>
                      <m:t>O</m:t>
                    </m:r>
                  </m:e>
                  <m:sub>
                    <m:r>
                      <m:rPr>
                        <m:sty m:val="p"/>
                      </m:rPr>
                      <m:t>(</m:t>
                    </m:r>
                    <m:r>
                      <m:rPr>
                        <m:sty m:val="p"/>
                      </m:rPr>
                      <m:t>g</m:t>
                    </m:r>
                    <m:r>
                      <m:rPr>
                        <m:sty m:val="p"/>
                      </m:rPr>
                      <m:t>)</m:t>
                    </m:r>
                  </m:sub>
                </m:sSub>
              </m:oMath>
            </m:oMathPara>
          </w:p>
        </w:tc>
      </w:tr>
      <w:tr>
        <w:trPr>
          <w:cantSplit/>
        </w:trPr>
        <w:tc>
          <w:tcPr>
            <w:tcBorders/>
            <w:vAlign w:val="center"/>
          </w:tcPr>
          <w:p>
            <w:pPr>
              <w:spacing w:lineRule="auto"/>
              <w:jc w:val="left"/>
            </w:pPr>
            <w:r>
              <w:rPr/>
              <w:t xml:space="preserve">Enthalpie standard de formation </w:t>
            </w:r>
            <m:oMath>
              <m:d>
                <m:dPr>
                  <m:begChr m:val="("/>
                  <m:endChr m:val=")"/>
                  <m:ctrlPr>
                    <w:rPr>
                      <w:rFonts w:ascii="Cambria Math" w:hAnsi="Cambria Math"/>
                    </w:rPr>
                  </m:ctrlPr>
                </m:dPr>
                <m:e>
                  <m:r>
                    <m:rPr>
                      <m:sty m:val="p"/>
                    </m:rPr>
                    <m:t>kJ</m:t>
                  </m:r>
                  <m:r>
                    <m:rPr>
                      <m:sty m:val="p"/>
                    </m:rPr>
                    <m:t>⋅</m:t>
                  </m:r>
                  <m:sSup>
                    <m:sSupPr/>
                    <m:e>
                      <m:r>
                        <m:rPr>
                          <m:sty m:val="p"/>
                        </m:rPr>
                        <m:t>mol</m:t>
                      </m:r>
                    </m:e>
                    <m:sup>
                      <m:r>
                        <m:rPr>
                          <m:sty m:val="p"/>
                        </m:rPr>
                        <m:t>−</m:t>
                      </m:r>
                      <m:r>
                        <m:rPr>
                          <m:sty m:val="p"/>
                        </m:rPr>
                        <m:t>1</m:t>
                      </m:r>
                    </m:sup>
                  </m:sSup>
                </m:e>
              </m:d>
            </m:oMath>
          </w:p>
        </w:tc>
        <w:tc>
          <w:tcPr>
            <w:tcBorders/>
            <w:vAlign w:val="center"/>
          </w:tcPr>
          <w:p>
            <w:pPr>
              <w:spacing w:lineRule="auto"/>
              <w:jc w:val="center"/>
            </w:pPr>
            <w:r>
              <w:rPr/>
              <w:t xml:space="preserve">-394</w:t>
            </w:r>
          </w:p>
        </w:tc>
        <w:tc>
          <w:tcPr>
            <w:tcBorders/>
            <w:vAlign w:val="center"/>
          </w:tcPr>
          <w:p/>
        </w:tc>
        <w:tc>
          <w:tcPr>
            <w:tcBorders/>
            <w:vAlign w:val="center"/>
          </w:tcPr>
          <w:p>
            <w:pPr>
              <w:spacing w:lineRule="auto"/>
              <w:jc w:val="center"/>
            </w:pPr>
            <w:r>
              <w:rPr/>
              <w:t xml:space="preserve">-111</w:t>
            </w:r>
          </w:p>
        </w:tc>
        <w:tc>
          <w:tcPr>
            <w:tcBorders/>
            <w:vAlign w:val="center"/>
          </w:tcPr>
          <w:p/>
        </w:tc>
        <w:tc>
          <w:tcPr>
            <w:tcBorders/>
            <w:vAlign w:val="center"/>
          </w:tcPr>
          <w:p>
            <w:pPr>
              <w:spacing w:lineRule="auto"/>
              <w:jc w:val="center"/>
            </w:pPr>
            <w:r>
              <w:rPr/>
              <w:t xml:space="preserve">-242</w:t>
            </w:r>
          </w:p>
        </w:tc>
      </w:tr>
      <w:tr>
        <w:trPr>
          <w:cantSplit/>
        </w:trPr>
        <w:tc>
          <w:tcPr>
            <w:tcBorders/>
            <w:vAlign w:val="center"/>
          </w:tcPr>
          <w:p>
            <w:pPr>
              <w:spacing w:lineRule="auto"/>
              <w:jc w:val="left"/>
            </w:pPr>
            <w:r>
              <w:rPr/>
              <w:t xml:space="preserve">Entropie standard molaire </w:t>
            </w:r>
            <m:oMath>
              <m:d>
                <m:dPr>
                  <m:begChr m:val="("/>
                  <m:endChr m:val=")"/>
                  <m:ctrlPr>
                    <w:rPr>
                      <w:rFonts w:ascii="Cambria Math" w:hAnsi="Cambria Math"/>
                    </w:rPr>
                  </m:ctrlPr>
                </m:dPr>
                <m:e>
                  <m:r>
                    <m:rPr>
                      <m:sty m:val="p"/>
                    </m:rPr>
                    <m:t>J</m:t>
                  </m:r>
                  <m:r>
                    <m:rPr>
                      <m:sty m:val="p"/>
                    </m:rPr>
                    <m:t>⋅</m:t>
                  </m:r>
                  <m:sSup>
                    <m:sSupPr/>
                    <m:e>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e>
              </m:d>
            </m:oMath>
          </w:p>
        </w:tc>
        <w:tc>
          <w:tcPr>
            <w:tcBorders/>
            <w:vAlign w:val="center"/>
          </w:tcPr>
          <w:p>
            <w:pPr>
              <w:spacing w:lineRule="auto"/>
              <w:jc w:val="center"/>
            </w:pPr>
            <w:r>
              <w:rPr/>
              <w:t xml:space="preserve">214</w:t>
            </w:r>
          </w:p>
        </w:tc>
        <w:tc>
          <w:tcPr>
            <w:tcBorders/>
            <w:vAlign w:val="center"/>
          </w:tcPr>
          <w:p>
            <w:pPr>
              <w:spacing w:lineRule="auto"/>
              <w:jc w:val="center"/>
            </w:pPr>
            <w:r>
              <w:rPr/>
              <w:t xml:space="preserve">237</w:t>
            </w:r>
          </w:p>
        </w:tc>
        <w:tc>
          <w:tcPr>
            <w:tcBorders/>
            <w:vAlign w:val="center"/>
          </w:tcPr>
          <w:p>
            <w:pPr>
              <w:spacing w:lineRule="auto"/>
              <w:jc w:val="center"/>
            </w:pPr>
            <w:r>
              <w:rPr/>
              <w:t xml:space="preserve">198</w:t>
            </w:r>
          </w:p>
        </w:tc>
        <w:tc>
          <w:tcPr>
            <w:tcBorders/>
            <w:vAlign w:val="center"/>
          </w:tcPr>
          <w:p>
            <w:pPr>
              <w:spacing w:lineRule="auto"/>
              <w:jc w:val="center"/>
            </w:pPr>
            <w:r>
              <w:rPr/>
              <w:t xml:space="preserve">130</w:t>
            </w:r>
          </w:p>
        </w:tc>
        <w:tc>
          <w:tcPr>
            <w:tcBorders/>
            <w:vAlign w:val="center"/>
          </w:tcPr>
          <w:p>
            <w:pPr>
              <w:spacing w:lineRule="auto"/>
              <w:jc w:val="center"/>
            </w:pPr>
            <w:r>
              <w:rPr/>
              <w:t xml:space="preserve">189</w:t>
            </w:r>
          </w:p>
        </w:tc>
      </w:tr>
      <w:tr>
        <w:trPr>
          <w:cantSplit/>
        </w:trPr>
        <w:tc>
          <w:tcPr>
            <w:tcBorders/>
            <w:vAlign w:val="center"/>
          </w:tcPr>
          <w:p>
            <w:pPr>
              <w:spacing w:lineRule="auto"/>
              <w:jc w:val="left"/>
            </w:pPr>
            <w:r>
              <w:rPr>
                <w:rFonts w:eastAsia="Georgia" w:cs="Georgia" w:ascii="Georgia" w:hAnsi="Georgia"/>
              </w:rPr>
              <w:t xml:space="preserve">Capacité thermique molaire </w:t>
            </w:r>
            <m:oMath>
              <m:d>
                <m:dPr>
                  <m:begChr m:val="("/>
                  <m:endChr m:val=")"/>
                  <m:ctrlPr>
                    <w:rPr>
                      <w:rFonts w:ascii="Cambria Math" w:hAnsi="Cambria Math"/>
                    </w:rPr>
                  </m:ctrlPr>
                </m:dPr>
                <m:e>
                  <m:r>
                    <m:rPr>
                      <m:sty m:val="p"/>
                    </m:rPr>
                    <m:t>J</m:t>
                  </m:r>
                  <m:r>
                    <m:rPr>
                      <m:sty m:val="p"/>
                    </m:rPr>
                    <m:t>⋅</m:t>
                  </m:r>
                  <m:sSup>
                    <m:sSupPr/>
                    <m:e>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e>
              </m:d>
            </m:oMath>
          </w:p>
        </w:tc>
        <w:tc>
          <w:tcPr>
            <w:tcBorders/>
            <w:vAlign w:val="center"/>
          </w:tcPr>
          <w:p>
            <w:pPr>
              <w:spacing w:lineRule="auto"/>
              <w:jc w:val="center"/>
            </w:pPr>
            <w:r>
              <w:rPr/>
              <w:t xml:space="preserve">49,0</w:t>
            </w:r>
          </w:p>
        </w:tc>
        <w:tc>
          <w:tcPr>
            <w:tcBorders/>
            <w:vAlign w:val="center"/>
          </w:tcPr>
          <w:p>
            <w:pPr>
              <w:spacing w:lineRule="auto"/>
              <w:jc w:val="center"/>
            </w:pPr>
            <w:r>
              <w:rPr/>
              <w:t xml:space="preserve">34,0</w:t>
            </w:r>
          </w:p>
        </w:tc>
        <w:tc>
          <w:tcPr>
            <w:tcBorders/>
            <w:vAlign w:val="center"/>
          </w:tcPr>
          <w:p>
            <w:pPr>
              <w:spacing w:lineRule="auto"/>
              <w:jc w:val="center"/>
            </w:pPr>
            <w:r>
              <w:rPr/>
              <w:t xml:space="preserve">32,0</w:t>
            </w:r>
          </w:p>
        </w:tc>
        <w:tc>
          <w:tcPr>
            <w:tcBorders/>
            <w:vAlign w:val="center"/>
          </w:tcPr>
          <w:p>
            <w:pPr>
              <w:spacing w:lineRule="auto"/>
              <w:jc w:val="center"/>
            </w:pPr>
            <w:r>
              <w:rPr/>
              <w:t xml:space="preserve">30,0</w:t>
            </w:r>
          </w:p>
        </w:tc>
        <w:tc>
          <w:tcPr>
            <w:tcBorders/>
            <w:vAlign w:val="center"/>
          </w:tcPr>
          <w:p>
            <w:pPr>
              <w:spacing w:lineRule="auto"/>
              <w:jc w:val="center"/>
            </w:pPr>
            <w:r>
              <w:rPr/>
              <w:t xml:space="preserve">37,0</w:t>
            </w:r>
          </w:p>
        </w:tc>
      </w:tr>
    </w:tbl>
    <w:p>
      <w:pPr>
        <w:spacing w:lineRule="auto"/>
      </w:pPr>
    </w:p>
    <w:p>
      <w:pPr>
        <w:spacing w:after="220" w:lineRule="auto"/>
      </w:pPr>
      <w:r>
        <w:rPr/>
        <w:t xml:space="preserve">Au sujet de E. coli</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Notation</w:t>
            </w:r>
          </w:p>
        </w:tc>
        <w:tc>
          <w:tcPr>
            <w:tcBorders>
              <w:top w:val="single" w:sz="8" w:space="0" w:color="000000"/>
              <w:bottom w:val="single" w:sz="8" w:space="0" w:color="000000"/>
              <w:right w:val="single" w:sz="8" w:space="0" w:color="000000"/>
            </w:tcBorders>
            <w:vAlign w:val="center"/>
          </w:tcPr>
          <w:p>
            <w:pPr>
              <w:spacing w:lineRule="auto"/>
              <w:jc w:val="left"/>
            </w:pPr>
            <w:r>
              <w:rPr/>
              <w:t xml:space="preserve">Valeurs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Production de </w:t>
            </w:r>
            <m:oMath>
              <m:sSub>
                <m:sSubPr/>
                <m:e>
                  <m:r>
                    <m:rPr>
                      <m:sty m:val="p"/>
                    </m:rPr>
                    <m:t>H</m:t>
                  </m:r>
                </m:e>
                <m:sub>
                  <m:r>
                    <m:rPr>
                      <m:sty m:val="p"/>
                    </m:rPr>
                    <m:t>2</m:t>
                  </m:r>
                </m:sub>
              </m:sSub>
              <m:sSub>
                <m:sSubPr/>
                <m:e>
                  <m:r>
                    <m:rPr>
                      <m:sty m:val="p"/>
                    </m:rPr>
                    <m:t>O</m:t>
                  </m:r>
                </m:e>
                <m:sub>
                  <m:r>
                    <m:rPr>
                      <m:sty m:val="p"/>
                    </m:rPr>
                    <m:t>2</m:t>
                  </m:r>
                </m:sub>
              </m:sSub>
            </m:oMath>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k</m:t>
                    </m:r>
                  </m:e>
                  <m:sub>
                    <m:r>
                      <m:rPr>
                        <m:sty m:val="i"/>
                      </m:rPr>
                      <m:t>p</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15</m:t>
                </m:r>
                <m:r>
                  <m:rPr>
                    <m:sty m:val="i"/>
                  </m:rPr>
                  <m:t>μ</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r>
                  <m:rPr>
                    <m:sty m:val="p"/>
                  </m:rPr>
                  <m:t>⋅</m:t>
                </m:r>
                <m:sSup>
                  <m:sSupPr/>
                  <m:e>
                    <m:r>
                      <m:rPr>
                        <m:nor/>
                      </m:rPr>
                      <m:t xml:space="preserve"> </m:t>
                    </m:r>
                    <m:r>
                      <m:rPr>
                        <m:sty m:val="p"/>
                      </m:rPr>
                      <m:t>s</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Constante de Michaelis pour Catalase</w:t>
            </w:r>
          </w:p>
        </w:tc>
        <w:tc>
          <w:tcPr>
            <w:tcBorders>
              <w:bottom w:val="single" w:sz="8" w:space="0" w:color="000000"/>
              <w:right w:val="single" w:sz="8" w:space="0" w:color="000000"/>
            </w:tcBorders>
            <w:vAlign w:val="center"/>
          </w:tcPr>
          <w:p>
            <w:pPr>
              <w:spacing w:lineRule="auto"/>
              <w:jc w:val="left"/>
            </w:pPr>
            <m:oMathPara>
              <m:oMathParaPr>
                <m:jc m:val="left"/>
              </m:oMathParaPr>
              <m:oMath>
                <m:sSubSup>
                  <m:sSubSupPr/>
                  <m:e>
                    <m:r>
                      <m:rPr>
                        <m:sty m:val="i"/>
                      </m:rPr>
                      <m:t>K</m:t>
                    </m:r>
                  </m:e>
                  <m:sub>
                    <m:r>
                      <m:rPr>
                        <m:sty m:val="i"/>
                      </m:rPr>
                      <m:t>M</m:t>
                    </m:r>
                  </m:sub>
                  <m:sup>
                    <m:r>
                      <m:rPr>
                        <m:nor/>
                      </m:rPr>
                      <m:t>Cat </m:t>
                    </m:r>
                  </m:sup>
                </m:sSubSup>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5</m:t>
                </m:r>
                <m:r>
                  <m:rPr>
                    <m:sty m:val="p"/>
                  </m:rPr>
                  <m:t>,</m:t>
                </m:r>
                <m:r>
                  <m:rPr>
                    <m:sty m:val="p"/>
                  </m:rPr>
                  <m:t>9</m:t>
                </m:r>
                <m:r>
                  <m:rPr>
                    <m:sty m:val="p"/>
                  </m:rPr>
                  <m:t>×</m:t>
                </m:r>
                <m:sSup>
                  <m:sSupPr/>
                  <m:e>
                    <m:r>
                      <m:rPr>
                        <m:sty m:val="p"/>
                      </m:rPr>
                      <m:t>10</m:t>
                    </m:r>
                  </m:e>
                  <m:sup>
                    <m:r>
                      <m:rPr>
                        <m:sty m:val="p"/>
                      </m:rPr>
                      <m:t>−</m:t>
                    </m:r>
                    <m:r>
                      <m:rPr>
                        <m:sty m:val="p"/>
                      </m:rPr>
                      <m:t>3</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Constante de Michaelis pour Ahp</w:t>
            </w:r>
          </w:p>
        </w:tc>
        <w:tc>
          <w:tcPr>
            <w:tcBorders>
              <w:bottom w:val="single" w:sz="8" w:space="0" w:color="000000"/>
              <w:right w:val="single" w:sz="8" w:space="0" w:color="000000"/>
            </w:tcBorders>
            <w:vAlign w:val="center"/>
          </w:tcPr>
          <w:p>
            <w:pPr>
              <w:spacing w:lineRule="auto"/>
              <w:jc w:val="left"/>
            </w:pPr>
            <m:oMathPara>
              <m:oMathParaPr>
                <m:jc m:val="left"/>
              </m:oMathParaPr>
              <m:oMath>
                <m:sSubSup>
                  <m:sSubSupPr/>
                  <m:e>
                    <m:r>
                      <m:rPr>
                        <m:sty m:val="i"/>
                      </m:rPr>
                      <m:t>K</m:t>
                    </m:r>
                  </m:e>
                  <m:sub>
                    <m:r>
                      <m:rPr>
                        <m:sty m:val="i"/>
                      </m:rPr>
                      <m:t>M</m:t>
                    </m:r>
                  </m:sub>
                  <m:sup>
                    <m:r>
                      <m:rPr>
                        <m:sty m:val="p"/>
                      </m:rPr>
                      <m:t>Ahp</m:t>
                    </m:r>
                  </m:sup>
                </m:sSubSup>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m:t>
                </m:r>
                <m:r>
                  <m:rPr>
                    <m:sty m:val="p"/>
                  </m:rPr>
                  <m:t>,</m:t>
                </m:r>
                <m:r>
                  <m:rPr>
                    <m:sty m:val="p"/>
                  </m:rPr>
                  <m:t>2</m:t>
                </m:r>
                <m:r>
                  <m:rPr>
                    <m:sty m:val="p"/>
                  </m:rPr>
                  <m:t>×</m:t>
                </m:r>
                <m:sSup>
                  <m:sSupPr/>
                  <m:e>
                    <m:r>
                      <m:rPr>
                        <m:sty m:val="p"/>
                      </m:rPr>
                      <m:t>10</m:t>
                    </m:r>
                  </m:e>
                  <m:sup>
                    <m:r>
                      <m:rPr>
                        <m:sty m:val="p"/>
                      </m:rPr>
                      <m:t>−</m:t>
                    </m:r>
                    <m:r>
                      <m:rPr>
                        <m:sty m:val="p"/>
                      </m:rPr>
                      <m:t>6</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Vitesse maximale pour Catalase</w:t>
            </w:r>
          </w:p>
        </w:tc>
        <w:tc>
          <w:tcPr>
            <w:tcBorders>
              <w:bottom w:val="single" w:sz="8" w:space="0" w:color="000000"/>
              <w:right w:val="single" w:sz="8" w:space="0" w:color="000000"/>
            </w:tcBorders>
            <w:vAlign w:val="center"/>
          </w:tcPr>
          <w:p>
            <w:pPr>
              <w:spacing w:lineRule="auto"/>
              <w:jc w:val="left"/>
            </w:pPr>
            <m:oMathPara>
              <m:oMathParaPr>
                <m:jc m:val="left"/>
              </m:oMathParaPr>
              <m:oMath>
                <m:sSubSup>
                  <m:sSubSupPr/>
                  <m:e>
                    <m:r>
                      <m:rPr>
                        <m:sty m:val="i"/>
                      </m:rPr>
                      <m:t>v</m:t>
                    </m:r>
                  </m:e>
                  <m:sub>
                    <m:r>
                      <m:rPr>
                        <m:nor/>
                      </m:rPr>
                      <m:t>max </m:t>
                    </m:r>
                  </m:sub>
                  <m:sup>
                    <m:r>
                      <m:rPr>
                        <m:nor/>
                      </m:rPr>
                      <m:t>Cat </m:t>
                    </m:r>
                  </m:sup>
                </m:sSubSup>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4</m:t>
                </m:r>
                <m:r>
                  <m:rPr>
                    <m:sty m:val="p"/>
                  </m:rPr>
                  <m:t>,</m:t>
                </m:r>
                <m:r>
                  <m:rPr>
                    <m:sty m:val="p"/>
                  </m:rPr>
                  <m:t>9</m:t>
                </m:r>
                <m:r>
                  <m:rPr>
                    <m:sty m:val="p"/>
                  </m:rPr>
                  <m:t>×</m:t>
                </m:r>
                <m:sSup>
                  <m:sSupPr/>
                  <m:e>
                    <m:r>
                      <m:rPr>
                        <m:sty m:val="p"/>
                      </m:rPr>
                      <m:t>10</m:t>
                    </m:r>
                  </m:e>
                  <m:sup>
                    <m:r>
                      <m:rPr>
                        <m:sty m:val="p"/>
                      </m:rPr>
                      <m:t>−</m:t>
                    </m:r>
                    <m:r>
                      <m:rPr>
                        <m:sty m:val="p"/>
                      </m:rPr>
                      <m:t>1</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r>
                  <m:rPr>
                    <m:sty m:val="p"/>
                  </m:rPr>
                  <m:t>⋅</m:t>
                </m:r>
                <m:sSup>
                  <m:sSupPr/>
                  <m:e>
                    <m:r>
                      <m:rPr>
                        <m:nor/>
                      </m:rPr>
                      <m:t xml:space="preserve"> </m:t>
                    </m:r>
                    <m:r>
                      <m:rPr>
                        <m:sty m:val="p"/>
                      </m:rPr>
                      <m:t>s</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Vitesse maximale pour Ahp</w:t>
            </w:r>
          </w:p>
        </w:tc>
        <w:tc>
          <w:tcPr>
            <w:tcBorders>
              <w:bottom w:val="single" w:sz="8" w:space="0" w:color="000000"/>
              <w:right w:val="single" w:sz="8" w:space="0" w:color="000000"/>
            </w:tcBorders>
            <w:vAlign w:val="center"/>
          </w:tcPr>
          <w:p>
            <w:pPr>
              <w:spacing w:lineRule="auto"/>
              <w:jc w:val="left"/>
            </w:pPr>
            <m:oMathPara>
              <m:oMathParaPr>
                <m:jc m:val="left"/>
              </m:oMathParaPr>
              <m:oMath>
                <m:sSubSup>
                  <m:sSubSupPr/>
                  <m:e>
                    <m:r>
                      <m:rPr>
                        <m:sty m:val="i"/>
                      </m:rPr>
                      <m:t>v</m:t>
                    </m:r>
                  </m:e>
                  <m:sub>
                    <m:r>
                      <m:rPr>
                        <m:nor/>
                      </m:rPr>
                      <m:t>max </m:t>
                    </m:r>
                  </m:sub>
                  <m:sup>
                    <m:r>
                      <m:rPr>
                        <m:nor/>
                      </m:rPr>
                      <m:t>Ahp </m:t>
                    </m:r>
                  </m:sup>
                </m:sSubSup>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6</m:t>
                </m:r>
                <m:r>
                  <m:rPr>
                    <m:sty m:val="p"/>
                  </m:rPr>
                  <m:t>,</m:t>
                </m:r>
                <m:r>
                  <m:rPr>
                    <m:sty m:val="p"/>
                  </m:rPr>
                  <m:t>6</m:t>
                </m:r>
                <m:r>
                  <m:rPr>
                    <m:sty m:val="p"/>
                  </m:rPr>
                  <m:t>×</m:t>
                </m:r>
                <m:sSup>
                  <m:sSupPr/>
                  <m:e>
                    <m:r>
                      <m:rPr>
                        <m:sty m:val="p"/>
                      </m:rPr>
                      <m:t>10</m:t>
                    </m:r>
                  </m:e>
                  <m:sup>
                    <m:r>
                      <m:rPr>
                        <m:sty m:val="p"/>
                      </m:rPr>
                      <m:t>−</m:t>
                    </m:r>
                    <m:r>
                      <m:rPr>
                        <m:sty m:val="p"/>
                      </m:rPr>
                      <m:t>4</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r>
                  <m:rPr>
                    <m:sty m:val="p"/>
                  </m:rPr>
                  <m:t>⋅</m:t>
                </m:r>
                <m:sSup>
                  <m:sSupPr/>
                  <m:e>
                    <m:r>
                      <m:rPr>
                        <m:nor/>
                      </m:rPr>
                      <m:t xml:space="preserve"> </m:t>
                    </m:r>
                    <m:r>
                      <m:rPr>
                        <m:sty m:val="p"/>
                      </m:rPr>
                      <m:t>s</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Coefficient de diffusion membranaire pour </w:t>
            </w:r>
            <m:oMath>
              <m:sSub>
                <m:sSubPr/>
                <m:e>
                  <m:r>
                    <m:rPr>
                      <m:sty m:val="p"/>
                    </m:rPr>
                    <m:t>H</m:t>
                  </m:r>
                </m:e>
                <m:sub>
                  <m:r>
                    <m:rPr>
                      <m:sty m:val="p"/>
                    </m:rPr>
                    <m:t>2</m:t>
                  </m:r>
                </m:sub>
              </m:sSub>
              <m:sSub>
                <m:sSubPr/>
                <m:e>
                  <m:r>
                    <m:rPr>
                      <m:sty m:val="p"/>
                    </m:rPr>
                    <m:t>O</m:t>
                  </m:r>
                </m:e>
                <m:sub>
                  <m:r>
                    <m:rPr>
                      <m:sty m:val="p"/>
                    </m:rPr>
                    <m:t>2</m:t>
                  </m:r>
                </m:sub>
              </m:sSub>
            </m:oMath>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D</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m:t>
                </m:r>
                <m:r>
                  <m:rPr>
                    <m:sty m:val="p"/>
                  </m:rPr>
                  <m:t>,</m:t>
                </m:r>
                <m:r>
                  <m:rPr>
                    <m:sty m:val="p"/>
                  </m:rPr>
                  <m:t>0</m:t>
                </m:r>
                <m:r>
                  <m:rPr>
                    <m:sty m:val="p"/>
                  </m:rPr>
                  <m:t>×</m:t>
                </m:r>
                <m:sSup>
                  <m:sSupPr/>
                  <m:e>
                    <m:r>
                      <m:rPr>
                        <m:sty m:val="p"/>
                      </m:rPr>
                      <m:t>10</m:t>
                    </m:r>
                  </m:e>
                  <m:sup>
                    <m:r>
                      <m:rPr>
                        <m:sty m:val="p"/>
                      </m:rPr>
                      <m:t>−</m:t>
                    </m:r>
                    <m:r>
                      <m:rPr>
                        <m:sty m:val="p"/>
                      </m:rPr>
                      <m:t>13</m:t>
                    </m:r>
                  </m:sup>
                </m:sSup>
                <m:sSup>
                  <m:sSupPr/>
                  <m:e>
                    <m:r>
                      <m:rPr>
                        <m:nor/>
                      </m:rPr>
                      <m:t xml:space="preserve"> </m:t>
                    </m:r>
                    <m:r>
                      <m:rPr>
                        <m:sty m:val="p"/>
                      </m:rPr>
                      <m:t>m</m:t>
                    </m:r>
                  </m:e>
                  <m:sup>
                    <m:r>
                      <m:rPr>
                        <m:sty m:val="p"/>
                      </m:rPr>
                      <m:t>2</m:t>
                    </m:r>
                  </m:sup>
                </m:sSup>
                <m:r>
                  <m:rPr>
                    <m:sty m:val="p"/>
                  </m:rPr>
                  <m:t>⋅</m:t>
                </m:r>
                <m:sSup>
                  <m:sSupPr/>
                  <m:e>
                    <m:r>
                      <m:rPr>
                        <m:nor/>
                      </m:rPr>
                      <m:t xml:space="preserve"> </m:t>
                    </m:r>
                    <m:r>
                      <m:rPr>
                        <m:sty m:val="p"/>
                      </m:rPr>
                      <m:t>s</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Volume d'une bactérie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V</m:t>
                    </m:r>
                  </m:e>
                  <m:sub>
                    <m:r>
                      <m:rPr>
                        <m:sty m:val="i"/>
                      </m:rPr>
                      <m:t>i</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3</m:t>
                </m:r>
                <m:r>
                  <m:rPr>
                    <m:sty m:val="p"/>
                  </m:rPr>
                  <m:t>,</m:t>
                </m:r>
                <m:r>
                  <m:rPr>
                    <m:sty m:val="p"/>
                  </m:rPr>
                  <m:t>2</m:t>
                </m:r>
                <m:r>
                  <m:rPr>
                    <m:sty m:val="p"/>
                  </m:rPr>
                  <m:t>×</m:t>
                </m:r>
                <m:sSup>
                  <m:sSupPr/>
                  <m:e>
                    <m:r>
                      <m:rPr>
                        <m:sty m:val="p"/>
                      </m:rPr>
                      <m:t>10</m:t>
                    </m:r>
                  </m:e>
                  <m:sup>
                    <m:r>
                      <m:rPr>
                        <m:sty m:val="p"/>
                      </m:rPr>
                      <m:t>−</m:t>
                    </m:r>
                    <m:r>
                      <m:rPr>
                        <m:sty m:val="p"/>
                      </m:rPr>
                      <m:t>15</m:t>
                    </m:r>
                  </m:sup>
                </m:sSup>
                <m:r>
                  <m:rPr>
                    <m:nor/>
                  </m:rPr>
                  <m:t xml:space="preserve"> </m:t>
                </m:r>
                <m:r>
                  <m:rPr>
                    <m:sty m:val="p"/>
                  </m:rPr>
                  <m:t>L</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Épaisseur de la paroi</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e</m:t>
                </m:r>
              </m:oMath>
            </m:oMathPara>
          </w:p>
        </w:tc>
        <w:tc>
          <w:tcPr>
            <w:tcBorders>
              <w:bottom w:val="single" w:sz="8" w:space="0" w:color="000000"/>
              <w:right w:val="single" w:sz="8" w:space="0" w:color="000000"/>
            </w:tcBorders>
            <w:vAlign w:val="center"/>
          </w:tcPr>
          <w:p>
            <w:pPr>
              <w:spacing w:lineRule="auto"/>
              <w:jc w:val="left"/>
            </w:pPr>
            <w:r>
              <w:rPr/>
              <w:t xml:space="preserve">9 nm</w:t>
            </w:r>
          </w:p>
        </w:tc>
      </w:tr>
    </w:tbl>
    <w:p>
      <w:pPr>
        <w:spacing w:lineRule="auto"/>
      </w:pP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p>
                  <m:sSupPr/>
                  <m:e>
                    <m:r>
                      <m:rPr>
                        <m:sty m:val="i"/>
                      </m:rPr>
                      <m:t>E</m:t>
                    </m:r>
                  </m:e>
                  <m:sup>
                    <m:r>
                      <m:rPr>
                        <m:sty m:val="p"/>
                      </m:rPr>
                      <m:t>∘</m:t>
                    </m:r>
                  </m:sup>
                </m:sSup>
                <m:d>
                  <m:dPr>
                    <m:begChr m:val="("/>
                    <m:endChr m:val=")"/>
                    <m:ctrlPr>
                      <w:rPr>
                        <w:rFonts w:ascii="Cambria Math" w:hAnsi="Cambria Math"/>
                      </w:rPr>
                    </m:ctrlPr>
                  </m:dPr>
                  <m:e>
                    <m:sSub>
                      <m:sSubPr/>
                      <m:e>
                        <m:r>
                          <m:rPr>
                            <m:sty m:val="p"/>
                          </m:rPr>
                          <m:t>H</m:t>
                        </m:r>
                      </m:e>
                      <m:sub>
                        <m:r>
                          <m:rPr>
                            <m:sty m:val="p"/>
                          </m:rPr>
                          <m:t>2</m:t>
                        </m:r>
                      </m:sub>
                    </m:sSub>
                    <m:sSub>
                      <m:sSubPr/>
                      <m:e>
                        <m:r>
                          <m:rPr>
                            <m:sty m:val="p"/>
                          </m:rPr>
                          <m:t>O</m:t>
                        </m:r>
                      </m:e>
                      <m:sub>
                        <m:r>
                          <m:rPr>
                            <m:sty m:val="p"/>
                          </m:rPr>
                          <m:t>2</m:t>
                        </m:r>
                      </m:sub>
                    </m:sSub>
                    <m:r>
                      <m:rPr>
                        <m:sty m:val="p"/>
                      </m:rPr>
                      <m:t>/</m:t>
                    </m:r>
                    <m:sSub>
                      <m:sSubPr/>
                      <m:e>
                        <m:r>
                          <m:rPr>
                            <m:sty m:val="p"/>
                          </m:rPr>
                          <m:t>H</m:t>
                        </m:r>
                      </m:e>
                      <m:sub>
                        <m:r>
                          <m:rPr>
                            <m:sty m:val="p"/>
                          </m:rPr>
                          <m:t>2</m:t>
                        </m:r>
                      </m:sub>
                    </m:sSub>
                    <m:r>
                      <m:rPr>
                        <m:sty m:val="p"/>
                      </m:rPr>
                      <m:t>O</m:t>
                    </m:r>
                  </m:e>
                </m:d>
                <m:r>
                  <m:rPr>
                    <m:sty m:val="p"/>
                  </m:rPr>
                  <m:t>=</m:t>
                </m:r>
                <m:r>
                  <m:rPr>
                    <m:sty m:val="p"/>
                  </m:rPr>
                  <m:t>1</m:t>
                </m:r>
                <m:r>
                  <m:rPr>
                    <m:sty m:val="p"/>
                  </m:rPr>
                  <m:t>,</m:t>
                </m:r>
                <m:r>
                  <m:rPr>
                    <m:sty m:val="p"/>
                  </m:rPr>
                  <m:t>77</m:t>
                </m:r>
                <m:r>
                  <m:rPr>
                    <m:nor/>
                  </m:rPr>
                  <m:t xml:space="preserve"> </m:t>
                </m:r>
                <m:r>
                  <m:rPr>
                    <m:sty m:val="p"/>
                  </m:rPr>
                  <m:t>V</m:t>
                </m:r>
              </m:e>
            </m:mr>
            <m:mr>
              <m:e/>
              <m:e>
                <m:sSup>
                  <m:sSupPr/>
                  <m:e>
                    <m:r>
                      <m:rPr>
                        <m:sty m:val="i"/>
                      </m:rPr>
                      <m:t>E</m:t>
                    </m:r>
                  </m:e>
                  <m:sup>
                    <m:r>
                      <m:rPr>
                        <m:sty m:val="p"/>
                      </m:rPr>
                      <m:t>∘</m:t>
                    </m:r>
                  </m:sup>
                </m:sSup>
                <m:d>
                  <m:dPr>
                    <m:begChr m:val="("/>
                    <m:endChr m:val=")"/>
                    <m:ctrlPr>
                      <w:rPr>
                        <w:rFonts w:ascii="Cambria Math" w:hAnsi="Cambria Math"/>
                      </w:rPr>
                    </m:ctrlPr>
                  </m:dPr>
                  <m:e>
                    <m:sSub>
                      <m:sSubPr/>
                      <m:e>
                        <m:r>
                          <m:rPr>
                            <m:sty m:val="p"/>
                          </m:rPr>
                          <m:t>O</m:t>
                        </m:r>
                      </m:e>
                      <m:sub>
                        <m:r>
                          <m:rPr>
                            <m:sty m:val="p"/>
                          </m:rPr>
                          <m:t>2</m:t>
                        </m:r>
                      </m:sub>
                    </m:sSub>
                    <m:r>
                      <m:rPr>
                        <m:sty m:val="p"/>
                      </m:rPr>
                      <m:t>/</m:t>
                    </m:r>
                    <m:sSub>
                      <m:sSubPr/>
                      <m:e>
                        <m:r>
                          <m:rPr>
                            <m:sty m:val="p"/>
                          </m:rPr>
                          <m:t>H</m:t>
                        </m:r>
                      </m:e>
                      <m:sub>
                        <m:r>
                          <m:rPr>
                            <m:sty m:val="p"/>
                          </m:rPr>
                          <m:t>2</m:t>
                        </m:r>
                      </m:sub>
                    </m:sSub>
                    <m:sSub>
                      <m:sSubPr/>
                      <m:e>
                        <m:r>
                          <m:rPr>
                            <m:sty m:val="p"/>
                          </m:rPr>
                          <m:t>O</m:t>
                        </m:r>
                      </m:e>
                      <m:sub>
                        <m:r>
                          <m:rPr>
                            <m:sty m:val="p"/>
                          </m:rPr>
                          <m:t>2</m:t>
                        </m:r>
                      </m:sub>
                    </m:sSub>
                  </m:e>
                </m:d>
                <m:r>
                  <m:rPr>
                    <m:sty m:val="p"/>
                  </m:rPr>
                  <m:t>=</m:t>
                </m:r>
                <m:r>
                  <m:rPr>
                    <m:sty m:val="p"/>
                  </m:rPr>
                  <m:t>0</m:t>
                </m:r>
                <m:r>
                  <m:rPr>
                    <m:sty m:val="p"/>
                  </m:rPr>
                  <m:t>,</m:t>
                </m:r>
                <m:r>
                  <m:rPr>
                    <m:sty m:val="p"/>
                  </m:rPr>
                  <m:t>69</m:t>
                </m:r>
                <m:r>
                  <m:rPr>
                    <m:nor/>
                  </m:rPr>
                  <m:t xml:space="preserve"> </m:t>
                </m:r>
                <m:r>
                  <m:rPr>
                    <m:sty m:val="p"/>
                  </m:rPr>
                  <m:t>V</m:t>
                </m:r>
              </m:e>
            </m:mr>
            <m:mr>
              <m:e/>
              <m:e>
                <m:f>
                  <m:fPr>
                    <m:ctrlPr>
                      <w:rPr>
                        <w:rFonts w:ascii="Cambria Math" w:hAnsi="Cambria Math"/>
                      </w:rPr>
                    </m:ctrlPr>
                  </m:fPr>
                  <m:num>
                    <m:r>
                      <m:rPr>
                        <m:sty m:val="i"/>
                      </m:rPr>
                      <m:t>R</m:t>
                    </m:r>
                    <m:r>
                      <m:rPr>
                        <m:sty m:val="i"/>
                      </m:rPr>
                      <m:t>T</m:t>
                    </m:r>
                  </m:num>
                  <m:den>
                    <m:r>
                      <m:rPr>
                        <m:sty m:val="i"/>
                      </m:rPr>
                      <m:t>F</m:t>
                    </m:r>
                  </m:den>
                </m:f>
                <m:r>
                  <m:rPr>
                    <m:sty m:val="p"/>
                  </m:rPr>
                  <m:t>ln</m:t>
                </m:r>
                <m:r>
                  <m:rPr>
                    <m:sty m:val="p"/>
                  </m:rPr>
                  <m:t>⁡</m:t>
                </m:r>
                <m:r>
                  <m:rPr>
                    <m:sty m:val="p"/>
                  </m:rPr>
                  <m:t>10</m:t>
                </m:r>
                <m:r>
                  <m:rPr>
                    <m:sty m:val="p"/>
                  </m:rPr>
                  <m:t>≈</m:t>
                </m:r>
                <m:r>
                  <m:rPr>
                    <m:sty m:val="p"/>
                  </m:rPr>
                  <m:t>0</m:t>
                </m:r>
                <m:r>
                  <m:rPr>
                    <m:sty m:val="p"/>
                  </m:rPr>
                  <m:t>,</m:t>
                </m:r>
                <m:r>
                  <m:rPr>
                    <m:sty m:val="p"/>
                  </m:rPr>
                  <m:t>06</m:t>
                </m:r>
                <m:r>
                  <m:rPr>
                    <m:nor/>
                  </m:rPr>
                  <m:t xml:space="preserve"> </m:t>
                </m:r>
                <m:r>
                  <m:rPr>
                    <m:sty m:val="p"/>
                  </m:rPr>
                  <m:t>V</m:t>
                </m:r>
              </m:e>
            </m:mr>
          </m:m>
        </m:oMath>
      </m:oMathPara>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Constante gravitationnelle</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G</m:t>
                </m:r>
                <m:r>
                  <m:rPr>
                    <m:sty m:val="p"/>
                  </m:rPr>
                  <m:t>=</m:t>
                </m:r>
                <m:r>
                  <m:rPr>
                    <m:sty m:val="p"/>
                  </m:rPr>
                  <m:t>6</m:t>
                </m:r>
                <m:r>
                  <m:rPr>
                    <m:sty m:val="p"/>
                  </m:rPr>
                  <m:t>,</m:t>
                </m:r>
                <m:r>
                  <m:rPr>
                    <m:sty m:val="p"/>
                  </m:rPr>
                  <m:t>67</m:t>
                </m:r>
                <m:r>
                  <m:rPr>
                    <m:sty m:val="p"/>
                  </m:rPr>
                  <m:t>×</m:t>
                </m:r>
                <m:sSup>
                  <m:sSupPr/>
                  <m:e>
                    <m:r>
                      <m:rPr>
                        <m:sty m:val="p"/>
                      </m:rPr>
                      <m:t>10</m:t>
                    </m:r>
                  </m:e>
                  <m:sup>
                    <m:r>
                      <m:rPr>
                        <m:sty m:val="p"/>
                      </m:rPr>
                      <m:t>−</m:t>
                    </m:r>
                    <m:r>
                      <m:rPr>
                        <m:sty m:val="p"/>
                      </m:rPr>
                      <m:t>11</m:t>
                    </m:r>
                  </m:sup>
                </m:sSup>
                <m:sSup>
                  <m:sSupPr/>
                  <m:e>
                    <m:r>
                      <m:rPr>
                        <m:nor/>
                      </m:rPr>
                      <m:t xml:space="preserve"> </m:t>
                    </m:r>
                    <m:r>
                      <m:rPr>
                        <m:sty m:val="p"/>
                      </m:rPr>
                      <m:t>m</m:t>
                    </m:r>
                  </m:e>
                  <m:sup>
                    <m:r>
                      <m:rPr>
                        <m:sty m:val="p"/>
                      </m:rPr>
                      <m:t>3</m:t>
                    </m:r>
                  </m:sup>
                </m:sSup>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s</m:t>
                    </m:r>
                  </m:e>
                  <m:sup>
                    <m:r>
                      <m:rPr>
                        <m:sty m:val="p"/>
                      </m:rPr>
                      <m:t>−</m:t>
                    </m:r>
                    <m:r>
                      <m:rPr>
                        <m:sty m:val="p"/>
                      </m:rPr>
                      <m:t>2</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Célérité de la lumière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c</m:t>
                </m:r>
                <m:r>
                  <m:rPr>
                    <m:sty m:val="p"/>
                  </m:rPr>
                  <m:t>=</m:t>
                </m:r>
                <m:r>
                  <m:rPr>
                    <m:sty m:val="p"/>
                  </m:rPr>
                  <m:t>3</m:t>
                </m:r>
                <m:r>
                  <m:rPr>
                    <m:sty m:val="p"/>
                  </m:rPr>
                  <m:t>,</m:t>
                </m:r>
                <m:r>
                  <m:rPr>
                    <m:sty m:val="p"/>
                  </m:rPr>
                  <m:t>00</m:t>
                </m:r>
                <m:r>
                  <m:rPr>
                    <m:sty m:val="p"/>
                  </m:rPr>
                  <m:t>×</m:t>
                </m:r>
                <m:sSup>
                  <m:sSupPr/>
                  <m:e>
                    <m:r>
                      <m:rPr>
                        <m:sty m:val="p"/>
                      </m:rPr>
                      <m:t>10</m:t>
                    </m:r>
                  </m:e>
                  <m:sup>
                    <m:r>
                      <m:rPr>
                        <m:sty m:val="p"/>
                      </m:rPr>
                      <m:t>8</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Constante d'Avogadro</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cr m:val="script"/>
                      </m:rPr>
                      <m:t>N</m:t>
                    </m:r>
                  </m:e>
                  <m:sub>
                    <m:r>
                      <m:rPr>
                        <m:sty m:val="i"/>
                      </m:rPr>
                      <m:t>A</m:t>
                    </m:r>
                  </m:sub>
                </m:sSub>
                <m:r>
                  <m:rPr>
                    <m:sty m:val="p"/>
                  </m:rPr>
                  <m:t>=</m:t>
                </m:r>
                <m:r>
                  <m:rPr>
                    <m:sty m:val="p"/>
                  </m:rPr>
                  <m:t>6</m:t>
                </m:r>
                <m:r>
                  <m:rPr>
                    <m:sty m:val="p"/>
                  </m:rPr>
                  <m:t>,</m:t>
                </m:r>
                <m:r>
                  <m:rPr>
                    <m:sty m:val="p"/>
                  </m:rPr>
                  <m:t>022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Constante des gaz parfaits</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R</m:t>
                </m:r>
                <m:r>
                  <m:rPr>
                    <m:sty m:val="p"/>
                  </m:rPr>
                  <m:t>=</m:t>
                </m:r>
                <m:r>
                  <m:rPr>
                    <m:sty m:val="p"/>
                  </m:rPr>
                  <m:t>8</m:t>
                </m:r>
                <m:r>
                  <m:rPr>
                    <m:sty m:val="p"/>
                  </m:rPr>
                  <m:t>,</m:t>
                </m:r>
                <m:r>
                  <m:rPr>
                    <m:sty m:val="p"/>
                  </m:rPr>
                  <m:t>314</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Masses molaires ( </w:t>
            </w:r>
            <m:oMath>
              <m:r>
                <m:rPr>
                  <m:sty m:val="p"/>
                </m:rPr>
                <m:t>g</m:t>
              </m:r>
              <m:r>
                <m:rPr>
                  <m:sty m:val="p"/>
                </m:rPr>
                <m:t>⋅</m:t>
              </m:r>
              <m:sSup>
                <m:sSupPr/>
                <m:e>
                  <m:r>
                    <m:rPr>
                      <m:sty m:val="p"/>
                    </m:rPr>
                    <m:t>mol</m:t>
                  </m:r>
                </m:e>
                <m:sup>
                  <m:r>
                    <m:rPr>
                      <m:sty m:val="p"/>
                    </m:rPr>
                    <m:t>−</m:t>
                  </m:r>
                  <m:r>
                    <m:rPr>
                      <m:sty m:val="p"/>
                    </m:rPr>
                    <m:t>1</m:t>
                  </m:r>
                </m:sup>
              </m:sSup>
            </m:oMath>
            <w:r>
              <w:rPr/>
              <w:t xml:space="preserve"> )</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H</m:t>
                </m:r>
                <m:r>
                  <m:rPr>
                    <m:sty m:val="p"/>
                  </m:rPr>
                  <m:t>=</m:t>
                </m:r>
                <m:r>
                  <m:rPr>
                    <m:sty m:val="p"/>
                  </m:rPr>
                  <m:t>1</m:t>
                </m:r>
                <m:r>
                  <m:rPr>
                    <m:sty m:val="p"/>
                  </m:rPr>
                  <m:t>,</m:t>
                </m:r>
                <m:r>
                  <m:rPr>
                    <m:sty m:val="p"/>
                  </m:rPr>
                  <m:t>C</m:t>
                </m:r>
                <m:r>
                  <m:rPr>
                    <m:sty m:val="p"/>
                  </m:rPr>
                  <m:t>=</m:t>
                </m:r>
                <m:r>
                  <m:rPr>
                    <m:sty m:val="p"/>
                  </m:rPr>
                  <m:t>12</m:t>
                </m:r>
                <m:r>
                  <m:rPr>
                    <m:sty m:val="p"/>
                  </m:rPr>
                  <m:t>,</m:t>
                </m:r>
                <m:r>
                  <m:rPr>
                    <m:nor/>
                  </m:rPr>
                  <m:t xml:space="preserve"> </m:t>
                </m:r>
                <m:r>
                  <m:rPr>
                    <m:sty m:val="p"/>
                  </m:rPr>
                  <m:t>N</m:t>
                </m:r>
                <m:r>
                  <m:rPr>
                    <m:sty m:val="p"/>
                  </m:rPr>
                  <m:t>=</m:t>
                </m:r>
                <m:r>
                  <m:rPr>
                    <m:sty m:val="p"/>
                  </m:rPr>
                  <m:t>14</m:t>
                </m:r>
                <m:r>
                  <m:rPr>
                    <m:sty m:val="p"/>
                  </m:rPr>
                  <m:t>,</m:t>
                </m:r>
                <m:r>
                  <m:rPr>
                    <m:sty m:val="p"/>
                  </m:rPr>
                  <m:t>O</m:t>
                </m:r>
                <m:r>
                  <m:rPr>
                    <m:sty m:val="p"/>
                  </m:rPr>
                  <m:t>=</m:t>
                </m:r>
                <m:r>
                  <m:rPr>
                    <m:sty m:val="p"/>
                  </m:rPr>
                  <m:t>16</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Viscosité du </w:t>
            </w:r>
            <m:oMath>
              <m:sSub>
                <m:sSubPr/>
                <m:e>
                  <m:r>
                    <m:rPr>
                      <m:sty m:val="p"/>
                    </m:rPr>
                    <m:t>CO</m:t>
                  </m:r>
                </m:e>
                <m:sub>
                  <m:r>
                    <m:rPr>
                      <m:sty m:val="p"/>
                    </m:rPr>
                    <m:t>2</m:t>
                  </m:r>
                </m:sub>
              </m:sSub>
            </m:oMath>
            <w:r>
              <w:rPr>
                <w:rFonts w:eastAsia="Georgia" w:cs="Georgia" w:ascii="Georgia" w:hAnsi="Georgia"/>
              </w:rPr>
              <w:t xml:space="preserve"> (supposée indépendante de la température)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η</m:t>
                </m:r>
                <m:r>
                  <m:rPr>
                    <m:sty m:val="p"/>
                  </m:rPr>
                  <m:t>=</m:t>
                </m:r>
                <m:r>
                  <m:rPr>
                    <m:sty m:val="p"/>
                  </m:rPr>
                  <m:t>1</m:t>
                </m:r>
                <m:r>
                  <m:rPr>
                    <m:sty m:val="p"/>
                  </m:rPr>
                  <m:t>,</m:t>
                </m:r>
                <m:r>
                  <m:rPr>
                    <m:sty m:val="p"/>
                  </m:rPr>
                  <m:t>07</m:t>
                </m:r>
                <m:r>
                  <m:rPr>
                    <m:sty m:val="p"/>
                  </m:rPr>
                  <m:t>×</m:t>
                </m:r>
                <m:sSup>
                  <m:sSupPr/>
                  <m:e>
                    <m:r>
                      <m:rPr>
                        <m:sty m:val="p"/>
                      </m:rPr>
                      <m:t>10</m:t>
                    </m:r>
                  </m:e>
                  <m:sup>
                    <m:r>
                      <m:rPr>
                        <m:sty m:val="p"/>
                      </m:rPr>
                      <m:t>−</m:t>
                    </m:r>
                    <m:r>
                      <m:rPr>
                        <m:sty m:val="p"/>
                      </m:rPr>
                      <m:t>5</m:t>
                    </m:r>
                  </m:sup>
                </m:sSup>
                <m:r>
                  <m:rPr>
                    <m:nor/>
                  </m:rPr>
                  <m:t xml:space="preserve"> </m:t>
                </m:r>
                <m:r>
                  <m:rPr>
                    <m:sty m:val="p"/>
                  </m:rPr>
                  <m:t>Pa</m:t>
                </m:r>
                <m:r>
                  <m:rPr>
                    <m:sty m:val="p"/>
                  </m:rPr>
                  <m:t>⋅</m:t>
                </m:r>
                <m:r>
                  <m:rPr>
                    <m:nor/>
                  </m:rPr>
                  <m:t xml:space="preserve"> </m:t>
                </m:r>
                <m:r>
                  <m:rPr>
                    <m:sty m:val="p"/>
                  </m:rPr>
                  <m:t>s</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Viscosité de l'air terrestre (à </w:t>
            </w:r>
            <m:oMath>
              <m:r>
                <m:rPr>
                  <m:sty m:val="p"/>
                </m:rPr>
                <m:t>15</m:t>
              </m:r>
              <m:sSup>
                <m:sSupPr/>
                <m:e>
                  <m:r>
                    <m:t xml:space="preserve"> </m:t>
                  </m:r>
                </m:e>
                <m:sup>
                  <m:r>
                    <m:rPr>
                      <m:sty m:val="p"/>
                    </m:rPr>
                    <m:t>∘</m:t>
                  </m:r>
                </m:sup>
              </m:sSup>
              <m:r>
                <m:rPr>
                  <m:sty m:val="p"/>
                </m:rPr>
                <m:t>C</m:t>
              </m:r>
            </m:oMath>
            <w:r>
              <w:rPr/>
              <w:t xml:space="preserve"> )</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η</m:t>
                    </m:r>
                  </m:e>
                  <m:sub>
                    <m:r>
                      <m:rPr>
                        <m:sty m:val="i"/>
                      </m:rPr>
                      <m:t>T</m:t>
                    </m:r>
                  </m:sub>
                </m:sSub>
                <m:r>
                  <m:rPr>
                    <m:sty m:val="p"/>
                  </m:rPr>
                  <m:t>=</m:t>
                </m:r>
                <m:r>
                  <m:rPr>
                    <m:sty m:val="p"/>
                  </m:rPr>
                  <m:t>1</m:t>
                </m:r>
                <m:r>
                  <m:rPr>
                    <m:sty m:val="p"/>
                  </m:rPr>
                  <m:t>,</m:t>
                </m:r>
                <m:r>
                  <m:rPr>
                    <m:sty m:val="p"/>
                  </m:rPr>
                  <m:t>79</m:t>
                </m:r>
                <m:r>
                  <m:rPr>
                    <m:sty m:val="p"/>
                  </m:rPr>
                  <m:t>×</m:t>
                </m:r>
                <m:sSup>
                  <m:sSupPr/>
                  <m:e>
                    <m:r>
                      <m:rPr>
                        <m:sty m:val="p"/>
                      </m:rPr>
                      <m:t>10</m:t>
                    </m:r>
                  </m:e>
                  <m:sup>
                    <m:r>
                      <m:rPr>
                        <m:sty m:val="p"/>
                      </m:rPr>
                      <m:t>−</m:t>
                    </m:r>
                    <m:r>
                      <m:rPr>
                        <m:sty m:val="p"/>
                      </m:rPr>
                      <m:t>5</m:t>
                    </m:r>
                  </m:sup>
                </m:sSup>
                <m:r>
                  <m:rPr>
                    <m:nor/>
                  </m:rPr>
                  <m:t xml:space="preserve"> </m:t>
                </m:r>
                <m:r>
                  <m:rPr>
                    <m:sty m:val="p"/>
                  </m:rPr>
                  <m:t>Pa</m:t>
                </m:r>
                <m:r>
                  <m:rPr>
                    <m:sty m:val="p"/>
                  </m:rPr>
                  <m:t>⋅</m:t>
                </m:r>
                <m:r>
                  <m:rPr>
                    <m:nor/>
                  </m:rPr>
                  <m:t xml:space="preserve"> </m:t>
                </m:r>
                <m:r>
                  <m:rPr>
                    <m:sty m:val="p"/>
                  </m:rPr>
                  <m:t>s</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Distance Terre-Soleil</w:t>
            </w:r>
          </w:p>
        </w:tc>
        <w:tc>
          <w:tcPr>
            <w:tcBorders>
              <w:bottom w:val="single" w:sz="8" w:space="0" w:color="000000"/>
              <w:right w:val="single" w:sz="8" w:space="0" w:color="000000"/>
            </w:tcBorders>
            <w:vAlign w:val="center"/>
          </w:tcPr>
          <w:p>
            <w:pPr>
              <w:spacing w:lineRule="auto"/>
              <w:jc w:val="left"/>
            </w:pPr>
            <m:oMath>
              <m:sSub>
                <m:sSubPr/>
                <m:e>
                  <m:r>
                    <m:rPr>
                      <m:sty m:val="i"/>
                    </m:rPr>
                    <m:t>a</m:t>
                  </m:r>
                </m:e>
                <m:sub>
                  <m:r>
                    <m:rPr>
                      <m:sty m:val="i"/>
                    </m:rPr>
                    <m:t>T</m:t>
                  </m:r>
                </m:sub>
              </m:sSub>
              <m:r>
                <m:rPr>
                  <m:sty m:val="p"/>
                </m:rPr>
                <m:t>=</m:t>
              </m:r>
              <m:r>
                <m:rPr>
                  <m:sty m:val="p"/>
                </m:rPr>
                <m:t>1</m:t>
              </m:r>
            </m:oMath>
            <w:r>
              <w:rPr/>
              <w:t xml:space="preserve"> u.a. </w:t>
            </w:r>
            <m:oMath>
              <m:r>
                <m:rPr>
                  <m:sty m:val="p"/>
                </m:rPr>
                <m:t>=</m:t>
              </m:r>
              <m:r>
                <m:rPr>
                  <m:sty m:val="p"/>
                </m:rPr>
                <m:t>1</m:t>
              </m:r>
              <m:r>
                <m:rPr>
                  <m:sty m:val="p"/>
                </m:rPr>
                <m:t>,</m:t>
              </m:r>
              <m:r>
                <m:rPr>
                  <m:sty m:val="p"/>
                </m:rPr>
                <m:t>50</m:t>
              </m:r>
              <m:r>
                <m:rPr>
                  <m:sty m:val="p"/>
                </m:rPr>
                <m:t>×</m:t>
              </m:r>
              <m:sSup>
                <m:sSupPr/>
                <m:e>
                  <m:r>
                    <m:rPr>
                      <m:sty m:val="p"/>
                    </m:rPr>
                    <m:t>10</m:t>
                  </m:r>
                </m:e>
                <m:sup>
                  <m:r>
                    <m:rPr>
                      <m:sty m:val="p"/>
                    </m:rPr>
                    <m:t>8</m:t>
                  </m:r>
                </m:sup>
              </m:sSup>
              <m:r>
                <m:rPr>
                  <m:nor/>
                </m:rPr>
                <m:t xml:space="preserve"> </m:t>
              </m:r>
              <m:r>
                <m:rPr>
                  <m:sty m:val="p"/>
                </m:rPr>
                <m:t>km</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de la surface du Soleil</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T</m:t>
                    </m:r>
                  </m:e>
                  <m:sub>
                    <m:r>
                      <m:rPr>
                        <m:sty m:val="i"/>
                      </m:rPr>
                      <m:t>s</m:t>
                    </m:r>
                  </m:sub>
                </m:sSub>
                <m:r>
                  <m:rPr>
                    <m:sty m:val="p"/>
                  </m:rPr>
                  <m:t>=</m:t>
                </m:r>
                <m:r>
                  <m:rPr>
                    <m:sty m:val="p"/>
                  </m:rPr>
                  <m:t>5778</m:t>
                </m:r>
                <m:r>
                  <m:rPr>
                    <m:nor/>
                  </m:rPr>
                  <m:t xml:space="preserve"> </m:t>
                </m:r>
                <m:r>
                  <m:rPr>
                    <m:sty m:val="p"/>
                  </m:rPr>
                  <m:t>K</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Rayon du Soleil</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R</m:t>
                    </m:r>
                  </m:e>
                  <m:sub>
                    <m:r>
                      <m:rPr>
                        <m:sty m:val="i"/>
                      </m:rPr>
                      <m:t>s</m:t>
                    </m:r>
                  </m:sub>
                </m:sSub>
                <m:r>
                  <m:rPr>
                    <m:sty m:val="p"/>
                  </m:rPr>
                  <m:t>=</m:t>
                </m:r>
                <m:r>
                  <m:rPr>
                    <m:sty m:val="p"/>
                  </m:rPr>
                  <m:t>6</m:t>
                </m:r>
                <m:r>
                  <m:rPr>
                    <m:sty m:val="p"/>
                  </m:rPr>
                  <m:t>,</m:t>
                </m:r>
                <m:r>
                  <m:rPr>
                    <m:sty m:val="p"/>
                  </m:rPr>
                  <m:t>96</m:t>
                </m:r>
                <m:r>
                  <m:rPr>
                    <m:sty m:val="p"/>
                  </m:rPr>
                  <m:t>×</m:t>
                </m:r>
                <m:sSup>
                  <m:sSupPr/>
                  <m:e>
                    <m:r>
                      <m:rPr>
                        <m:sty m:val="p"/>
                      </m:rPr>
                      <m:t>10</m:t>
                    </m:r>
                  </m:e>
                  <m:sup>
                    <m:r>
                      <m:rPr>
                        <m:sty m:val="p"/>
                      </m:rPr>
                      <m:t>5</m:t>
                    </m:r>
                  </m:sup>
                </m:sSup>
                <m:r>
                  <m:rPr>
                    <m:nor/>
                  </m:rPr>
                  <m:t xml:space="preserve"> </m:t>
                </m:r>
                <m:r>
                  <m:rPr>
                    <m:sty m:val="p"/>
                  </m:rPr>
                  <m:t>km</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Masse du vaisseau Hermès</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500</m:t>
                </m:r>
                <m:r>
                  <m:rPr>
                    <m:sty m:val="p"/>
                  </m:rPr>
                  <m:t>t</m:t>
                </m:r>
              </m:oMath>
            </m:oMathPara>
          </w:p>
        </w:tc>
      </w:tr>
    </w:tbl>
    <w:p>
      <w:pPr>
        <w:spacing w:lineRule="auto"/>
      </w:pPr>
    </w:p>
    <w:p>
      <w:pPr>
        <w:spacing w:after="220" w:lineRule="auto"/>
      </w:pPr>
      <m:oMathPara>
        <m:oMathParaPr>
          <m:jc m:val="left"/>
        </m:oMathParaPr>
        <m:oMath>
          <m:r>
            <m:rPr>
              <m:sty m:val="p"/>
            </m:rPr>
            <m:t>1</m:t>
          </m:r>
          <m:r>
            <m:rPr>
              <m:sty m:val="p"/>
            </m:rPr>
            <m:t>psi</m:t>
          </m:r>
          <m:r>
            <m:rPr>
              <m:sty m:val="p"/>
            </m:rPr>
            <m:t>=</m:t>
          </m:r>
          <m:r>
            <m:rPr>
              <m:sty m:val="p"/>
            </m:rPr>
            <m:t>0</m:t>
          </m:r>
          <m:r>
            <m:rPr>
              <m:sty m:val="p"/>
            </m:rPr>
            <m:t>,</m:t>
          </m:r>
          <m:r>
            <m:rPr>
              <m:sty m:val="p"/>
            </m:rPr>
            <m:t>0689</m:t>
          </m:r>
          <m:r>
            <m:rPr>
              <m:sty m:val="p"/>
            </m:rPr>
            <m:t>bar</m:t>
          </m:r>
        </m:oMath>
      </m:oMathPara>
    </w:p>
    <w:p>
      <w:pPr>
        <w:spacing w:after="220" w:lineRule="auto"/>
      </w:pPr>
      <w:r>
        <w:rPr>
          <w:rFonts w:eastAsia="Georgia" w:cs="Georgia" w:ascii="Georgia" w:hAnsi="Georgia"/>
        </w:rPr>
        <w:t xml:space="preserve">Pression de vapeur saturante de l'eau en fonction de la température</w:t>
      </w:r>
    </w:p>
    <w:tbl>
      <w:tblPr>
        <w:tblStyle w:val="TableGrid"/>
        <w:jc w:val="center"/>
        <w:tblCellSpacing w:w="0" w:type="dxa"/>
        <w:tblBorders/>
        <w:tblCellMar>
          <w:top w:type="dxa" w:w="80"/>
          <w:left w:type="dxa" w:w="160"/>
          <w:bottom w:type="dxa" w:w="80"/>
          <w:right w:type="dxa" w:w="160"/>
        </w:tblCellMar>
      </w:tblPr>
      <w:tblGrid>
        <w:gridCol w:w="1080"/>
        <w:gridCol w:w="1080"/>
        <w:gridCol w:w="1080"/>
        <w:gridCol w:w="1080"/>
        <w:gridCol w:w="1080"/>
        <w:gridCol w:w="1080"/>
        <w:gridCol w:w="1080"/>
        <w:gridCol w:w="10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t</m:t>
                </m:r>
                <m:d>
                  <m:dPr>
                    <m:begChr m:val="("/>
                    <m:endChr m:val=")"/>
                    <m:ctrlPr>
                      <w:rPr>
                        <w:rFonts w:ascii="Cambria Math" w:hAnsi="Cambria Math"/>
                      </w:rPr>
                    </m:ctrlPr>
                  </m:dPr>
                  <m:e>
                    <m:sSup>
                      <m:sSupPr/>
                      <m:e>
                        <m:r>
                          <m:t xml:space="preserve"> </m:t>
                        </m:r>
                      </m:e>
                      <m:sup>
                        <m:r>
                          <m:rPr>
                            <m:sty m:val="p"/>
                          </m:rPr>
                          <m:t>∘</m:t>
                        </m:r>
                      </m:sup>
                    </m:sSup>
                    <m:r>
                      <m:rPr>
                        <m:sty m:val="p"/>
                      </m:rPr>
                      <m:t>C</m:t>
                    </m:r>
                  </m:e>
                </m:d>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P</m:t>
                    </m:r>
                  </m:e>
                  <m:sub>
                    <m:r>
                      <m:rPr>
                        <m:sty m:val="i"/>
                      </m:rPr>
                      <m:t>s</m:t>
                    </m:r>
                  </m:sub>
                </m:sSub>
                <m:r>
                  <m:rPr>
                    <m:sty m:val="p"/>
                  </m:rPr>
                  <m:t>(</m:t>
                </m:r>
                <m:r>
                  <m:rPr>
                    <m:nor/>
                  </m:rPr>
                  <m:t xml:space="preserve"> </m:t>
                </m:r>
                <m:r>
                  <m:rPr>
                    <m:sty m:val="p"/>
                  </m:rPr>
                  <m:t>Pa</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t</m:t>
                </m:r>
                <m:d>
                  <m:dPr>
                    <m:begChr m:val="("/>
                    <m:endChr m:val=")"/>
                    <m:ctrlPr>
                      <w:rPr>
                        <w:rFonts w:ascii="Cambria Math" w:hAnsi="Cambria Math"/>
                      </w:rPr>
                    </m:ctrlPr>
                  </m:dPr>
                  <m:e>
                    <m:sSup>
                      <m:sSupPr/>
                      <m:e>
                        <m:r>
                          <m:t xml:space="preserve"> </m:t>
                        </m:r>
                      </m:e>
                      <m:sup>
                        <m:r>
                          <m:rPr>
                            <m:sty m:val="p"/>
                          </m:rPr>
                          <m:t>∘</m:t>
                        </m:r>
                      </m:sup>
                    </m:sSup>
                    <m:r>
                      <m:rPr>
                        <m:sty m:val="p"/>
                      </m:rPr>
                      <m:t>C</m:t>
                    </m:r>
                  </m:e>
                </m:d>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P</m:t>
                    </m:r>
                  </m:e>
                  <m:sub>
                    <m:r>
                      <m:rPr>
                        <m:sty m:val="i"/>
                      </m:rPr>
                      <m:t>s</m:t>
                    </m:r>
                  </m:sub>
                </m:sSub>
                <m:r>
                  <m:rPr>
                    <m:sty m:val="p"/>
                  </m:rPr>
                  <m:t>(</m:t>
                </m:r>
                <m:r>
                  <m:rPr>
                    <m:nor/>
                  </m:rPr>
                  <m:t xml:space="preserve"> </m:t>
                </m:r>
                <m:r>
                  <m:rPr>
                    <m:sty m:val="p"/>
                  </m:rPr>
                  <m:t>Pa</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t</m:t>
                </m:r>
                <m:d>
                  <m:dPr>
                    <m:begChr m:val="("/>
                    <m:endChr m:val=")"/>
                    <m:ctrlPr>
                      <w:rPr>
                        <w:rFonts w:ascii="Cambria Math" w:hAnsi="Cambria Math"/>
                      </w:rPr>
                    </m:ctrlPr>
                  </m:dPr>
                  <m:e>
                    <m:sSup>
                      <m:sSupPr/>
                      <m:e>
                        <m:r>
                          <m:t xml:space="preserve"> </m:t>
                        </m:r>
                      </m:e>
                      <m:sup>
                        <m:r>
                          <m:rPr>
                            <m:sty m:val="p"/>
                          </m:rPr>
                          <m:t>∘</m:t>
                        </m:r>
                      </m:sup>
                    </m:sSup>
                    <m:r>
                      <m:rPr>
                        <m:sty m:val="p"/>
                      </m:rPr>
                      <m:t>C</m:t>
                    </m:r>
                  </m:e>
                </m:d>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P</m:t>
                    </m:r>
                  </m:e>
                  <m:sub>
                    <m:r>
                      <m:rPr>
                        <m:sty m:val="i"/>
                      </m:rPr>
                      <m:t>s</m:t>
                    </m:r>
                  </m:sub>
                </m:sSub>
                <m:r>
                  <m:rPr>
                    <m:sty m:val="p"/>
                  </m:rPr>
                  <m:t>(</m:t>
                </m:r>
                <m:r>
                  <m:rPr>
                    <m:nor/>
                  </m:rPr>
                  <m:t xml:space="preserve"> </m:t>
                </m:r>
                <m:r>
                  <m:rPr>
                    <m:sty m:val="p"/>
                  </m:rPr>
                  <m:t>Pa</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t</m:t>
                </m:r>
                <m:d>
                  <m:dPr>
                    <m:begChr m:val="("/>
                    <m:endChr m:val=")"/>
                    <m:ctrlPr>
                      <w:rPr>
                        <w:rFonts w:ascii="Cambria Math" w:hAnsi="Cambria Math"/>
                      </w:rPr>
                    </m:ctrlPr>
                  </m:dPr>
                  <m:e>
                    <m:sSup>
                      <m:sSupPr/>
                      <m:e>
                        <m:r>
                          <m:t xml:space="preserve"> </m:t>
                        </m:r>
                      </m:e>
                      <m:sup>
                        <m:r>
                          <m:rPr>
                            <m:sty m:val="p"/>
                          </m:rPr>
                          <m:t>∘</m:t>
                        </m:r>
                      </m:sup>
                    </m:sSup>
                    <m:r>
                      <m:rPr>
                        <m:sty m:val="p"/>
                      </m:rPr>
                      <m:t>C</m:t>
                    </m:r>
                  </m:e>
                </m:d>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P</m:t>
                    </m:r>
                  </m:e>
                  <m:sub>
                    <m:r>
                      <m:rPr>
                        <m:sty m:val="i"/>
                      </m:rPr>
                      <m:t>s</m:t>
                    </m:r>
                  </m:sub>
                </m:sSub>
                <m:r>
                  <m:rPr>
                    <m:sty m:val="p"/>
                  </m:rPr>
                  <m:t>(</m:t>
                </m:r>
                <m:r>
                  <m:rPr>
                    <m:nor/>
                  </m:rPr>
                  <m:t xml:space="preserve"> </m:t>
                </m:r>
                <m:r>
                  <m:rPr>
                    <m:sty m:val="p"/>
                  </m:rPr>
                  <m:t>Pa</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-75</w:t>
            </w:r>
          </w:p>
        </w:tc>
        <w:tc>
          <w:tcPr>
            <w:tcBorders>
              <w:bottom w:val="single" w:sz="8" w:space="0" w:color="000000"/>
              <w:right w:val="single" w:sz="8" w:space="0" w:color="000000"/>
            </w:tcBorders>
            <w:vAlign w:val="center"/>
          </w:tcPr>
          <w:p>
            <w:pPr>
              <w:spacing w:lineRule="auto"/>
              <w:jc w:val="left"/>
            </w:pPr>
            <w:r>
              <w:rPr/>
              <w:t xml:space="preserve">0,122</w:t>
            </w:r>
          </w:p>
        </w:tc>
        <w:tc>
          <w:tcPr>
            <w:tcBorders>
              <w:bottom w:val="single" w:sz="8" w:space="0" w:color="000000"/>
              <w:right w:val="single" w:sz="8" w:space="0" w:color="000000"/>
            </w:tcBorders>
            <w:vAlign w:val="center"/>
          </w:tcPr>
          <w:p>
            <w:pPr>
              <w:spacing w:lineRule="auto"/>
              <w:jc w:val="left"/>
            </w:pPr>
            <w:r>
              <w:rPr/>
              <w:t xml:space="preserve">-40</w:t>
            </w:r>
          </w:p>
        </w:tc>
        <w:tc>
          <w:tcPr>
            <w:tcBorders>
              <w:bottom w:val="single" w:sz="8" w:space="0" w:color="000000"/>
              <w:right w:val="single" w:sz="8" w:space="0" w:color="000000"/>
            </w:tcBorders>
            <w:vAlign w:val="center"/>
          </w:tcPr>
          <w:p>
            <w:pPr>
              <w:spacing w:lineRule="auto"/>
              <w:jc w:val="left"/>
            </w:pPr>
            <w:r>
              <w:rPr/>
              <w:t xml:space="preserve">12,84</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611,15</w:t>
            </w:r>
          </w:p>
        </w:tc>
        <w:tc>
          <w:tcPr>
            <w:tcBorders>
              <w:bottom w:val="single" w:sz="8" w:space="0" w:color="000000"/>
              <w:right w:val="single" w:sz="8" w:space="0" w:color="000000"/>
            </w:tcBorders>
            <w:vAlign w:val="center"/>
          </w:tcPr>
          <w:p>
            <w:pPr>
              <w:spacing w:lineRule="auto"/>
              <w:jc w:val="left"/>
            </w:pPr>
            <w:r>
              <w:rPr/>
              <w:t xml:space="preserve">35</w:t>
            </w:r>
          </w:p>
        </w:tc>
        <w:tc>
          <w:tcPr>
            <w:tcBorders>
              <w:bottom w:val="single" w:sz="8" w:space="0" w:color="000000"/>
              <w:right w:val="single" w:sz="8" w:space="0" w:color="000000"/>
            </w:tcBorders>
            <w:vAlign w:val="center"/>
          </w:tcPr>
          <w:p>
            <w:pPr>
              <w:spacing w:lineRule="auto"/>
              <w:jc w:val="left"/>
            </w:pPr>
            <w:r>
              <w:rPr/>
              <w:t xml:space="preserve">5626,7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-70</w:t>
            </w:r>
          </w:p>
        </w:tc>
        <w:tc>
          <w:tcPr>
            <w:tcBorders>
              <w:bottom w:val="single" w:sz="8" w:space="0" w:color="000000"/>
              <w:right w:val="single" w:sz="8" w:space="0" w:color="000000"/>
            </w:tcBorders>
            <w:vAlign w:val="center"/>
          </w:tcPr>
          <w:p>
            <w:pPr>
              <w:spacing w:lineRule="auto"/>
              <w:jc w:val="left"/>
            </w:pPr>
            <w:r>
              <w:rPr/>
              <w:t xml:space="preserve">0,261</w:t>
            </w:r>
          </w:p>
        </w:tc>
        <w:tc>
          <w:tcPr>
            <w:tcBorders>
              <w:bottom w:val="single" w:sz="8" w:space="0" w:color="000000"/>
              <w:right w:val="single" w:sz="8" w:space="0" w:color="000000"/>
            </w:tcBorders>
            <w:vAlign w:val="center"/>
          </w:tcPr>
          <w:p>
            <w:pPr>
              <w:spacing w:lineRule="auto"/>
              <w:jc w:val="left"/>
            </w:pPr>
            <w:r>
              <w:rPr/>
              <w:t xml:space="preserve">-35</w:t>
            </w:r>
          </w:p>
        </w:tc>
        <w:tc>
          <w:tcPr>
            <w:tcBorders>
              <w:bottom w:val="single" w:sz="8" w:space="0" w:color="000000"/>
              <w:right w:val="single" w:sz="8" w:space="0" w:color="000000"/>
            </w:tcBorders>
            <w:vAlign w:val="center"/>
          </w:tcPr>
          <w:p>
            <w:pPr>
              <w:spacing w:lineRule="auto"/>
              <w:jc w:val="left"/>
            </w:pPr>
            <w:r>
              <w:rPr/>
              <w:t xml:space="preserve">27,71</w:t>
            </w: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872,60</w:t>
            </w:r>
          </w:p>
        </w:tc>
        <w:tc>
          <w:tcPr>
            <w:tcBorders>
              <w:bottom w:val="single" w:sz="8" w:space="0" w:color="000000"/>
              <w:right w:val="single" w:sz="8" w:space="0" w:color="000000"/>
            </w:tcBorders>
            <w:vAlign w:val="center"/>
          </w:tcPr>
          <w:p>
            <w:pPr>
              <w:spacing w:lineRule="auto"/>
              <w:jc w:val="left"/>
            </w:pPr>
            <w:r>
              <w:rPr/>
              <w:t xml:space="preserve">40</w:t>
            </w:r>
          </w:p>
        </w:tc>
        <w:tc>
          <w:tcPr>
            <w:tcBorders>
              <w:bottom w:val="single" w:sz="8" w:space="0" w:color="000000"/>
              <w:right w:val="single" w:sz="8" w:space="0" w:color="000000"/>
            </w:tcBorders>
            <w:vAlign w:val="center"/>
          </w:tcPr>
          <w:p>
            <w:pPr>
              <w:spacing w:lineRule="auto"/>
              <w:jc w:val="left"/>
            </w:pPr>
            <w:r>
              <w:rPr/>
              <w:t xml:space="preserve">7381,4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-65</w:t>
            </w:r>
          </w:p>
        </w:tc>
        <w:tc>
          <w:tcPr>
            <w:tcBorders>
              <w:bottom w:val="single" w:sz="8" w:space="0" w:color="000000"/>
              <w:right w:val="single" w:sz="8" w:space="0" w:color="000000"/>
            </w:tcBorders>
            <w:vAlign w:val="center"/>
          </w:tcPr>
          <w:p>
            <w:pPr>
              <w:spacing w:lineRule="auto"/>
              <w:jc w:val="left"/>
            </w:pPr>
            <w:r>
              <w:rPr/>
              <w:t xml:space="preserve">0,540</w:t>
            </w:r>
          </w:p>
        </w:tc>
        <w:tc>
          <w:tcPr>
            <w:tcBorders>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38,01</w:t>
            </w:r>
          </w:p>
        </w:tc>
        <w:tc>
          <w:tcPr>
            <w:tcBorders>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1228,1</w:t>
            </w:r>
          </w:p>
        </w:tc>
        <w:tc>
          <w:tcPr>
            <w:tcBorders>
              <w:bottom w:val="single" w:sz="8" w:space="0" w:color="000000"/>
              <w:right w:val="single" w:sz="8" w:space="0" w:color="000000"/>
            </w:tcBorders>
            <w:vAlign w:val="center"/>
          </w:tcPr>
          <w:p>
            <w:pPr>
              <w:spacing w:lineRule="auto"/>
              <w:jc w:val="left"/>
            </w:pPr>
            <w:r>
              <w:rPr/>
              <w:t xml:space="preserve">45</w:t>
            </w:r>
          </w:p>
        </w:tc>
        <w:tc>
          <w:tcPr>
            <w:tcBorders>
              <w:bottom w:val="single" w:sz="8" w:space="0" w:color="000000"/>
              <w:right w:val="single" w:sz="8" w:space="0" w:color="000000"/>
            </w:tcBorders>
            <w:vAlign w:val="center"/>
          </w:tcPr>
          <w:p>
            <w:pPr>
              <w:spacing w:lineRule="auto"/>
              <w:jc w:val="left"/>
            </w:pPr>
            <w:r>
              <w:rPr/>
              <w:t xml:space="preserve">9589,8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-60</w:t>
            </w:r>
          </w:p>
        </w:tc>
        <w:tc>
          <w:tcPr>
            <w:tcBorders>
              <w:bottom w:val="single" w:sz="8" w:space="0" w:color="000000"/>
              <w:right w:val="single" w:sz="8" w:space="0" w:color="000000"/>
            </w:tcBorders>
            <w:vAlign w:val="center"/>
          </w:tcPr>
          <w:p>
            <w:pPr>
              <w:spacing w:lineRule="auto"/>
              <w:jc w:val="left"/>
            </w:pPr>
            <w:r>
              <w:rPr/>
              <w:t xml:space="preserve">1,080</w:t>
            </w:r>
          </w:p>
        </w:tc>
        <w:tc>
          <w:tcPr>
            <w:tcBorders>
              <w:bottom w:val="single" w:sz="8" w:space="0" w:color="000000"/>
              <w:right w:val="single" w:sz="8" w:space="0" w:color="000000"/>
            </w:tcBorders>
            <w:vAlign w:val="center"/>
          </w:tcPr>
          <w:p>
            <w:pPr>
              <w:spacing w:lineRule="auto"/>
              <w:jc w:val="left"/>
            </w:pPr>
            <w:r>
              <w:rPr/>
              <w:t xml:space="preserve">-25</w:t>
            </w:r>
          </w:p>
        </w:tc>
        <w:tc>
          <w:tcPr>
            <w:tcBorders>
              <w:bottom w:val="single" w:sz="8" w:space="0" w:color="000000"/>
              <w:right w:val="single" w:sz="8" w:space="0" w:color="000000"/>
            </w:tcBorders>
            <w:vAlign w:val="center"/>
          </w:tcPr>
          <w:p>
            <w:pPr>
              <w:spacing w:lineRule="auto"/>
              <w:jc w:val="left"/>
            </w:pPr>
            <w:r>
              <w:rPr/>
              <w:t xml:space="preserve">63,29</w:t>
            </w:r>
          </w:p>
        </w:tc>
        <w:tc>
          <w:tcPr>
            <w:tcBorders>
              <w:bottom w:val="single" w:sz="8" w:space="0" w:color="000000"/>
              <w:right w:val="single" w:sz="8" w:space="0" w:color="000000"/>
            </w:tcBorders>
            <w:vAlign w:val="center"/>
          </w:tcPr>
          <w:p>
            <w:pPr>
              <w:spacing w:lineRule="auto"/>
              <w:jc w:val="left"/>
            </w:pPr>
            <w:r>
              <w:rPr/>
              <w:t xml:space="preserve">15</w:t>
            </w:r>
          </w:p>
        </w:tc>
        <w:tc>
          <w:tcPr>
            <w:tcBorders>
              <w:bottom w:val="single" w:sz="8" w:space="0" w:color="000000"/>
              <w:right w:val="single" w:sz="8" w:space="0" w:color="000000"/>
            </w:tcBorders>
            <w:vAlign w:val="center"/>
          </w:tcPr>
          <w:p>
            <w:pPr>
              <w:spacing w:lineRule="auto"/>
              <w:jc w:val="left"/>
            </w:pPr>
            <w:r>
              <w:rPr/>
              <w:t xml:space="preserve">1705,6</w:t>
            </w:r>
          </w:p>
        </w:tc>
        <w:tc>
          <w:tcPr>
            <w:tcBorders>
              <w:bottom w:val="single" w:sz="8" w:space="0" w:color="000000"/>
              <w:right w:val="single" w:sz="8" w:space="0" w:color="000000"/>
            </w:tcBorders>
            <w:vAlign w:val="center"/>
          </w:tcPr>
          <w:p>
            <w:pPr>
              <w:spacing w:lineRule="auto"/>
              <w:jc w:val="left"/>
            </w:pPr>
            <w:r>
              <w:rPr/>
              <w:t xml:space="preserve">50</w:t>
            </w:r>
          </w:p>
        </w:tc>
        <w:tc>
          <w:tcPr>
            <w:tcBorders>
              <w:bottom w:val="single" w:sz="8" w:space="0" w:color="000000"/>
              <w:right w:val="single" w:sz="8" w:space="0" w:color="000000"/>
            </w:tcBorders>
            <w:vAlign w:val="center"/>
          </w:tcPr>
          <w:p>
            <w:pPr>
              <w:spacing w:lineRule="auto"/>
              <w:jc w:val="left"/>
            </w:pPr>
            <w:r>
              <w:rPr/>
              <w:t xml:space="preserve">12344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-55</w:t>
            </w:r>
          </w:p>
        </w:tc>
        <w:tc>
          <w:tcPr>
            <w:tcBorders>
              <w:bottom w:val="single" w:sz="8" w:space="0" w:color="000000"/>
              <w:right w:val="single" w:sz="8" w:space="0" w:color="000000"/>
            </w:tcBorders>
            <w:vAlign w:val="center"/>
          </w:tcPr>
          <w:p>
            <w:pPr>
              <w:spacing w:lineRule="auto"/>
              <w:jc w:val="left"/>
            </w:pPr>
            <w:r>
              <w:rPr/>
              <w:t xml:space="preserve">2,093</w:t>
            </w:r>
          </w:p>
        </w:tc>
        <w:tc>
          <w:tcPr>
            <w:tcBorders>
              <w:bottom w:val="single" w:sz="8" w:space="0" w:color="000000"/>
              <w:right w:val="single" w:sz="8" w:space="0" w:color="000000"/>
            </w:tcBorders>
            <w:vAlign w:val="center"/>
          </w:tcPr>
          <w:p>
            <w:pPr>
              <w:spacing w:lineRule="auto"/>
              <w:jc w:val="left"/>
            </w:pPr>
            <w:r>
              <w:rPr/>
              <w:t xml:space="preserve">-20</w:t>
            </w:r>
          </w:p>
        </w:tc>
        <w:tc>
          <w:tcPr>
            <w:tcBorders>
              <w:bottom w:val="single" w:sz="8" w:space="0" w:color="000000"/>
              <w:right w:val="single" w:sz="8" w:space="0" w:color="000000"/>
            </w:tcBorders>
            <w:vAlign w:val="center"/>
          </w:tcPr>
          <w:p>
            <w:pPr>
              <w:spacing w:lineRule="auto"/>
              <w:jc w:val="left"/>
            </w:pPr>
            <w:r>
              <w:rPr/>
              <w:t xml:space="preserve">103,26</w:t>
            </w:r>
          </w:p>
        </w:tc>
        <w:tc>
          <w:tcPr>
            <w:tcBorders>
              <w:bottom w:val="single" w:sz="8" w:space="0" w:color="000000"/>
              <w:right w:val="single" w:sz="8" w:space="0" w:color="000000"/>
            </w:tcBorders>
            <w:vAlign w:val="center"/>
          </w:tcPr>
          <w:p>
            <w:pPr>
              <w:spacing w:lineRule="auto"/>
              <w:jc w:val="left"/>
            </w:pPr>
            <w:r>
              <w:rPr/>
              <w:t xml:space="preserve">20</w:t>
            </w:r>
          </w:p>
        </w:tc>
        <w:tc>
          <w:tcPr>
            <w:tcBorders>
              <w:bottom w:val="single" w:sz="8" w:space="0" w:color="000000"/>
              <w:right w:val="single" w:sz="8" w:space="0" w:color="000000"/>
            </w:tcBorders>
            <w:vAlign w:val="center"/>
          </w:tcPr>
          <w:p>
            <w:pPr>
              <w:spacing w:lineRule="auto"/>
              <w:jc w:val="left"/>
            </w:pPr>
            <w:r>
              <w:rPr/>
              <w:t xml:space="preserve">2338,8</w:t>
            </w:r>
          </w:p>
        </w:tc>
        <w:tc>
          <w:tcPr>
            <w:tcBorders>
              <w:bottom w:val="single" w:sz="8" w:space="0" w:color="000000"/>
              <w:right w:val="single" w:sz="8" w:space="0" w:color="000000"/>
            </w:tcBorders>
            <w:vAlign w:val="center"/>
          </w:tcPr>
          <w:p>
            <w:pPr>
              <w:spacing w:lineRule="auto"/>
              <w:jc w:val="left"/>
            </w:pPr>
            <w:r>
              <w:rPr/>
              <w:t xml:space="preserve">55</w:t>
            </w:r>
          </w:p>
        </w:tc>
        <w:tc>
          <w:tcPr>
            <w:tcBorders>
              <w:bottom w:val="single" w:sz="8" w:space="0" w:color="000000"/>
              <w:right w:val="single" w:sz="8" w:space="0" w:color="000000"/>
            </w:tcBorders>
            <w:vAlign w:val="center"/>
          </w:tcPr>
          <w:p>
            <w:pPr>
              <w:spacing w:lineRule="auto"/>
              <w:jc w:val="left"/>
            </w:pPr>
            <w:r>
              <w:rPr/>
              <w:t xml:space="preserve">15752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-50</w:t>
            </w:r>
          </w:p>
        </w:tc>
        <w:tc>
          <w:tcPr>
            <w:tcBorders>
              <w:bottom w:val="single" w:sz="8" w:space="0" w:color="000000"/>
              <w:right w:val="single" w:sz="8" w:space="0" w:color="000000"/>
            </w:tcBorders>
            <w:vAlign w:val="center"/>
          </w:tcPr>
          <w:p>
            <w:pPr>
              <w:spacing w:lineRule="auto"/>
              <w:jc w:val="left"/>
            </w:pPr>
            <w:r>
              <w:rPr/>
              <w:t xml:space="preserve">3,936</w:t>
            </w:r>
          </w:p>
        </w:tc>
        <w:tc>
          <w:tcPr>
            <w:tcBorders>
              <w:bottom w:val="single" w:sz="8" w:space="0" w:color="000000"/>
              <w:right w:val="single" w:sz="8" w:space="0" w:color="000000"/>
            </w:tcBorders>
            <w:vAlign w:val="center"/>
          </w:tcPr>
          <w:p>
            <w:pPr>
              <w:spacing w:lineRule="auto"/>
              <w:jc w:val="left"/>
            </w:pPr>
            <w:r>
              <w:rPr/>
              <w:t xml:space="preserve">-15</w:t>
            </w:r>
          </w:p>
        </w:tc>
        <w:tc>
          <w:tcPr>
            <w:tcBorders>
              <w:bottom w:val="single" w:sz="8" w:space="0" w:color="000000"/>
              <w:right w:val="single" w:sz="8" w:space="0" w:color="000000"/>
            </w:tcBorders>
            <w:vAlign w:val="center"/>
          </w:tcPr>
          <w:p>
            <w:pPr>
              <w:spacing w:lineRule="auto"/>
              <w:jc w:val="left"/>
            </w:pPr>
            <w:r>
              <w:rPr/>
              <w:t xml:space="preserve">165,30</w:t>
            </w:r>
          </w:p>
        </w:tc>
        <w:tc>
          <w:tcPr>
            <w:tcBorders>
              <w:bottom w:val="single" w:sz="8" w:space="0" w:color="000000"/>
              <w:right w:val="single" w:sz="8" w:space="0" w:color="000000"/>
            </w:tcBorders>
            <w:vAlign w:val="center"/>
          </w:tcPr>
          <w:p>
            <w:pPr>
              <w:spacing w:lineRule="auto"/>
              <w:jc w:val="left"/>
            </w:pPr>
            <w:r>
              <w:rPr/>
              <w:t xml:space="preserve">25</w:t>
            </w:r>
          </w:p>
        </w:tc>
        <w:tc>
          <w:tcPr>
            <w:tcBorders>
              <w:bottom w:val="single" w:sz="8" w:space="0" w:color="000000"/>
              <w:right w:val="single" w:sz="8" w:space="0" w:color="000000"/>
            </w:tcBorders>
            <w:vAlign w:val="center"/>
          </w:tcPr>
          <w:p>
            <w:pPr>
              <w:spacing w:lineRule="auto"/>
              <w:jc w:val="left"/>
            </w:pPr>
            <w:r>
              <w:rPr/>
              <w:t xml:space="preserve">3169,0</w:t>
            </w:r>
          </w:p>
        </w:tc>
        <w:tc>
          <w:tcPr>
            <w:tcBorders>
              <w:bottom w:val="single" w:sz="8" w:space="0" w:color="000000"/>
              <w:right w:val="single" w:sz="8" w:space="0" w:color="000000"/>
            </w:tcBorders>
            <w:vAlign w:val="center"/>
          </w:tcPr>
          <w:p>
            <w:pPr>
              <w:spacing w:lineRule="auto"/>
              <w:jc w:val="left"/>
            </w:pPr>
            <w:r>
              <w:rPr/>
              <w:t xml:space="preserve">60</w:t>
            </w:r>
          </w:p>
        </w:tc>
        <w:tc>
          <w:tcPr>
            <w:tcBorders>
              <w:bottom w:val="single" w:sz="8" w:space="0" w:color="000000"/>
              <w:right w:val="single" w:sz="8" w:space="0" w:color="000000"/>
            </w:tcBorders>
            <w:vAlign w:val="center"/>
          </w:tcPr>
          <w:p>
            <w:pPr>
              <w:spacing w:lineRule="auto"/>
              <w:jc w:val="left"/>
            </w:pPr>
            <w:r>
              <w:rPr/>
              <w:t xml:space="preserve">19932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-45</w:t>
            </w:r>
          </w:p>
        </w:tc>
        <w:tc>
          <w:tcPr>
            <w:tcBorders>
              <w:bottom w:val="single" w:sz="8" w:space="0" w:color="000000"/>
              <w:right w:val="single" w:sz="8" w:space="0" w:color="000000"/>
            </w:tcBorders>
            <w:vAlign w:val="center"/>
          </w:tcPr>
          <w:p>
            <w:pPr>
              <w:spacing w:lineRule="auto"/>
              <w:jc w:val="left"/>
            </w:pPr>
            <w:r>
              <w:rPr/>
              <w:t xml:space="preserve">7,202</w:t>
            </w:r>
          </w:p>
        </w:tc>
        <w:tc>
          <w:tcPr>
            <w:tcBorders>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259,90</w:t>
            </w:r>
          </w:p>
        </w:tc>
        <w:tc>
          <w:tcPr>
            <w:tcBorders>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4245,5</w:t>
            </w:r>
          </w:p>
        </w:tc>
        <w:tc>
          <w:tcPr>
            <w:tcBorders>
              <w:bottom w:val="single" w:sz="8" w:space="0" w:color="000000"/>
              <w:right w:val="single" w:sz="8" w:space="0" w:color="000000"/>
            </w:tcBorders>
            <w:vAlign w:val="center"/>
          </w:tcPr>
          <w:p>
            <w:pPr>
              <w:spacing w:lineRule="auto"/>
              <w:jc w:val="left"/>
            </w:pPr>
            <w:r>
              <w:rPr/>
              <w:t xml:space="preserve">65</w:t>
            </w:r>
          </w:p>
        </w:tc>
        <w:tc>
          <w:tcPr>
            <w:tcBorders>
              <w:bottom w:val="single" w:sz="8" w:space="0" w:color="000000"/>
              <w:right w:val="single" w:sz="8" w:space="0" w:color="000000"/>
            </w:tcBorders>
            <w:vAlign w:val="center"/>
          </w:tcPr>
          <w:p>
            <w:pPr>
              <w:spacing w:lineRule="auto"/>
              <w:jc w:val="left"/>
            </w:pPr>
            <w:r>
              <w:rPr/>
              <w:t xml:space="preserve">25022</w:t>
            </w:r>
          </w:p>
        </w:tc>
      </w:tr>
    </w:tbl>
    <w:p>
      <w:pPr>
        <w:spacing w:lineRule="auto"/>
      </w:pPr>
    </w:p>
    <w:p>
      <w:pPr>
        <w:spacing w:after="220" w:lineRule="auto"/>
      </w:pPr>
      <w:r>
        <w:rPr>
          <w:rFonts w:eastAsia="Georgia" w:cs="Georgia" w:ascii="Georgia" w:hAnsi="Georgia"/>
        </w:rPr>
        <w:t xml:space="preserve">d'après CRC Handbook of Chemistry and Physics - 2004</w:t>
      </w:r>
      <w:r>
        <w:rPr/>
        <w:br w:type="textWrapping"/>
      </w:r>
      <w:r>
        <w:rPr>
          <w:rFonts w:eastAsia="Georgia" w:cs="Georgia" w:ascii="Georgia" w:hAnsi="Georgia"/>
        </w:rPr>
        <w:t xml:space="preserve">Coefficient de traînée</w:t>
      </w:r>
      <w:r>
        <w:rPr/>
        <w:br w:type="textWrapping"/>
      </w:r>
      <w:r>
        <w:rPr>
          <w:rFonts w:eastAsia="Georgia" w:cs="Georgia" w:ascii="Georgia" w:hAnsi="Georgia"/>
        </w:rPr>
        <w:t xml:space="preserve">Le graphe donné figure 9 représente l'évolution du coefficient de traînée d'un cylindre de diamètre </w:t>
      </w:r>
      <m:oMath>
        <m:r>
          <m:rPr>
            <m:sty m:val="i"/>
          </m:rPr>
          <m:t>D</m:t>
        </m:r>
      </m:oMath>
      <w:r>
        <w:rPr/>
        <w:t xml:space="preserve">, de longueur </w:t>
      </w:r>
      <m:oMath>
        <m:r>
          <m:rPr>
            <m:sty m:val="i"/>
          </m:rPr>
          <m:t>L</m:t>
        </m:r>
      </m:oMath>
      <w:r>
        <w:rPr>
          <w:rFonts w:eastAsia="Georgia" w:cs="Georgia" w:ascii="Georgia" w:hAnsi="Georgia"/>
        </w:rPr>
        <w:t xml:space="preserve">, placé dans un écoulement uniforme d'un fluide de masse volumique </w:t>
      </w:r>
      <m:oMath>
        <m:r>
          <m:rPr>
            <m:sty m:val="i"/>
          </m:rPr>
          <m:t>ρ</m:t>
        </m:r>
      </m:oMath>
      <w:r>
        <w:rPr>
          <w:rFonts w:eastAsia="Georgia" w:cs="Georgia" w:ascii="Georgia" w:hAnsi="Georgia"/>
        </w:rPr>
        <w:t xml:space="preserve"> et de viscosité dynamique </w:t>
      </w:r>
      <m:oMath>
        <m:r>
          <m:rPr>
            <m:sty m:val="i"/>
          </m:rPr>
          <m:t>μ</m:t>
        </m:r>
      </m:oMath>
      <w:r>
        <w:rPr/>
        <w:t xml:space="preserve">, de vitesse </w:t>
      </w:r>
      <m:oMath>
        <m:sSub>
          <m:sSubPr/>
          <m:e>
            <m:r>
              <m:rPr>
                <m:sty m:val="i"/>
              </m:rPr>
              <m:t>V</m:t>
            </m:r>
          </m:e>
          <m:sub>
            <m:r>
              <m:rPr>
                <m:sty m:val="p"/>
              </m:rPr>
              <m:t>∞</m:t>
            </m:r>
          </m:sub>
        </m:sSub>
      </m:oMath>
      <w:r>
        <w:rPr>
          <w:rFonts w:eastAsia="Georgia" w:cs="Georgia" w:ascii="Georgia" w:hAnsi="Georgia"/>
        </w:rPr>
        <w:t xml:space="preserve">, perpendiculaire à son axe.</w:t>
      </w:r>
    </w:p>
    <w:p>
      <w:pPr>
        <w:spacing w:lineRule="auto"/>
        <w:jc w:val="center"/>
      </w:pPr>
      <w:r>
        <w:rPr/>
        <w:drawing>
          <wp:inline distB="0" distL="0" distR="0" distT="0">
            <wp:extent cx="5486400" cy="2607256"/>
            <wp:effectExtent b="0" l="0" r="0" t="0"/>
            <wp:docPr id="9" name="image-5e428328eba1ea5a2d6d38a79c5bec188572be67.jpg"/>
            <a:graphic>
              <a:graphicData uri="http://schemas.openxmlformats.org/drawingml/2006/picture">
                <pic:pic>
                  <pic:nvPicPr>
                    <pic:cNvPr id="9" name="image-5e428328eba1ea5a2d6d38a79c5bec188572be67.jpg" descr=""/>
                    <pic:cNvPicPr/>
                  </pic:nvPicPr>
                  <pic:blipFill>
                    <a:blip r:embed="rId13" cstate="print"/>
                    <a:srcRect b="0" l="0" r="0" t="0"/>
                    <a:stretch>
                      <a:fillRect/>
                    </a:stretch>
                  </pic:blipFill>
                  <pic:spPr>
                    <a:xfrm>
                      <a:off x="0" y="0"/>
                      <a:ext cx="5486400" cy="2607256"/>
                    </a:xfrm>
                    <a:prstGeom prst="rect"/>
                  </pic:spPr>
                </pic:pic>
              </a:graphicData>
            </a:graphic>
          </wp:inline>
        </w:drawing>
      </w:r>
    </w:p>
    <w:p>
      <w:pPr>
        <w:spacing w:lineRule="auto"/>
      </w:pPr>
      <w:r>
        <w:rPr>
          <w:rFonts w:eastAsia="Georgia" w:cs="Georgia" w:ascii="Georgia" w:hAnsi="Georgia"/>
        </w:rPr>
        <w:t xml:space="preserve">Figure 9 Coefficient de trainée en fonction du nombre de Reynolds</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c45514a9db48efa57bebad1b3fcf87847f1cd68d.jpg" TargetMode="Internal"/><Relationship Id="rId6" Type="http://schemas.openxmlformats.org/officeDocument/2006/relationships/image" Target="media/image-ade51d1db5f4326e775149c097575fc64b311394.jpg" TargetMode="Internal"/><Relationship Id="rId7" Type="http://schemas.openxmlformats.org/officeDocument/2006/relationships/image" Target="media/image-c9aa29ac627ae96d98104b73e8d892a65c42582b.jpg" TargetMode="Internal"/><Relationship Id="rId8" Type="http://schemas.openxmlformats.org/officeDocument/2006/relationships/image" Target="media/image-f2cf2fda09a80e7a5cc8c37df4c642a24e7c94ad.jpg" TargetMode="Internal"/><Relationship Id="rId9" Type="http://schemas.openxmlformats.org/officeDocument/2006/relationships/image" Target="media/image-42f5b9cab79199b2de7ed92191a4471bf17375e2.jpg" TargetMode="Internal"/><Relationship Id="rId10" Type="http://schemas.openxmlformats.org/officeDocument/2006/relationships/image" Target="media/image-0cfcecff03e0139baf1f320495846270481e87ce.jpg" TargetMode="Internal"/><Relationship Id="rId11" Type="http://schemas.openxmlformats.org/officeDocument/2006/relationships/image" Target="media/image-c6b760807d1eac186261a24da4934a5450333e88.jpg" TargetMode="Internal"/><Relationship Id="rId12" Type="http://schemas.openxmlformats.org/officeDocument/2006/relationships/image" Target="media/image-e6ec97b1edb628a62223b07061a84308773ac1ce.jpg" TargetMode="Internal"/><Relationship Id="rId13" Type="http://schemas.openxmlformats.org/officeDocument/2006/relationships/image" Target="media/image-5e428328eba1ea5a2d6d38a79c5bec188572be67.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2025-09-04T21:51:45.445Z</dcterms:created>
  <dcterms:modified xsi:type="dcterms:W3CDTF">2025-09-04T21:51:45.445Z</dcterms:modified>
</cp:coreProperties>
</file>