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Le vélo hybride : toujours électrique, même sans batterie</w:t>
      </w:r>
    </w:p>
    <w:p>
      <w:pPr>
        <w:spacing w:after="220" w:lineRule="auto"/>
      </w:pPr>
      <w:r>
        <w:rPr>
          <w:rFonts w:eastAsia="Georgia" w:cs="Georgia" w:ascii="Georgia" w:hAnsi="Georgia"/>
        </w:rPr>
        <w:t xml:space="preserve">Le problème comporte 3 parties indépendantes qui abordent le fonctionnement des éléments du vélo hybride présentés figure 1. Le formulaire et les données sont regroupés en fin d'énoncé.</w:t>
      </w:r>
      <w:r>
        <w:rPr/>
        <w:br w:type="textWrapping"/>
      </w:r>
      <w:r>
        <w:rPr>
          <w:rFonts w:eastAsia="Georgia" w:cs="Georgia" w:ascii="Georgia" w:hAnsi="Georgia"/>
        </w:rPr>
        <w:t xml:space="preserve">Certaines questions, repérées par leur numéro souligné, ne sont pas guidées et demandent de l'initiative de la part du candidat. Les pistes de recherche doivent être consignées par le candidat sur sa copie; si elles sont pertinentes, elles seront valorisées. Le barème tient compte du temps nécessaire pour exploiter ces pistes et élaborer un raisonnement, il valorise ces questions de façon très significative.</w:t>
      </w:r>
    </w:p>
    <w:p>
      <w:pPr>
        <w:spacing w:lineRule="auto"/>
        <w:jc w:val="center"/>
      </w:pPr>
      <w:r>
        <w:rPr/>
        <w:drawing>
          <wp:inline distB="0" distL="0" distR="0" distT="0">
            <wp:extent cx="5486400" cy="3249266"/>
            <wp:effectExtent b="0" l="0" r="0" t="0"/>
            <wp:docPr id="1" name="image-41ecb9e0ecbeb2476295724ffaeaaec2d59b0eed.jpg"/>
            <a:graphic>
              <a:graphicData uri="http://schemas.openxmlformats.org/drawingml/2006/picture">
                <pic:pic>
                  <pic:nvPicPr>
                    <pic:cNvPr id="1" name="image-41ecb9e0ecbeb2476295724ffaeaaec2d59b0eed.jpg" descr=""/>
                    <pic:cNvPicPr/>
                  </pic:nvPicPr>
                  <pic:blipFill>
                    <a:blip r:embed="rId5" cstate="print"/>
                    <a:srcRect b="0" l="0" r="0" t="0"/>
                    <a:stretch>
                      <a:fillRect/>
                    </a:stretch>
                  </pic:blipFill>
                  <pic:spPr>
                    <a:xfrm>
                      <a:off x="0" y="0"/>
                      <a:ext cx="5486400" cy="3249266"/>
                    </a:xfrm>
                    <a:prstGeom prst="rect"/>
                  </pic:spPr>
                </pic:pic>
              </a:graphicData>
            </a:graphic>
          </wp:inline>
        </w:drawing>
      </w:r>
    </w:p>
    <w:p>
      <w:pPr>
        <w:spacing w:lineRule="auto"/>
      </w:pPr>
      <w:r>
        <w:rPr>
          <w:rFonts w:eastAsia="Georgia" w:cs="Georgia" w:ascii="Georgia" w:hAnsi="Georgia"/>
        </w:rPr>
        <w:t xml:space="preserve">Figure 1 - Les différents éléments du vélo hybride.</w:t>
      </w:r>
    </w:p>
    <w:p>
      <w:pPr>
        <w:spacing w:after="220" w:lineRule="auto"/>
      </w:pPr>
      <w:r>
        <w:rPr>
          <w:rFonts w:eastAsia="Georgia" w:cs="Georgia" w:ascii="Georgia" w:hAnsi="Georgia"/>
        </w:rPr>
        <w:t xml:space="preserve">Le vélo étudié associe des supercondensateurs, pour une récupération rapide de l'énergie, à une petite batterie lithiumion de 80 Wh ( 650 grammes) pour améliorer l'autonomie. En ville, l'autonomie de ce vélo est celle d'un vélo classique doté d'une batterie de 400 Wh . Le vélo est équipé de roues de 26 pouces (rayon </w:t>
      </w:r>
      <m:oMath>
        <m:sSub>
          <m:sSubPr/>
          <m:e>
            <m:r>
              <m:rPr>
                <m:sty m:val="i"/>
              </m:rPr>
              <m:t>R</m:t>
            </m:r>
          </m:e>
          <m:sub>
            <m:r>
              <m:rPr>
                <m:sty m:val="p"/>
              </m:rPr>
              <m:t>r</m:t>
            </m:r>
          </m:sub>
        </m:sSub>
        <m:r>
          <m:rPr>
            <m:sty m:val="p"/>
          </m:rPr>
          <m:t>=</m:t>
        </m:r>
        <m:r>
          <m:rPr>
            <m:sty m:val="p"/>
          </m:rPr>
          <m:t>0</m:t>
        </m:r>
        <m:r>
          <m:rPr>
            <m:sty m:val="p"/>
          </m:rPr>
          <m:t>,</m:t>
        </m:r>
        <m:r>
          <m:rPr>
            <m:sty m:val="p"/>
          </m:rPr>
          <m:t>35</m:t>
        </m:r>
        <m:r>
          <m:rPr>
            <m:nor/>
          </m:rPr>
          <m:t xml:space="preserve"> </m:t>
        </m:r>
        <m:r>
          <m:rPr>
            <m:sty m:val="p"/>
          </m:rPr>
          <m:t>m</m:t>
        </m:r>
      </m:oMath>
      <w:r>
        <w:rPr/>
        <w:t xml:space="preserve"> ).</w:t>
      </w:r>
      <w:r>
        <w:rPr/>
        <w:br w:type="textWrapping"/>
      </w:r>
      <w:r>
        <w:rPr>
          <w:rFonts w:eastAsia="Georgia" w:cs="Georgia" w:ascii="Georgia" w:hAnsi="Georgia"/>
        </w:rPr>
        <w:t xml:space="preserve">L'articulation entre les supercondensateurs et la batterie lithium-ion du vélo hybride est présentée figure 2.</w:t>
      </w:r>
    </w:p>
    <w:p>
      <w:pPr>
        <w:spacing w:lineRule="auto"/>
        <w:jc w:val="center"/>
      </w:pPr>
      <w:r>
        <w:rPr/>
        <w:drawing>
          <wp:inline distB="0" distL="0" distR="0" distT="0">
            <wp:extent cx="5486400" cy="2030049"/>
            <wp:effectExtent b="0" l="0" r="0" t="0"/>
            <wp:docPr id="2" name="image-1e9e887c17650b2d66d423464401b75cede6d6d9.jpg"/>
            <a:graphic>
              <a:graphicData uri="http://schemas.openxmlformats.org/drawingml/2006/picture">
                <pic:pic>
                  <pic:nvPicPr>
                    <pic:cNvPr id="2" name="image-1e9e887c17650b2d66d423464401b75cede6d6d9.jpg" descr=""/>
                    <pic:cNvPicPr/>
                  </pic:nvPicPr>
                  <pic:blipFill>
                    <a:blip r:embed="rId6" cstate="print"/>
                    <a:srcRect b="0" l="0" r="0" t="0"/>
                    <a:stretch>
                      <a:fillRect/>
                    </a:stretch>
                  </pic:blipFill>
                  <pic:spPr>
                    <a:xfrm>
                      <a:off x="0" y="0"/>
                      <a:ext cx="5486400" cy="2030049"/>
                    </a:xfrm>
                    <a:prstGeom prst="rect"/>
                  </pic:spPr>
                </pic:pic>
              </a:graphicData>
            </a:graphic>
          </wp:inline>
        </w:drawing>
      </w:r>
    </w:p>
    <w:p>
      <w:pPr>
        <w:spacing w:lineRule="auto"/>
      </w:pPr>
      <w:r>
        <w:rPr>
          <w:rFonts w:eastAsia="Georgia" w:cs="Georgia" w:ascii="Georgia" w:hAnsi="Georgia"/>
        </w:rPr>
        <w:t xml:space="preserve">Figure 2 - Schéma de fonctionnement du vélo hybride.</w:t>
      </w:r>
    </w:p>
    <w:p>
      <w:pPr>
        <w:spacing w:line="271" w:before="330" w:lineRule="auto"/>
      </w:pPr>
      <w:r>
        <w:rPr>
          <w:b/>
          <w:sz w:val="42"/>
        </w:rPr>
        <w:t xml:space="preserve">I - Le pack de supercondensateurs</w:t>
      </w:r>
    </w:p>
    <w:p>
      <w:pPr>
        <w:spacing w:after="220" w:lineRule="auto"/>
      </w:pPr>
      <w:r>
        <w:rPr>
          <w:rFonts w:eastAsia="Georgia" w:cs="Georgia" w:ascii="Georgia" w:hAnsi="Georgia"/>
        </w:rPr>
        <w:t xml:space="preserve">Les supercondensateurs sont conçus pour stocker et restituer rapidement de l'énergie électrique, en quantité bien supérieure aux condensateurs usuels et avec des temps de réponse et des puissances échangées bien meilleurs que ce que permettent les batteries électrochimiques classiques.</w:t>
      </w:r>
    </w:p>
    <w:p>
      <w:pPr>
        <w:spacing w:lineRule="auto"/>
        <w:jc w:val="center"/>
      </w:pPr>
      <w:r>
        <w:rPr/>
        <w:drawing>
          <wp:inline distB="0" distL="0" distR="0" distT="0">
            <wp:extent cx="5486400" cy="3002604"/>
            <wp:effectExtent b="0" l="0" r="0" t="0"/>
            <wp:docPr id="3" name="image-5b339136b96eac2d509ccd2fea370ff7dec281c6.jpg"/>
            <a:graphic>
              <a:graphicData uri="http://schemas.openxmlformats.org/drawingml/2006/picture">
                <pic:pic>
                  <pic:nvPicPr>
                    <pic:cNvPr id="3" name="image-5b339136b96eac2d509ccd2fea370ff7dec281c6.jpg" descr=""/>
                    <pic:cNvPicPr/>
                  </pic:nvPicPr>
                  <pic:blipFill>
                    <a:blip r:embed="rId7" cstate="print"/>
                    <a:srcRect b="0" l="0" r="0" t="0"/>
                    <a:stretch>
                      <a:fillRect/>
                    </a:stretch>
                  </pic:blipFill>
                  <pic:spPr>
                    <a:xfrm>
                      <a:off x="0" y="0"/>
                      <a:ext cx="5486400" cy="3002604"/>
                    </a:xfrm>
                    <a:prstGeom prst="rect"/>
                  </pic:spPr>
                </pic:pic>
              </a:graphicData>
            </a:graphic>
          </wp:inline>
        </w:drawing>
      </w:r>
    </w:p>
    <w:p>
      <w:pPr>
        <w:spacing w:lineRule="auto"/>
      </w:pPr>
      <w:r>
        <w:rPr>
          <w:rFonts w:eastAsia="Georgia" w:cs="Georgia" w:ascii="Georgia" w:hAnsi="Georgia"/>
        </w:rPr>
        <w:t xml:space="preserve">Figure 3 - Schéma du condensateur à double couche.</w:t>
      </w:r>
    </w:p>
    <w:p>
      <w:pPr>
        <w:spacing w:after="220" w:lineRule="auto"/>
      </w:pPr>
      <w:r>
        <w:rPr>
          <w:rFonts w:eastAsia="Georgia" w:cs="Georgia" w:ascii="Georgia" w:hAnsi="Georgia"/>
        </w:rPr>
        <w:t xml:space="preserve">À la différence d'un condensateur usuel, les deux électrodes d'un supercondensateur ne sont pas séparées par un isolant mais par une solution contenant des ions. Lorsque le condensateur est déchargé, les ions sont répartis aléatoirement dans la solution. Lorsqu'il est chargé, les ions négatifs sont attirés vers l'électrode portant une charge positive et réciproquement, ce qui conduit à une accumulation d'ions au voisinage de chaque électrode formant une double couche électrochimique.</w:t>
      </w:r>
      <w:r>
        <w:rPr/>
        <w:br w:type="textWrapping"/>
      </w:r>
      <w:r>
        <w:rPr>
          <w:rFonts w:eastAsia="Georgia" w:cs="Georgia" w:ascii="Georgia" w:hAnsi="Georgia"/>
        </w:rPr>
        <w:t xml:space="preserve">Dans toute la suite, on considère le supercondensateur comme un système purement unidimensionnel d'axe ( </w:t>
      </w:r>
      <m:oMath>
        <m:r>
          <m:rPr>
            <m:sty m:val="i"/>
          </m:rPr>
          <m:t>O</m:t>
        </m:r>
        <m:r>
          <m:rPr>
            <m:sty m:val="i"/>
          </m:rPr>
          <m:t>x</m:t>
        </m:r>
      </m:oMath>
      <w:r>
        <w:rPr/>
        <w:t xml:space="preserve"> ), de surface transverse </w:t>
      </w:r>
      <m:oMath>
        <m:r>
          <m:rPr>
            <m:sty m:val="i"/>
          </m:rPr>
          <m:t>S</m:t>
        </m:r>
      </m:oMath>
      <w:r>
        <w:rPr>
          <w:rFonts w:eastAsia="Georgia" w:cs="Georgia" w:ascii="Georgia" w:hAnsi="Georgia"/>
        </w:rPr>
        <w:t xml:space="preserve"> et d'épaisseur totale </w:t>
      </w:r>
      <m:oMath>
        <m:r>
          <m:rPr>
            <m:sty m:val="p"/>
          </m:rPr>
          <m:t>2</m:t>
        </m:r>
        <m:r>
          <m:rPr>
            <m:sty m:val="i"/>
          </m:rPr>
          <m:t>a</m:t>
        </m:r>
        <m:r>
          <m:rPr>
            <m:sty m:val="p"/>
          </m:rPr>
          <m:t>(</m:t>
        </m:r>
        <m:rad>
          <m:radPr>
            <m:degHide m:val="1"/>
            <m:ctrlPr>
              <w:rPr>
                <w:rFonts w:ascii="Cambria Math" w:hAnsi="Cambria Math"/>
              </w:rPr>
            </m:ctrlPr>
          </m:radPr>
          <m:deg/>
          <m:e>
            <m:r>
              <m:rPr>
                <m:sty m:val="i"/>
              </m:rPr>
              <m:t>S</m:t>
            </m:r>
          </m:e>
        </m:rad>
        <m:r>
          <m:rPr>
            <m:sty m:val="p"/>
          </m:rPr>
          <m:t>≫</m:t>
        </m:r>
        <m:r>
          <m:rPr>
            <m:sty m:val="i"/>
          </m:rPr>
          <m:t>a</m:t>
        </m:r>
        <m:r>
          <m:rPr>
            <m:sty m:val="p"/>
          </m:rPr>
          <m:t>)</m:t>
        </m:r>
      </m:oMath>
      <w:r>
        <w:rPr>
          <w:rFonts w:eastAsia="Georgia" w:cs="Georgia" w:ascii="Georgia" w:hAnsi="Georgia"/>
        </w:rPr>
        <w:t xml:space="preserve">. Les propriétés électromagnétiques du solvant de l'électrolyte sont analogues à celles du vide, mais avec une permittivité diélectrique </w:t>
      </w:r>
      <m:oMath>
        <m:sSub>
          <m:sSubPr/>
          <m:e>
            <m:r>
              <m:rPr>
                <m:sty m:val="i"/>
              </m:rPr>
              <m:t>ε</m:t>
            </m:r>
          </m:e>
          <m:sub>
            <m:r>
              <m:rPr>
                <m:sty m:val="p"/>
              </m:rPr>
              <m:t>0</m:t>
            </m:r>
          </m:sub>
        </m:sSub>
        <m:sSub>
          <m:sSubPr/>
          <m:e>
            <m:r>
              <m:rPr>
                <m:sty m:val="i"/>
              </m:rPr>
              <m:t>ε</m:t>
            </m:r>
          </m:e>
          <m:sub>
            <m:r>
              <m:rPr>
                <m:sty m:val="p"/>
              </m:rPr>
              <m:t>r</m:t>
            </m:r>
          </m:sub>
        </m:sSub>
      </m:oMath>
      <w:r>
        <w:rPr/>
        <w:t xml:space="preserve"> au lieu de </w:t>
      </w:r>
      <m:oMath>
        <m:sSub>
          <m:sSubPr/>
          <m:e>
            <m:r>
              <m:rPr>
                <m:sty m:val="i"/>
              </m:rPr>
              <m:t>ε</m:t>
            </m:r>
          </m:e>
          <m:sub>
            <m:r>
              <m:rPr>
                <m:sty m:val="p"/>
              </m:rPr>
              <m:t>0</m:t>
            </m:r>
          </m:sub>
        </m:sSub>
      </m:oMath>
      <w:r>
        <w:rPr/>
        <w:t xml:space="preserve">.</w:t>
      </w:r>
    </w:p>
    <w:p>
      <w:pPr>
        <w:spacing w:line="271" w:before="330" w:lineRule="auto"/>
      </w:pPr>
      <w:r>
        <w:rPr>
          <w:rFonts w:eastAsia="Georgia" w:cs="Georgia" w:ascii="Georgia" w:hAnsi="Georgia"/>
          <w:b/>
          <w:sz w:val="42"/>
        </w:rPr>
        <w:t xml:space="preserve">I. 1 - Étude d'un supercondensateur</w:t>
      </w:r>
    </w:p>
    <w:p>
      <w:pPr>
        <w:spacing w:after="220" w:lineRule="auto"/>
      </w:pPr>
      <w:r>
        <w:rPr>
          <w:rFonts w:eastAsia="Georgia" w:cs="Georgia" w:ascii="Georgia" w:hAnsi="Georgia"/>
        </w:rPr>
        <w:t xml:space="preserve">Compte tenu de la très faible épaisseur de la double couche électrochimique, on la modélise simplement par une distribution surfacique de charge </w:t>
      </w:r>
      <m:oMath>
        <m:sSup>
          <m:sSupPr/>
          <m:e>
            <m:r>
              <m:rPr>
                <m:sty m:val="i"/>
              </m:rPr>
              <m:t>σ</m:t>
            </m:r>
          </m:e>
          <m:sup>
            <m:r>
              <m:rPr>
                <m:sty m:val="i"/>
              </m:rPr>
              <m:t>′</m:t>
            </m:r>
          </m:sup>
        </m:sSup>
      </m:oMath>
      <w:r>
        <w:rPr>
          <w:rFonts w:eastAsia="Georgia" w:cs="Georgia" w:ascii="Georgia" w:hAnsi="Georgia"/>
        </w:rPr>
        <w:t xml:space="preserve">, distante des électrodes d'une distance </w:t>
      </w:r>
      <m:oMath>
        <m:r>
          <m:rPr>
            <m:sty m:val="i"/>
          </m:rPr>
          <m:t>δ</m:t>
        </m:r>
        <m:r>
          <m:rPr>
            <m:sty m:val="p"/>
          </m:rPr>
          <m:t>≪</m:t>
        </m:r>
        <m:r>
          <m:rPr>
            <m:sty m:val="i"/>
          </m:rPr>
          <m:t>a</m:t>
        </m:r>
      </m:oMath>
      <w:r>
        <w:rPr/>
        <w:t xml:space="preserve"> (voir figure 3 ). En pratique, </w:t>
      </w:r>
      <m:oMath>
        <m:r>
          <m:rPr>
            <m:sty m:val="i"/>
          </m:rPr>
          <m:t>δ</m:t>
        </m:r>
      </m:oMath>
      <w:r>
        <w:rPr>
          <w:rFonts w:eastAsia="Georgia" w:cs="Georgia" w:ascii="Georgia" w:hAnsi="Georgia"/>
        </w:rPr>
        <w:t xml:space="preserve"> peut atteindre une dizaine de nanomètres alors que </w:t>
      </w:r>
      <m:oMath>
        <m:r>
          <m:rPr>
            <m:sty m:val="i"/>
          </m:rPr>
          <m:t>a</m:t>
        </m:r>
      </m:oMath>
      <w:r>
        <w:rPr>
          <w:rFonts w:eastAsia="Georgia" w:cs="Georgia" w:ascii="Georgia" w:hAnsi="Georgia"/>
        </w:rPr>
        <w:t xml:space="preserve"> peut difficilement être inférieure au micromètre. Ce modèle est appelé modèle de Helmholtz.</w:t>
      </w:r>
    </w:p>
    <w:p>
      <w:pPr>
        <w:spacing w:after="220" w:lineRule="auto"/>
      </w:pPr>
      <w:r>
        <w:rPr>
          <w:rFonts w:eastAsia="Georgia" w:cs="Georgia" w:ascii="Georgia" w:hAnsi="Georgia"/>
        </w:rPr>
        <w:t xml:space="preserve">Q1. Déterminer le champ électrostatique </w:t>
      </w:r>
      <m:oMath>
        <m:acc>
          <m:accPr>
            <m:chr m:val="⃗"/>
          </m:accPr>
          <m:e>
            <m:sSub>
              <m:sSubPr/>
              <m:e>
                <m:r>
                  <m:rPr>
                    <m:sty m:val="i"/>
                  </m:rPr>
                  <m:t>E</m:t>
                </m:r>
              </m:e>
              <m:sub>
                <m:r>
                  <m:rPr>
                    <m:sty m:val="p"/>
                  </m:rPr>
                  <m:t>p</m:t>
                </m:r>
              </m:sub>
            </m:sSub>
          </m:e>
        </m:acc>
      </m:oMath>
      <w:r>
        <w:rPr>
          <w:rFonts w:eastAsia="Georgia" w:cs="Georgia" w:ascii="Georgia" w:hAnsi="Georgia"/>
        </w:rPr>
        <w:t xml:space="preserve"> créé par un plan infini de densité surfacique de charge </w:t>
      </w:r>
      <m:oMath>
        <m:r>
          <m:rPr>
            <m:sty m:val="i"/>
          </m:rPr>
          <m:t>σ</m:t>
        </m:r>
      </m:oMath>
      <w:r>
        <w:rPr>
          <w:rFonts w:eastAsia="Georgia" w:cs="Georgia" w:ascii="Georgia" w:hAnsi="Georgia"/>
        </w:rPr>
        <w:t xml:space="preserve">. En déduire le champ électrostatique </w:t>
      </w:r>
      <m:oMath>
        <m:acc>
          <m:accPr>
            <m:chr m:val="⃗"/>
          </m:accPr>
          <m:e>
            <m:r>
              <m:rPr>
                <m:sty m:val="i"/>
              </m:rPr>
              <m:t>E</m:t>
            </m:r>
          </m:e>
        </m:acc>
      </m:oMath>
      <w:r>
        <w:rPr>
          <w:rFonts w:eastAsia="Georgia" w:cs="Georgia" w:ascii="Georgia" w:hAnsi="Georgia"/>
        </w:rPr>
        <w:t xml:space="preserve"> entre les deux électrodes du condensateur double couche </w:t>
      </w:r>
      <m:oMath>
        <m:r>
          <m:rPr>
            <m:sty m:val="p"/>
          </m:rPr>
          <m:t>(</m:t>
        </m:r>
        <m:r>
          <m:rPr>
            <m:sty m:val="p"/>
          </m:rPr>
          <m:t>−</m:t>
        </m:r>
        <m:r>
          <m:rPr>
            <m:sty m:val="i"/>
          </m:rPr>
          <m:t>a</m:t>
        </m:r>
        <m:r>
          <m:rPr>
            <m:sty m:val="p"/>
          </m:rPr>
          <m:t>&lt;</m:t>
        </m:r>
        <m:r>
          <m:rPr>
            <m:sty m:val="i"/>
          </m:rPr>
          <m:t>x</m:t>
        </m:r>
        <m:r>
          <m:rPr>
            <m:sty m:val="p"/>
          </m:rPr>
          <m:t>&lt;</m:t>
        </m:r>
        <m:r>
          <m:rPr>
            <m:sty m:val="i"/>
          </m:rPr>
          <m:t>a</m:t>
        </m:r>
        <m:r>
          <m:rPr>
            <m:sty m:val="p"/>
          </m:rPr>
          <m:t>)</m:t>
        </m:r>
      </m:oMath>
      <w:r>
        <w:rPr/>
        <w:t xml:space="preserve">.</w:t>
      </w:r>
    </w:p>
    <w:p>
      <w:pPr>
        <w:spacing w:after="220" w:lineRule="auto"/>
      </w:pPr>
      <w:r>
        <w:rPr>
          <w:rFonts w:eastAsia="Georgia" w:cs="Georgia" w:ascii="Georgia" w:hAnsi="Georgia"/>
        </w:rPr>
        <w:t xml:space="preserve">Q2. En raisonnant sur le potentiel électrostatique, montrer que</w:t>
      </w:r>
    </w:p>
    <w:p>
      <w:pPr>
        <w:spacing w:after="220" w:lineRule="auto"/>
      </w:pPr>
      <m:oMathPara>
        <m:oMath>
          <m:r>
            <m:rPr>
              <m:sty m:val="i"/>
            </m:rPr>
            <m:t>U</m:t>
          </m:r>
          <m:r>
            <m:rPr>
              <m:sty m:val="p"/>
            </m:rPr>
            <m:t>=</m:t>
          </m:r>
          <m:f>
            <m:fPr>
              <m:ctrlPr>
                <w:rPr>
                  <w:rFonts w:ascii="Cambria Math" w:hAnsi="Cambria Math"/>
                </w:rPr>
              </m:ctrlPr>
            </m:fPr>
            <m:num>
              <m:r>
                <m:rPr>
                  <m:sty m:val="p"/>
                </m:rPr>
                <m:t>2</m:t>
              </m:r>
              <m:r>
                <m:rPr>
                  <m:sty m:val="i"/>
                </m:rPr>
                <m:t>a</m:t>
              </m:r>
            </m:num>
            <m:den>
              <m:sSub>
                <m:sSubPr/>
                <m:e>
                  <m:r>
                    <m:rPr>
                      <m:sty m:val="i"/>
                    </m:rPr>
                    <m:t>ε</m:t>
                  </m:r>
                </m:e>
                <m:sub>
                  <m:r>
                    <m:rPr>
                      <m:sty m:val="p"/>
                    </m:rPr>
                    <m:t>0</m:t>
                  </m:r>
                </m:sub>
              </m:sSub>
              <m:sSub>
                <m:sSubPr/>
                <m:e>
                  <m:r>
                    <m:rPr>
                      <m:sty m:val="i"/>
                    </m:rPr>
                    <m:t>ε</m:t>
                  </m:r>
                </m:e>
                <m:sub>
                  <m:r>
                    <m:rPr>
                      <m:sty m:val="p"/>
                    </m:rPr>
                    <m:t>r</m:t>
                  </m:r>
                </m:sub>
              </m:sSub>
            </m:den>
          </m:f>
          <m:r>
            <m:rPr>
              <m:sty m:val="i"/>
            </m:rPr>
            <m:t>σ</m:t>
          </m:r>
          <m:r>
            <m:rPr>
              <m:sty m:val="p"/>
            </m:rPr>
            <m:t>−</m:t>
          </m:r>
          <m:f>
            <m:fPr>
              <m:ctrlPr>
                <w:rPr>
                  <w:rFonts w:ascii="Cambria Math" w:hAnsi="Cambria Math"/>
                </w:rPr>
              </m:ctrlPr>
            </m:fPr>
            <m:num>
              <m:r>
                <m:rPr>
                  <m:sty m:val="p"/>
                </m:rPr>
                <m:t>2</m:t>
              </m:r>
              <m:r>
                <m:rPr>
                  <m:sty m:val="p"/>
                </m:rPr>
                <m:t>(</m:t>
              </m:r>
              <m:r>
                <m:rPr>
                  <m:sty m:val="i"/>
                </m:rPr>
                <m:t>a</m:t>
              </m:r>
              <m:r>
                <m:rPr>
                  <m:sty m:val="p"/>
                </m:rPr>
                <m:t>−</m:t>
              </m:r>
              <m:r>
                <m:rPr>
                  <m:sty m:val="i"/>
                </m:rPr>
                <m:t>δ</m:t>
              </m:r>
              <m:r>
                <m:rPr>
                  <m:sty m:val="p"/>
                </m:rPr>
                <m:t>)</m:t>
              </m:r>
            </m:num>
            <m:den>
              <m:sSub>
                <m:sSubPr/>
                <m:e>
                  <m:r>
                    <m:rPr>
                      <m:sty m:val="i"/>
                    </m:rPr>
                    <m:t>ε</m:t>
                  </m:r>
                </m:e>
                <m:sub>
                  <m:r>
                    <m:rPr>
                      <m:sty m:val="p"/>
                    </m:rPr>
                    <m:t>0</m:t>
                  </m:r>
                </m:sub>
              </m:sSub>
              <m:sSub>
                <m:sSubPr/>
                <m:e>
                  <m:r>
                    <m:rPr>
                      <m:sty m:val="i"/>
                    </m:rPr>
                    <m:t>ε</m:t>
                  </m:r>
                </m:e>
                <m:sub>
                  <m:r>
                    <m:rPr>
                      <m:sty m:val="p"/>
                    </m:rPr>
                    <m:t>r</m:t>
                  </m:r>
                </m:sub>
              </m:sSub>
            </m:den>
          </m:f>
          <m:sSup>
            <m:sSupPr/>
            <m:e>
              <m:r>
                <m:rPr>
                  <m:sty m:val="i"/>
                </m:rPr>
                <m:t>σ</m:t>
              </m:r>
            </m:e>
            <m:sup>
              <m:r>
                <m:rPr>
                  <m:sty m:val="i"/>
                </m:rPr>
                <m:t>′</m:t>
              </m:r>
            </m:sup>
          </m:sSup>
          <m:r>
            <m:rPr>
              <m:sty m:val="p"/>
            </m:rPr>
            <m:t>.</m:t>
          </m:r>
        </m:oMath>
      </m:oMathPara>
    </w:p>
    <w:p>
      <w:pPr>
        <w:spacing w:after="220" w:lineRule="auto"/>
      </w:pPr>
      <w:r>
        <w:rPr>
          <w:rFonts w:eastAsia="Georgia" w:cs="Georgia" w:ascii="Georgia" w:hAnsi="Georgia"/>
        </w:rPr>
        <w:t xml:space="preserve">Q3. Justifier qu'en régime indépendant du temps, on a </w:t>
      </w:r>
      <m:oMath>
        <m:sSup>
          <m:sSupPr/>
          <m:e>
            <m:r>
              <m:rPr>
                <m:sty m:val="i"/>
              </m:rPr>
              <m:t>σ</m:t>
            </m:r>
          </m:e>
          <m:sup>
            <m:r>
              <m:rPr>
                <m:sty m:val="i"/>
              </m:rPr>
              <m:t>′</m:t>
            </m:r>
          </m:sup>
        </m:sSup>
        <m:r>
          <m:rPr>
            <m:sty m:val="p"/>
          </m:rPr>
          <m:t>=</m:t>
        </m:r>
        <m:r>
          <m:rPr>
            <m:sty m:val="i"/>
          </m:rPr>
          <m:t>σ</m:t>
        </m:r>
      </m:oMath>
      <w:r>
        <w:rPr>
          <w:rFonts w:eastAsia="Georgia" w:cs="Georgia" w:ascii="Georgia" w:hAnsi="Georgia"/>
        </w:rPr>
        <w:t xml:space="preserve">. En déduire l'expression de la capacité </w:t>
      </w:r>
      <m:oMath>
        <m:sSub>
          <m:sSubPr/>
          <m:e>
            <m:r>
              <m:rPr>
                <m:sty m:val="i"/>
              </m:rPr>
              <m:t>C</m:t>
            </m:r>
          </m:e>
          <m:sub>
            <m:r>
              <m:rPr>
                <m:sty m:val="p"/>
              </m:rPr>
              <m:t>0</m:t>
            </m:r>
          </m:sub>
        </m:sSub>
      </m:oMath>
      <w:r>
        <w:rPr>
          <w:rFonts w:eastAsia="Georgia" w:cs="Georgia" w:ascii="Georgia" w:hAnsi="Georgia"/>
        </w:rPr>
        <w:t xml:space="preserve"> du supercondensateur en régime indépendant du temps. Comparer </w:t>
      </w:r>
      <m:oMath>
        <m:sSub>
          <m:sSubPr/>
          <m:e>
            <m:r>
              <m:rPr>
                <m:sty m:val="i"/>
              </m:rPr>
              <m:t>C</m:t>
            </m:r>
          </m:e>
          <m:sub>
            <m:r>
              <m:rPr>
                <m:sty m:val="p"/>
              </m:rPr>
              <m:t>0</m:t>
            </m:r>
          </m:sub>
        </m:sSub>
      </m:oMath>
      <w:r>
        <w:rPr>
          <w:rFonts w:eastAsia="Georgia" w:cs="Georgia" w:ascii="Georgia" w:hAnsi="Georgia"/>
        </w:rPr>
        <w:t xml:space="preserve"> à la capacité d'un condensateur de même géométrie dans lequel la solution ionique serait remplacée par de l'air, de permittivité diélectrique </w:t>
      </w:r>
      <m:oMath>
        <m:sSub>
          <m:sSubPr/>
          <m:e>
            <m:r>
              <m:rPr>
                <m:sty m:val="i"/>
              </m:rPr>
              <m:t>ε</m:t>
            </m:r>
          </m:e>
          <m:sub>
            <m:r>
              <m:rPr>
                <m:sty m:val="p"/>
              </m:rPr>
              <m:t>0</m:t>
            </m:r>
          </m:sub>
        </m:sSub>
      </m:oMath>
      <w:r>
        <w:rPr/>
        <w:t xml:space="preserve">.</w:t>
      </w:r>
    </w:p>
    <w:p>
      <w:pPr>
        <w:spacing w:line="271" w:before="330" w:lineRule="auto"/>
      </w:pPr>
      <w:r>
        <w:rPr>
          <w:rFonts w:eastAsia="Georgia" w:cs="Georgia" w:ascii="Georgia" w:hAnsi="Georgia"/>
          <w:b/>
          <w:sz w:val="42"/>
        </w:rPr>
        <w:t xml:space="preserve">I. 2 - Modèle électrocinétique du supercondensateur</w:t>
      </w:r>
    </w:p>
    <w:p>
      <w:pPr>
        <w:spacing w:after="220" w:lineRule="auto"/>
      </w:pPr>
      <w:r>
        <w:rPr>
          <w:rFonts w:eastAsia="Georgia" w:cs="Georgia" w:ascii="Georgia" w:hAnsi="Georgia"/>
        </w:rPr>
        <w:t xml:space="preserve">Contrairement aux condensateurs usuels dont le temps de charge (ou de décharge) est essentiellement gouverné par la résistance du circuit extérieur, le temps de réponse des supercondensateurs, et donc la puissance maximale qu'ils peuvent délivrer, est dû au temps nécessaire pour former la double couche électrochimique par transport de charge au sein de l'électrolyte.</w:t>
      </w:r>
      <w:r>
        <w:rPr/>
        <w:br w:type="textWrapping"/>
      </w:r>
      <w:r>
        <w:rPr>
          <w:rFonts w:eastAsia="Georgia" w:cs="Georgia" w:ascii="Georgia" w:hAnsi="Georgia"/>
        </w:rPr>
        <w:t xml:space="preserve">À l'instant initial </w:t>
      </w:r>
      <m:oMath>
        <m:r>
          <m:rPr>
            <m:sty m:val="i"/>
          </m:rPr>
          <m:t>t</m:t>
        </m:r>
        <m:r>
          <m:rPr>
            <m:sty m:val="p"/>
          </m:rPr>
          <m:t>=</m:t>
        </m:r>
        <m:r>
          <m:rPr>
            <m:sty m:val="p"/>
          </m:rPr>
          <m:t>0</m:t>
        </m:r>
      </m:oMath>
      <w:r>
        <w:rPr>
          <w:rFonts w:eastAsia="Georgia" w:cs="Georgia" w:ascii="Georgia" w:hAnsi="Georgia"/>
        </w:rPr>
        <w:t xml:space="preserve">, le supercondensateur est soumis à un échelon de tension </w:t>
      </w:r>
      <m:oMath>
        <m:r>
          <m:rPr>
            <m:sty m:val="i"/>
          </m:rPr>
          <m:t>U</m:t>
        </m:r>
      </m:oMath>
      <w:r>
        <w:rPr>
          <w:rFonts w:eastAsia="Georgia" w:cs="Georgia" w:ascii="Georgia" w:hAnsi="Georgia"/>
        </w:rPr>
        <w:t xml:space="preserve"> à ses bornes. Les doubles couches se forment progressivement, partant de </w:t>
      </w:r>
      <m:oMath>
        <m:sSup>
          <m:sSupPr/>
          <m:e>
            <m:r>
              <m:rPr>
                <m:sty m:val="i"/>
              </m:rPr>
              <m:t>σ</m:t>
            </m:r>
          </m:e>
          <m:sup>
            <m:r>
              <m:rPr>
                <m:sty m:val="i"/>
              </m:rPr>
              <m:t>′</m:t>
            </m:r>
          </m:sup>
        </m:sSup>
        <m:r>
          <m:rPr>
            <m:sty m:val="p"/>
          </m:rPr>
          <m:t>(</m:t>
        </m:r>
        <m:r>
          <m:rPr>
            <m:sty m:val="i"/>
          </m:rPr>
          <m:t>t</m:t>
        </m:r>
        <m:r>
          <m:rPr>
            <m:sty m:val="p"/>
          </m:rPr>
          <m:t>=</m:t>
        </m:r>
        <m:r>
          <m:rPr>
            <m:sty m:val="p"/>
          </m:rPr>
          <m:t>0</m:t>
        </m:r>
        <m:r>
          <m:rPr>
            <m:sty m:val="p"/>
          </m:rPr>
          <m:t>)</m:t>
        </m:r>
        <m:r>
          <m:rPr>
            <m:sty m:val="p"/>
          </m:rPr>
          <m:t>=</m:t>
        </m:r>
        <m:r>
          <m:rPr>
            <m:sty m:val="p"/>
          </m:rPr>
          <m:t>0</m:t>
        </m:r>
      </m:oMath>
      <w:r>
        <w:rPr>
          <w:rFonts w:eastAsia="Georgia" w:cs="Georgia" w:ascii="Georgia" w:hAnsi="Georgia"/>
        </w:rPr>
        <w:t xml:space="preserve">. Les expressions des champs électriques sont celles calculées à la question Q1, avec </w:t>
      </w:r>
      <m:oMath>
        <m:sSup>
          <m:sSupPr/>
          <m:e>
            <m:r>
              <m:rPr>
                <m:sty m:val="i"/>
              </m:rPr>
              <m:t>σ</m:t>
            </m:r>
          </m:e>
          <m:sup>
            <m:r>
              <m:rPr>
                <m:sty m:val="i"/>
              </m:rPr>
              <m:t>′</m:t>
            </m:r>
          </m:sup>
        </m:sSup>
        <m:r>
          <m:rPr>
            <m:sty m:val="p"/>
          </m:rPr>
          <m:t>≠</m:t>
        </m:r>
        <m:r>
          <m:rPr>
            <m:sty m:val="i"/>
          </m:rPr>
          <m:t>σ</m:t>
        </m:r>
      </m:oMath>
      <w:r>
        <w:rPr/>
        <w:t xml:space="preserve"> a priori. On note </w:t>
      </w:r>
      <m:oMath>
        <m:r>
          <m:rPr>
            <m:sty m:val="i"/>
          </m:rPr>
          <m:t>γ</m:t>
        </m:r>
      </m:oMath>
      <w:r>
        <w:rPr>
          <w:rFonts w:eastAsia="Georgia" w:cs="Georgia" w:ascii="Georgia" w:hAnsi="Georgia"/>
        </w:rPr>
        <w:t xml:space="preserve"> la conductivité électrique de la solution, sachant que les doubles couches ( </w:t>
      </w:r>
      <m:oMath>
        <m:r>
          <m:rPr>
            <m:sty m:val="p"/>
          </m:rPr>
          <m:t>−</m:t>
        </m:r>
        <m:r>
          <m:rPr>
            <m:sty m:val="i"/>
          </m:rPr>
          <m:t>a</m:t>
        </m:r>
        <m:r>
          <m:rPr>
            <m:sty m:val="p"/>
          </m:rPr>
          <m:t>&lt;</m:t>
        </m:r>
        <m:r>
          <m:rPr>
            <m:sty m:val="i"/>
          </m:rPr>
          <m:t>x</m:t>
        </m:r>
        <m:r>
          <m:rPr>
            <m:sty m:val="p"/>
          </m:rPr>
          <m:t>&lt;</m:t>
        </m:r>
        <m:r>
          <m:rPr>
            <m:sty m:val="p"/>
          </m:rPr>
          <m:t>−</m:t>
        </m:r>
        <m:r>
          <m:rPr>
            <m:sty m:val="i"/>
          </m:rPr>
          <m:t>a</m:t>
        </m:r>
        <m:r>
          <m:rPr>
            <m:sty m:val="p"/>
          </m:rPr>
          <m:t>+</m:t>
        </m:r>
        <m:r>
          <m:rPr>
            <m:sty m:val="i"/>
          </m:rPr>
          <m:t>δ</m:t>
        </m:r>
      </m:oMath>
      <w:r>
        <w:rPr/>
        <w:t xml:space="preserve"> et </w:t>
      </w:r>
      <m:oMath>
        <m:r>
          <m:rPr>
            <m:sty m:val="i"/>
          </m:rPr>
          <m:t>a</m:t>
        </m:r>
        <m:r>
          <m:rPr>
            <m:sty m:val="p"/>
          </m:rPr>
          <m:t>−</m:t>
        </m:r>
        <m:r>
          <m:rPr>
            <m:sty m:val="i"/>
          </m:rPr>
          <m:t>δ</m:t>
        </m:r>
        <m:r>
          <m:rPr>
            <m:sty m:val="p"/>
          </m:rPr>
          <m:t>&lt;</m:t>
        </m:r>
        <m:r>
          <m:rPr>
            <m:sty m:val="i"/>
          </m:rPr>
          <m:t>x</m:t>
        </m:r>
        <m:r>
          <m:rPr>
            <m:sty m:val="p"/>
          </m:rPr>
          <m:t>&lt;</m:t>
        </m:r>
        <m:r>
          <m:rPr>
            <m:sty m:val="i"/>
          </m:rPr>
          <m:t>a</m:t>
        </m:r>
      </m:oMath>
      <w:r>
        <w:rPr>
          <w:rFonts w:eastAsia="Georgia" w:cs="Georgia" w:ascii="Georgia" w:hAnsi="Georgia"/>
        </w:rPr>
        <w:t xml:space="preserve"> ) ne permettent pas le déplacement d'ions et sont donc isolantes.</w:t>
      </w:r>
    </w:p>
    <w:p>
      <w:pPr>
        <w:spacing w:after="220" w:lineRule="auto"/>
      </w:pPr>
      <w:r>
        <w:rPr>
          <w:rFonts w:eastAsia="Georgia" w:cs="Georgia" w:ascii="Georgia" w:hAnsi="Georgia"/>
        </w:rPr>
        <w:t xml:space="preserve">Q4. Réaliser un bilan de charge entre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pour le plan chargé se trouvant en </w:t>
      </w:r>
      <m:oMath>
        <m:r>
          <m:rPr>
            <m:sty m:val="i"/>
          </m:rPr>
          <m:t>x</m:t>
        </m:r>
        <m:r>
          <m:rPr>
            <m:sty m:val="p"/>
          </m:rPr>
          <m:t>=</m:t>
        </m:r>
        <m:r>
          <m:rPr>
            <m:sty m:val="i"/>
          </m:rPr>
          <m:t>a</m:t>
        </m:r>
        <m:r>
          <m:rPr>
            <m:sty m:val="p"/>
          </m:rPr>
          <m:t>−</m:t>
        </m:r>
        <m:r>
          <m:rPr>
            <m:sty m:val="i"/>
          </m:rPr>
          <m:t>δ</m:t>
        </m:r>
      </m:oMath>
      <w:r>
        <w:rPr/>
        <w:t xml:space="preserve"> et montrer que sa charge </w:t>
      </w:r>
      <m:oMath>
        <m:sSup>
          <m:sSupPr/>
          <m:e>
            <m:r>
              <m:rPr>
                <m:sty m:val="i"/>
              </m:rPr>
              <m:t>q</m:t>
            </m:r>
          </m:e>
          <m:sup>
            <m:r>
              <m:rPr>
                <m:sty m:val="i"/>
              </m:rPr>
              <m:t>′</m:t>
            </m:r>
          </m:sup>
        </m:sSup>
      </m:oMath>
      <w:r>
        <w:rPr>
          <w:rFonts w:eastAsia="Georgia" w:cs="Georgia" w:ascii="Georgia" w:hAnsi="Georgia"/>
        </w:rPr>
        <w:t xml:space="preserve"> vérifie</w:t>
      </w:r>
    </w:p>
    <w:p>
      <w:pPr>
        <w:spacing w:after="220" w:lineRule="auto"/>
      </w:pPr>
      <m:oMathPara>
        <m:oMath>
          <m:f>
            <m:fPr>
              <m:ctrlPr>
                <w:rPr>
                  <w:rFonts w:ascii="Cambria Math" w:hAnsi="Cambria Math"/>
                </w:rPr>
              </m:ctrlPr>
            </m:fPr>
            <m:num>
              <m:r>
                <m:rPr>
                  <m:sty m:val="p"/>
                </m:rPr>
                <m:t>d</m:t>
              </m:r>
              <m:sSup>
                <m:sSupPr/>
                <m:e>
                  <m:r>
                    <m:rPr>
                      <m:sty m:val="i"/>
                    </m:rPr>
                    <m:t>q</m:t>
                  </m:r>
                </m:e>
                <m:sup>
                  <m:r>
                    <m:rPr>
                      <m:sty m:val="i"/>
                    </m:rPr>
                    <m:t>′</m:t>
                  </m:r>
                </m:sup>
              </m:sSup>
            </m:num>
            <m:den>
              <m:r>
                <m:rPr>
                  <m:sty m:val="p"/>
                </m:rPr>
                <m:t>d</m:t>
              </m:r>
              <m:r>
                <m:rPr>
                  <m:sty m:val="i"/>
                </m:rPr>
                <m:t>t</m:t>
              </m:r>
            </m:den>
          </m:f>
          <m:r>
            <m:rPr>
              <m:sty m:val="p"/>
            </m:rPr>
            <m:t>=</m:t>
          </m:r>
          <m:r>
            <m:rPr>
              <m:sty m:val="i"/>
            </m:rPr>
            <m:t>γ</m:t>
          </m:r>
          <m:f>
            <m:fPr>
              <m:ctrlPr>
                <w:rPr>
                  <w:rFonts w:ascii="Cambria Math" w:hAnsi="Cambria Math"/>
                </w:rPr>
              </m:ctrlPr>
            </m:fPr>
            <m:num>
              <m:r>
                <m:rPr>
                  <m:sty m:val="i"/>
                </m:rPr>
                <m:t>σ</m:t>
              </m:r>
              <m:r>
                <m:rPr>
                  <m:sty m:val="p"/>
                </m:rPr>
                <m:t>−</m:t>
              </m:r>
              <m:sSup>
                <m:sSupPr/>
                <m:e>
                  <m:r>
                    <m:rPr>
                      <m:sty m:val="i"/>
                    </m:rPr>
                    <m:t>σ</m:t>
                  </m:r>
                </m:e>
                <m:sup>
                  <m:r>
                    <m:rPr>
                      <m:sty m:val="i"/>
                    </m:rPr>
                    <m:t>′</m:t>
                  </m:r>
                </m:sup>
              </m:sSup>
              <m:r>
                <m:rPr>
                  <m:sty m:val="p"/>
                </m:rPr>
                <m:t>(</m:t>
              </m:r>
              <m:r>
                <m:rPr>
                  <m:sty m:val="i"/>
                </m:rPr>
                <m:t>t</m:t>
              </m:r>
              <m:r>
                <m:rPr>
                  <m:sty m:val="p"/>
                </m:rPr>
                <m:t>)</m:t>
              </m:r>
            </m:num>
            <m:den>
              <m:sSub>
                <m:sSubPr/>
                <m:e>
                  <m:r>
                    <m:rPr>
                      <m:sty m:val="i"/>
                    </m:rPr>
                    <m:t>ε</m:t>
                  </m:r>
                </m:e>
                <m:sub>
                  <m:r>
                    <m:rPr>
                      <m:sty m:val="p"/>
                    </m:rPr>
                    <m:t>0</m:t>
                  </m:r>
                </m:sub>
              </m:sSub>
              <m:sSub>
                <m:sSubPr/>
                <m:e>
                  <m:r>
                    <m:rPr>
                      <m:sty m:val="i"/>
                    </m:rPr>
                    <m:t>ε</m:t>
                  </m:r>
                </m:e>
                <m:sub>
                  <m:r>
                    <m:rPr>
                      <m:sty m:val="p"/>
                    </m:rPr>
                    <m:t>r</m:t>
                  </m:r>
                </m:sub>
              </m:sSub>
            </m:den>
          </m:f>
          <m:r>
            <m:rPr>
              <m:sty m:val="i"/>
            </m:rPr>
            <m:t>S</m:t>
          </m:r>
          <m:r>
            <m:rPr>
              <m:sty m:val="p"/>
            </m:rPr>
            <m:t>.</m:t>
          </m:r>
        </m:oMath>
      </m:oMathPara>
    </w:p>
    <w:p>
      <w:pPr>
        <w:spacing w:after="220" w:lineRule="auto"/>
      </w:pPr>
      <w:r>
        <w:rPr>
          <w:rFonts w:eastAsia="Georgia" w:cs="Georgia" w:ascii="Georgia" w:hAnsi="Georgia"/>
        </w:rPr>
        <w:t xml:space="preserve">Q5. En déduire que</w:t>
      </w:r>
    </w:p>
    <w:p>
      <w:pPr>
        <w:spacing w:after="220" w:lineRule="auto"/>
      </w:pPr>
      <m:oMathPara>
        <m:oMath>
          <m:f>
            <m:fPr>
              <m:ctrlPr>
                <w:rPr>
                  <w:rFonts w:ascii="Cambria Math" w:hAnsi="Cambria Math"/>
                </w:rPr>
              </m:ctrlPr>
            </m:fPr>
            <m:num>
              <m:r>
                <m:rPr>
                  <m:sty m:val="i"/>
                </m:rPr>
                <m:t>d</m:t>
              </m:r>
              <m:sSup>
                <m:sSupPr/>
                <m:e>
                  <m:r>
                    <m:rPr>
                      <m:sty m:val="i"/>
                    </m:rPr>
                    <m:t>σ</m:t>
                  </m:r>
                </m:e>
                <m:sup>
                  <m:r>
                    <m:rPr>
                      <m:sty m:val="i"/>
                    </m:rPr>
                    <m:t>′</m:t>
                  </m:r>
                </m:sup>
              </m:sSup>
            </m:num>
            <m:den>
              <m:r>
                <m:rPr>
                  <m:sty m:val="i"/>
                </m:rPr>
                <m:t>d</m:t>
              </m:r>
              <m:r>
                <m:rPr>
                  <m:sty m:val="i"/>
                </m:rPr>
                <m:t>t</m:t>
              </m:r>
            </m:den>
          </m:f>
          <m:r>
            <m:rPr>
              <m:sty m:val="p"/>
            </m:rPr>
            <m:t>+</m:t>
          </m:r>
          <m:f>
            <m:fPr>
              <m:ctrlPr>
                <w:rPr>
                  <w:rFonts w:ascii="Cambria Math" w:hAnsi="Cambria Math"/>
                </w:rPr>
              </m:ctrlPr>
            </m:fPr>
            <m:num>
              <m:r>
                <m:rPr>
                  <m:sty m:val="i"/>
                </m:rPr>
                <m:t>δ</m:t>
              </m:r>
              <m:r>
                <m:rPr>
                  <m:sty m:val="i"/>
                </m:rPr>
                <m:t>γ</m:t>
              </m:r>
            </m:num>
            <m:den>
              <m:r>
                <m:rPr>
                  <m:sty m:val="i"/>
                </m:rPr>
                <m:t>a</m:t>
              </m:r>
              <m:sSub>
                <m:sSubPr/>
                <m:e>
                  <m:r>
                    <m:rPr>
                      <m:sty m:val="i"/>
                    </m:rPr>
                    <m:t>ε</m:t>
                  </m:r>
                </m:e>
                <m:sub>
                  <m:r>
                    <m:rPr>
                      <m:sty m:val="p"/>
                    </m:rPr>
                    <m:t>0</m:t>
                  </m:r>
                </m:sub>
              </m:sSub>
              <m:sSub>
                <m:sSubPr/>
                <m:e>
                  <m:r>
                    <m:rPr>
                      <m:sty m:val="i"/>
                    </m:rPr>
                    <m:t>ε</m:t>
                  </m:r>
                </m:e>
                <m:sub>
                  <m:r>
                    <m:rPr>
                      <m:sty m:val="p"/>
                    </m:rPr>
                    <m:t>r</m:t>
                  </m:r>
                </m:sub>
              </m:sSub>
            </m:den>
          </m:f>
          <m:sSup>
            <m:sSupPr/>
            <m:e>
              <m:r>
                <m:rPr>
                  <m:sty m:val="i"/>
                </m:rPr>
                <m:t>σ</m:t>
              </m:r>
            </m:e>
            <m:sup>
              <m:r>
                <m:rPr>
                  <m:sty m:val="i"/>
                </m:rPr>
                <m:t>′</m:t>
              </m:r>
            </m:sup>
          </m:sSup>
          <m:r>
            <m:rPr>
              <m:sty m:val="p"/>
            </m:rPr>
            <m:t>=</m:t>
          </m:r>
          <m:f>
            <m:fPr>
              <m:ctrlPr>
                <w:rPr>
                  <w:rFonts w:ascii="Cambria Math" w:hAnsi="Cambria Math"/>
                </w:rPr>
              </m:ctrlPr>
            </m:fPr>
            <m:num>
              <m:r>
                <m:rPr>
                  <m:sty m:val="i"/>
                </m:rPr>
                <m:t>γ</m:t>
              </m:r>
            </m:num>
            <m:den>
              <m:r>
                <m:rPr>
                  <m:sty m:val="p"/>
                </m:rPr>
                <m:t>2</m:t>
              </m:r>
              <m:r>
                <m:rPr>
                  <m:sty m:val="i"/>
                </m:rPr>
                <m:t>a</m:t>
              </m:r>
            </m:den>
          </m:f>
          <m:r>
            <m:rPr>
              <m:sty m:val="i"/>
            </m:rPr>
            <m:t>U</m:t>
          </m:r>
          <m:r>
            <m:rPr>
              <m:sty m:val="p"/>
            </m:rPr>
            <m:t>.</m:t>
          </m:r>
        </m:oMath>
      </m:oMathPara>
    </w:p>
    <w:p>
      <w:pPr>
        <w:spacing w:after="220" w:lineRule="auto"/>
      </w:pPr>
      <w:r>
        <w:rPr>
          <w:rFonts w:eastAsia="Georgia" w:cs="Georgia" w:ascii="Georgia" w:hAnsi="Georgia"/>
        </w:rPr>
        <w:t xml:space="preserve">Identifier un temps caractéristique </w:t>
      </w:r>
      <m:oMath>
        <m:r>
          <m:rPr>
            <m:sty m:val="i"/>
          </m:rPr>
          <m:t>τ</m:t>
        </m:r>
      </m:oMath>
      <w:r>
        <w:rPr>
          <w:rFonts w:eastAsia="Georgia" w:cs="Georgia" w:ascii="Georgia" w:hAnsi="Georgia"/>
        </w:rPr>
        <w:t xml:space="preserve"> d'évolution de </w:t>
      </w:r>
      <m:oMath>
        <m:sSup>
          <m:sSupPr/>
          <m:e>
            <m:r>
              <m:rPr>
                <m:sty m:val="i"/>
              </m:rPr>
              <m:t>σ</m:t>
            </m:r>
          </m:e>
          <m:sup>
            <m:r>
              <m:rPr>
                <m:sty m:val="i"/>
              </m:rPr>
              <m:t>′</m:t>
            </m:r>
          </m:sup>
        </m:sSup>
      </m:oMath>
      <w:r>
        <w:rPr>
          <w:rFonts w:eastAsia="Georgia" w:cs="Georgia" w:ascii="Georgia" w:hAnsi="Georgia"/>
        </w:rPr>
        <w:t xml:space="preserve">. On modélise le supercondensateur par l'association d'un condensateur de capacité </w:t>
      </w:r>
      <m:oMath>
        <m:sSub>
          <m:sSubPr/>
          <m:e>
            <m:r>
              <m:rPr>
                <m:sty m:val="i"/>
              </m:rPr>
              <m:t>C</m:t>
            </m:r>
          </m:e>
          <m:sub>
            <m:r>
              <m:rPr>
                <m:sty m:val="p"/>
              </m:rPr>
              <m:t>0</m:t>
            </m:r>
          </m:sub>
        </m:sSub>
      </m:oMath>
      <w:r>
        <w:rPr>
          <w:rFonts w:eastAsia="Georgia" w:cs="Georgia" w:ascii="Georgia" w:hAnsi="Georgia"/>
        </w:rPr>
        <w:t xml:space="preserve"> en série avec une résistance </w:t>
      </w:r>
      <m:oMath>
        <m:sSub>
          <m:sSubPr/>
          <m:e>
            <m:r>
              <m:rPr>
                <m:sty m:val="i"/>
              </m:rPr>
              <m:t>R</m:t>
            </m:r>
          </m:e>
          <m:sub>
            <m:r>
              <m:rPr>
                <m:sty m:val="p"/>
              </m:rPr>
              <m:t>0</m:t>
            </m:r>
          </m:sub>
        </m:sSub>
      </m:oMath>
      <w:r>
        <w:rPr>
          <w:rFonts w:eastAsia="Georgia" w:cs="Georgia" w:ascii="Georgia" w:hAnsi="Georgia"/>
        </w:rPr>
        <w:t xml:space="preserve">. Déterminer </w:t>
      </w:r>
      <m:oMath>
        <m:sSub>
          <m:sSubPr/>
          <m:e>
            <m:r>
              <m:rPr>
                <m:sty m:val="i"/>
              </m:rPr>
              <m:t>R</m:t>
            </m:r>
          </m:e>
          <m:sub>
            <m:r>
              <m:rPr>
                <m:sty m:val="p"/>
              </m:rPr>
              <m:t>0</m:t>
            </m:r>
          </m:sub>
        </m:sSub>
      </m:oMath>
      <w:r>
        <w:rPr>
          <w:rFonts w:eastAsia="Georgia" w:cs="Georgia" w:ascii="Georgia" w:hAnsi="Georgia"/>
        </w:rPr>
        <w:t xml:space="preserve"> en fonction des paramètres du problème.</w:t>
      </w:r>
    </w:p>
    <w:p>
      <w:pPr>
        <w:spacing w:line="271" w:before="330" w:lineRule="auto"/>
      </w:pPr>
      <w:r>
        <w:rPr>
          <w:rFonts w:eastAsia="Georgia" w:cs="Georgia" w:ascii="Georgia" w:hAnsi="Georgia"/>
          <w:b/>
          <w:sz w:val="42"/>
        </w:rPr>
        <w:t xml:space="preserve">I. 3 - Dimensionnement du pack de supercondensateurs du vélo hybride</w:t>
      </w:r>
    </w:p>
    <w:p>
      <w:pPr>
        <w:spacing w:after="220" w:lineRule="auto"/>
      </w:pPr>
      <w:r>
        <w:rPr>
          <w:rFonts w:eastAsia="Georgia" w:cs="Georgia" w:ascii="Georgia" w:hAnsi="Georgia"/>
        </w:rPr>
        <w:t xml:space="preserve">Pour déterminer expérimentalement les paramètres </w:t>
      </w:r>
      <m:oMath>
        <m:sSub>
          <m:sSubPr/>
          <m:e>
            <m:r>
              <m:rPr>
                <m:sty m:val="i"/>
              </m:rPr>
              <m:t>R</m:t>
            </m:r>
          </m:e>
          <m:sub>
            <m:r>
              <m:rPr>
                <m:sty m:val="p"/>
              </m:rPr>
              <m:t>0</m:t>
            </m:r>
          </m:sub>
        </m:sSub>
      </m:oMath>
      <w:r>
        <w:rPr/>
        <w:t xml:space="preserve"> et </w:t>
      </w:r>
      <m:oMath>
        <m:sSub>
          <m:sSubPr/>
          <m:e>
            <m:r>
              <m:rPr>
                <m:sty m:val="i"/>
              </m:rPr>
              <m:t>C</m:t>
            </m:r>
          </m:e>
          <m:sub>
            <m:r>
              <m:rPr>
                <m:sty m:val="p"/>
              </m:rPr>
              <m:t>0</m:t>
            </m:r>
          </m:sub>
        </m:sSub>
      </m:oMath>
      <w:r>
        <w:rPr>
          <w:rFonts w:eastAsia="Georgia" w:cs="Georgia" w:ascii="Georgia" w:hAnsi="Georgia"/>
        </w:rPr>
        <w:t xml:space="preserve"> du supercondensateur, on réalise le montage de la figure 4 , dans lequel le supercondensateur est associé en série à une source idéale. On réalise un test de caractérisation dans lequel l'intensité </w:t>
      </w:r>
      <m:oMath>
        <m:r>
          <m:rPr>
            <m:sty m:val="i"/>
          </m:rPr>
          <m:t>I</m:t>
        </m:r>
      </m:oMath>
      <w:r>
        <w:rPr>
          <w:rFonts w:eastAsia="Georgia" w:cs="Georgia" w:ascii="Georgia" w:hAnsi="Georgia"/>
        </w:rPr>
        <w:t xml:space="preserve"> varie avec le temps comme indiqué sur la figure 5.</w:t>
      </w:r>
    </w:p>
    <w:p>
      <w:pPr>
        <w:spacing w:after="220" w:lineRule="auto"/>
      </w:pPr>
      <w:r>
        <w:rPr>
          <w:rFonts w:eastAsia="Georgia" w:cs="Georgia" w:ascii="Georgia" w:hAnsi="Georgia"/>
        </w:rPr>
        <w:t xml:space="preserve">Q6. D'après les résultats du test de caractérisation présentés sur la figure 5 , déterminer les valeurs numériques de </w:t>
      </w:r>
      <m:oMath>
        <m:sSub>
          <m:sSubPr/>
          <m:e>
            <m:r>
              <m:rPr>
                <m:sty m:val="i"/>
              </m:rPr>
              <m:t>R</m:t>
            </m:r>
          </m:e>
          <m:sub>
            <m:r>
              <m:rPr>
                <m:sty m:val="p"/>
              </m:rPr>
              <m:t>0</m:t>
            </m:r>
          </m:sub>
        </m:sSub>
      </m:oMath>
      <w:r>
        <w:rPr/>
        <w:t xml:space="preserve"> et </w:t>
      </w:r>
      <m:oMath>
        <m:sSub>
          <m:sSubPr/>
          <m:e>
            <m:r>
              <m:rPr>
                <m:sty m:val="i"/>
              </m:rPr>
              <m:t>C</m:t>
            </m:r>
          </m:e>
          <m:sub>
            <m:r>
              <m:rPr>
                <m:sty m:val="p"/>
              </m:rPr>
              <m:t>0</m:t>
            </m:r>
          </m:sub>
        </m:sSub>
      </m:oMath>
      <w:r>
        <w:rPr/>
        <w:t xml:space="preserve">. On note </w:t>
      </w:r>
      <m:oMath>
        <m:sSub>
          <m:sSubPr/>
          <m:e>
            <m:r>
              <m:rPr>
                <m:sty m:val="i"/>
              </m:rPr>
              <m:t>V</m:t>
            </m:r>
          </m:e>
          <m:sub>
            <m:r>
              <m:rPr>
                <m:sty m:val="p"/>
              </m:rPr>
              <m:t>N</m:t>
            </m:r>
          </m:sub>
        </m:sSub>
      </m:oMath>
      <w:r>
        <w:rPr/>
        <w:t xml:space="preserve"> la tension nominale d'une cellule.</w:t>
      </w:r>
    </w:p>
    <w:p>
      <w:pPr>
        <w:spacing w:lineRule="auto"/>
        <w:jc w:val="center"/>
      </w:pPr>
      <w:r>
        <w:rPr/>
        <w:drawing>
          <wp:inline distB="0" distL="0" distR="0" distT="0">
            <wp:extent cx="4829175" cy="3819525"/>
            <wp:effectExtent b="0" l="0" r="0" t="0"/>
            <wp:docPr id="4" name="image-46a1fe88960df58b99999db896e350bc9e2a245f.jpg"/>
            <a:graphic>
              <a:graphicData uri="http://schemas.openxmlformats.org/drawingml/2006/picture">
                <pic:pic>
                  <pic:nvPicPr>
                    <pic:cNvPr id="4" name="image-46a1fe88960df58b99999db896e350bc9e2a245f.jpg" descr=""/>
                    <pic:cNvPicPr/>
                  </pic:nvPicPr>
                  <pic:blipFill>
                    <a:blip r:embed="rId8" cstate="print"/>
                    <a:srcRect b="0" l="0" r="0" t="0"/>
                    <a:stretch>
                      <a:fillRect/>
                    </a:stretch>
                  </pic:blipFill>
                  <pic:spPr>
                    <a:xfrm>
                      <a:off x="0" y="0"/>
                      <a:ext cx="4829175" cy="3819525"/>
                    </a:xfrm>
                    <a:prstGeom prst="rect"/>
                  </pic:spPr>
                </pic:pic>
              </a:graphicData>
            </a:graphic>
          </wp:inline>
        </w:drawing>
      </w:r>
    </w:p>
    <w:p>
      <w:pPr>
        <w:spacing w:lineRule="auto"/>
      </w:pPr>
      <w:r>
        <w:rPr>
          <w:rFonts w:eastAsia="Georgia" w:cs="Georgia" w:ascii="Georgia" w:hAnsi="Georgia"/>
        </w:rPr>
        <w:t xml:space="preserve">Figure 4 - Modèle du supercondensateur.</w:t>
      </w:r>
    </w:p>
    <w:p>
      <w:pPr>
        <w:spacing w:lineRule="auto"/>
        <w:jc w:val="center"/>
      </w:pPr>
      <w:r>
        <w:rPr/>
        <w:drawing>
          <wp:inline distB="0" distL="0" distR="0" distT="0">
            <wp:extent cx="5486400" cy="3313505"/>
            <wp:effectExtent b="0" l="0" r="0" t="0"/>
            <wp:docPr id="5" name="image-51aa9fdecb7b23e3300499fc35069086596139a5.jpg"/>
            <a:graphic>
              <a:graphicData uri="http://schemas.openxmlformats.org/drawingml/2006/picture">
                <pic:pic>
                  <pic:nvPicPr>
                    <pic:cNvPr id="5" name="image-51aa9fdecb7b23e3300499fc35069086596139a5.jpg" descr=""/>
                    <pic:cNvPicPr/>
                  </pic:nvPicPr>
                  <pic:blipFill>
                    <a:blip r:embed="rId9" cstate="print"/>
                    <a:srcRect b="0" l="0" r="0" t="0"/>
                    <a:stretch>
                      <a:fillRect/>
                    </a:stretch>
                  </pic:blipFill>
                  <pic:spPr>
                    <a:xfrm>
                      <a:off x="0" y="0"/>
                      <a:ext cx="5486400" cy="3313505"/>
                    </a:xfrm>
                    <a:prstGeom prst="rect"/>
                  </pic:spPr>
                </pic:pic>
              </a:graphicData>
            </a:graphic>
          </wp:inline>
        </w:drawing>
      </w:r>
    </w:p>
    <w:p>
      <w:pPr>
        <w:spacing w:lineRule="auto"/>
      </w:pPr>
      <w:r>
        <w:rPr>
          <w:rFonts w:eastAsia="Georgia" w:cs="Georgia" w:ascii="Georgia" w:hAnsi="Georgia"/>
        </w:rPr>
        <w:t xml:space="preserve">Figure 5 - Test de caractérisation en décharge. La courbe du haut représente les variations de la tension </w:t>
      </w:r>
      <m:oMath>
        <m:r>
          <m:rPr>
            <m:sty m:val="i"/>
          </m:rPr>
          <m:t>U</m:t>
        </m:r>
      </m:oMath>
      <w:r>
        <w:rPr>
          <w:rFonts w:eastAsia="Georgia" w:cs="Georgia" w:ascii="Georgia" w:hAnsi="Georgia"/>
        </w:rPr>
        <w:t xml:space="preserve"> et celle du bas les variations de l'intensité </w:t>
      </w:r>
      <m:oMath>
        <m:r>
          <m:rPr>
            <m:sty m:val="i"/>
          </m:rPr>
          <m:t>I</m:t>
        </m:r>
      </m:oMath>
      <w:r>
        <w:rPr/>
        <w:t xml:space="preserve">.</w:t>
      </w:r>
    </w:p>
    <w:p>
      <w:pPr>
        <w:spacing w:after="220" w:lineRule="auto"/>
      </w:pPr>
      <w:r>
        <w:rPr>
          <w:rFonts w:eastAsia="Georgia" w:cs="Georgia" w:ascii="Georgia" w:hAnsi="Georgia"/>
        </w:rPr>
        <w:t xml:space="preserve">Bien que les supercondensateurs puissent être totalement déchargés, il est d'usage de ne pas les décharger complètement au cours de leur utilisation. En effet, les faibles niveaux de tension ainsi que les forts courants associés (à puissance constante) peuvent complexifier la gestion du pack. Classiquement, la valeur minimale de tension est choisie à la moitié de la valeur nominale.</w:t>
      </w:r>
    </w:p>
    <w:p>
      <w:pPr>
        <w:spacing w:lineRule="auto"/>
        <w:jc w:val="center"/>
      </w:pPr>
      <w:r>
        <w:rPr/>
        <w:drawing>
          <wp:inline distB="0" distL="0" distR="0" distT="0">
            <wp:extent cx="4819650" cy="2809875"/>
            <wp:effectExtent b="0" l="0" r="0" t="0"/>
            <wp:docPr id="6" name="image-13818c72127b90ee46aff1e582e0059a8b483d82.jpg"/>
            <a:graphic>
              <a:graphicData uri="http://schemas.openxmlformats.org/drawingml/2006/picture">
                <pic:pic>
                  <pic:nvPicPr>
                    <pic:cNvPr id="6" name="image-13818c72127b90ee46aff1e582e0059a8b483d82.jpg" descr=""/>
                    <pic:cNvPicPr/>
                  </pic:nvPicPr>
                  <pic:blipFill>
                    <a:blip r:embed="rId10" cstate="print"/>
                    <a:srcRect b="0" l="0" r="0" t="0"/>
                    <a:stretch>
                      <a:fillRect/>
                    </a:stretch>
                  </pic:blipFill>
                  <pic:spPr>
                    <a:xfrm>
                      <a:off x="0" y="0"/>
                      <a:ext cx="4819650" cy="2809875"/>
                    </a:xfrm>
                    <a:prstGeom prst="rect"/>
                  </pic:spPr>
                </pic:pic>
              </a:graphicData>
            </a:graphic>
          </wp:inline>
        </w:drawing>
      </w:r>
    </w:p>
    <w:p>
      <w:pPr>
        <w:spacing w:lineRule="auto"/>
      </w:pPr>
      <w:r>
        <w:rPr/>
        <w:t xml:space="preserve">Figure 6 - Un supercondensateur...</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Masse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70 g</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Hauteur</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62</m:t>
                </m:r>
                <m:r>
                  <m:rPr>
                    <m:sty m:val="p"/>
                  </m:rPr>
                  <m:t>,</m:t>
                </m:r>
                <m:r>
                  <m:rPr>
                    <m:sty m:val="p"/>
                  </m:rPr>
                  <m:t>7</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Diamètre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35</m:t>
                </m:r>
                <m:r>
                  <m:rPr>
                    <m:sty m:val="p"/>
                  </m:rPr>
                  <m:t>,</m:t>
                </m:r>
                <m:r>
                  <m:rPr>
                    <m:sty m:val="p"/>
                  </m:rPr>
                  <m:t>2</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Courant maximal</w:t>
            </w:r>
          </w:p>
        </w:tc>
        <w:tc>
          <w:tcPr>
            <w:tcBorders>
              <w:bottom w:val="single" w:sz="8" w:space="0" w:color="000000"/>
              <w:right w:val="single" w:sz="8" w:space="0" w:color="000000"/>
            </w:tcBorders>
            <w:vAlign w:val="center"/>
          </w:tcPr>
          <w:p>
            <w:pPr>
              <w:spacing w:lineRule="auto"/>
              <w:jc w:val="center"/>
            </w:pPr>
            <w:r>
              <w:rPr/>
              <w:t xml:space="preserve">33 A</w:t>
            </w:r>
          </w:p>
        </w:tc>
      </w:tr>
    </w:tbl>
    <w:p>
      <w:pPr>
        <w:spacing w:lineRule="auto"/>
      </w:pPr>
    </w:p>
    <w:p>
      <w:pPr>
        <w:spacing w:lineRule="auto"/>
      </w:pPr>
      <w:r>
        <w:rPr>
          <w:rFonts w:eastAsia="Georgia" w:cs="Georgia" w:ascii="Georgia" w:hAnsi="Georgia"/>
        </w:rPr>
        <w:t xml:space="preserve">Figure 7 - ... et quelques unes de ses caractéristiques.</w:t>
      </w:r>
    </w:p>
    <w:p>
      <w:pPr>
        <w:spacing w:after="220" w:lineRule="auto"/>
      </w:pPr>
      <w:r>
        <w:rPr/>
        <w:t xml:space="preserve">Le pack de supercondensateurs doit satisfaire aux exigences suivantes :</w:t>
      </w:r>
    </w:p>
    <w:p>
      <w:pPr>
        <w:numPr>
          <w:ilvl w:val="0"/>
          <w:numId w:val="1"/>
        </w:numPr>
        <w:spacing w:lineRule="auto"/>
      </w:pPr>
      <w:r>
        <w:rPr>
          <w:rFonts w:eastAsia="Georgia" w:cs="Georgia" w:ascii="Georgia" w:hAnsi="Georgia"/>
        </w:rPr>
        <w:t xml:space="preserve">le pack alimente un moteur synchrone à aimants permanents de 250 W sous une tension de 36 V ;</w:t>
      </w:r>
    </w:p>
    <w:p>
      <w:pPr>
        <w:numPr>
          <w:ilvl w:val="0"/>
          <w:numId w:val="1"/>
        </w:numPr>
        <w:spacing w:lineRule="auto"/>
      </w:pPr>
      <w:r>
        <w:rPr>
          <w:rFonts w:eastAsia="Georgia" w:cs="Georgia" w:ascii="Georgia" w:hAnsi="Georgia"/>
        </w:rPr>
        <w:t xml:space="preserve">sans utiliser la batterie lithium-ion, le pack de supercondensateurs doit permettre de franchir des dénivelés de 60 m avec un niveau d'assistance faible de </w:t>
      </w:r>
      <m:oMath>
        <m:r>
          <m:rPr>
            <m:sty m:val="p"/>
          </m:rPr>
          <m:t>50</m:t>
        </m:r>
        <m:r>
          <m:rPr>
            <m:sty m:val="p"/>
          </m:rPr>
          <m:t>%</m:t>
        </m:r>
      </m:oMath>
      <w:r>
        <w:rPr>
          <w:rFonts w:eastAsia="Georgia" w:cs="Georgia" w:ascii="Georgia" w:hAnsi="Georgia"/>
        </w:rPr>
        <w:t xml:space="preserve"> (rapport de l'énergie fournie par le pack sur l'énergie fournie par le cycliste). Cela permet de se déplacer dans la grande majorité des villes de France.</w:t>
      </w:r>
    </w:p>
    <w:p>
      <w:pPr>
        <w:spacing w:after="220" w:lineRule="auto"/>
      </w:pPr>
      <w:r>
        <w:rPr>
          <w:rFonts w:eastAsia="Georgia" w:cs="Georgia" w:ascii="Georgia" w:hAnsi="Georgia"/>
        </w:rPr>
        <w:t xml:space="preserve">Q7. En explicitant les hypothèses simplificatrices réalisées, estimer le nombre de condensateurs que le pack doit comporter pour répondre aux exigences en respectant les contraintes mentionnées. Préciser l'assemblage nécessaire (en série et/ou en parallèle). Des données numériques utiles figurent à la fin de l'énoncé.</w:t>
      </w:r>
    </w:p>
    <w:p>
      <w:pPr>
        <w:spacing w:line="271" w:before="330" w:lineRule="auto"/>
      </w:pPr>
      <w:r>
        <w:rPr>
          <w:b/>
          <w:sz w:val="42"/>
        </w:rPr>
        <w:t xml:space="preserve">I. 4 - Interface entre les supercondensateurs et l'ensemble onduleur-moteur synchrone</w:t>
      </w:r>
    </w:p>
    <w:p>
      <w:pPr>
        <w:spacing w:after="220" w:lineRule="auto"/>
      </w:pPr>
      <w:r>
        <w:rPr>
          <w:rFonts w:eastAsia="Georgia" w:cs="Georgia" w:ascii="Georgia" w:hAnsi="Georgia"/>
        </w:rPr>
        <w:t xml:space="preserve">Contrairement à la batterie lithium-ion, les supercondensateurs sont soumis à de fortes variations de tension. Cela impose l'utilisation d'un hacheur pour les connecter au reste de l'électronique du vélo.</w:t>
      </w:r>
      <w:r>
        <w:rPr/>
        <w:br w:type="textWrapping"/>
      </w:r>
      <w:r>
        <w:rPr>
          <w:rFonts w:eastAsia="Georgia" w:cs="Georgia" w:ascii="Georgia" w:hAnsi="Georgia"/>
        </w:rPr>
        <w:t xml:space="preserve">Ce convertisseur est de type SEPIC (Single Ended Primary Inductor Convertor), représenté sur la figure 8.</w:t>
      </w:r>
    </w:p>
    <w:p>
      <w:pPr>
        <w:spacing w:lineRule="auto"/>
        <w:jc w:val="center"/>
      </w:pPr>
      <w:r>
        <w:rPr/>
        <w:drawing>
          <wp:inline distB="0" distL="0" distR="0" distT="0">
            <wp:extent cx="5486400" cy="1637969"/>
            <wp:effectExtent b="0" l="0" r="0" t="0"/>
            <wp:docPr id="7" name="image-6f02ab941219f437bd67922e82a301906d7b48ec.jpg"/>
            <a:graphic>
              <a:graphicData uri="http://schemas.openxmlformats.org/drawingml/2006/picture">
                <pic:pic>
                  <pic:nvPicPr>
                    <pic:cNvPr id="7" name="image-6f02ab941219f437bd67922e82a301906d7b48ec.jpg" descr=""/>
                    <pic:cNvPicPr/>
                  </pic:nvPicPr>
                  <pic:blipFill>
                    <a:blip r:embed="rId11" cstate="print"/>
                    <a:srcRect b="0" l="0" r="0" t="0"/>
                    <a:stretch>
                      <a:fillRect/>
                    </a:stretch>
                  </pic:blipFill>
                  <pic:spPr>
                    <a:xfrm>
                      <a:off x="0" y="0"/>
                      <a:ext cx="5486400" cy="1637969"/>
                    </a:xfrm>
                    <a:prstGeom prst="rect"/>
                  </pic:spPr>
                </pic:pic>
              </a:graphicData>
            </a:graphic>
          </wp:inline>
        </w:drawing>
      </w:r>
    </w:p>
    <w:p>
      <w:pPr>
        <w:spacing w:lineRule="auto"/>
      </w:pPr>
      <w:r>
        <w:rPr/>
        <w:t xml:space="preserve">Figure 8 - Le convertisseur SEPIC.</w:t>
      </w:r>
    </w:p>
    <w:p>
      <w:pPr>
        <w:spacing w:after="220" w:lineRule="auto"/>
      </w:pPr>
      <w:r>
        <w:rPr>
          <w:rFonts w:eastAsia="Georgia" w:cs="Georgia" w:ascii="Georgia" w:hAnsi="Georgia"/>
        </w:rPr>
        <w:t xml:space="preserve">On utilisera les caractéristiques de fonctionnement et hypothèses suivantes :</w:t>
      </w:r>
    </w:p>
    <w:p>
      <w:pPr>
        <w:numPr>
          <w:ilvl w:val="0"/>
          <w:numId w:val="2"/>
        </w:numPr>
        <w:spacing w:lineRule="auto"/>
      </w:pPr>
      <w:r>
        <w:rPr>
          <w:rFonts w:eastAsia="Georgia" w:cs="Georgia" w:ascii="Georgia" w:hAnsi="Georgia"/>
        </w:rPr>
        <w:t xml:space="preserve">les interrupteurs travaillent à la fréquence de découpage </w:t>
      </w:r>
      <m:oMath>
        <m:r>
          <m:rPr>
            <m:sty m:val="i"/>
          </m:rPr>
          <m:t>f</m:t>
        </m:r>
        <m:r>
          <m:rPr>
            <m:sty m:val="p"/>
          </m:rPr>
          <m:t>=</m:t>
        </m:r>
        <m:r>
          <m:rPr>
            <m:sty m:val="p"/>
          </m:rPr>
          <m:t>300</m:t>
        </m:r>
        <m:r>
          <m:rPr>
            <m:sty m:val="p"/>
          </m:rPr>
          <m:t>kHz</m:t>
        </m:r>
      </m:oMath>
      <w:r>
        <w:rPr/>
        <w:t xml:space="preserve"> et avec le rapport cyclique </w:t>
      </w:r>
      <m:oMath>
        <m:r>
          <m:rPr>
            <m:sty m:val="i"/>
          </m:rPr>
          <m:t>α</m:t>
        </m:r>
      </m:oMath>
      <w:r>
        <w:rPr/>
        <w:t xml:space="preserve">;</w:t>
      </w:r>
    </w:p>
    <w:p>
      <w:pPr>
        <w:numPr>
          <w:ilvl w:val="0"/>
          <w:numId w:val="2"/>
        </w:numPr>
        <w:spacing w:lineRule="auto"/>
      </w:pPr>
      <w:r>
        <w:rPr>
          <w:rFonts w:eastAsia="Georgia" w:cs="Georgia" w:ascii="Georgia" w:hAnsi="Georgia"/>
        </w:rPr>
        <w:t xml:space="preserve">sur une période de fonctionnement, l'interrupteur </w:t>
      </w:r>
      <m:oMath>
        <m:sSub>
          <m:sSubPr/>
          <m:e>
            <m:r>
              <m:rPr>
                <m:sty m:val="i"/>
              </m:rPr>
              <m:t>K</m:t>
            </m:r>
          </m:e>
          <m:sub>
            <m:r>
              <m:rPr>
                <m:sty m:val="p"/>
              </m:rPr>
              <m:t>1</m:t>
            </m:r>
          </m:sub>
        </m:sSub>
      </m:oMath>
      <w:r>
        <w:rPr>
          <w:rFonts w:eastAsia="Georgia" w:cs="Georgia" w:ascii="Georgia" w:hAnsi="Georgia"/>
        </w:rPr>
        <w:t xml:space="preserve"> est fermé sur l'intervalle </w:t>
      </w:r>
      <m:oMath>
        <m:r>
          <m:rPr>
            <m:sty m:val="p"/>
          </m:rPr>
          <m:t>[</m:t>
        </m:r>
        <m:r>
          <m:rPr>
            <m:sty m:val="p"/>
          </m:rPr>
          <m:t>0</m:t>
        </m:r>
        <m:r>
          <m:rPr>
            <m:sty m:val="p"/>
          </m:rPr>
          <m:t>,</m:t>
        </m:r>
        <m:r>
          <m:rPr>
            <m:sty m:val="i"/>
          </m:rPr>
          <m:t>α</m:t>
        </m:r>
        <m:r>
          <m:rPr>
            <m:sty m:val="i"/>
          </m:rPr>
          <m:t>T</m:t>
        </m:r>
        <m:r>
          <m:rPr>
            <m:sty m:val="p"/>
          </m:rPr>
          <m:t>]</m:t>
        </m:r>
      </m:oMath>
      <w:r>
        <w:rPr/>
        <w:t xml:space="preserve">, ouvert sur l'intervalle </w:t>
      </w:r>
      <m:oMath>
        <m:r>
          <m:rPr>
            <m:sty m:val="p"/>
          </m:rPr>
          <m:t>[</m:t>
        </m:r>
        <m:r>
          <m:rPr>
            <m:sty m:val="i"/>
          </m:rPr>
          <m:t>α</m:t>
        </m:r>
        <m:r>
          <m:rPr>
            <m:sty m:val="i"/>
          </m:rPr>
          <m:t>T</m:t>
        </m:r>
        <m:r>
          <m:rPr>
            <m:sty m:val="p"/>
          </m:rPr>
          <m:t>,</m:t>
        </m:r>
        <m:r>
          <m:rPr>
            <m:sty m:val="i"/>
          </m:rPr>
          <m:t>T</m:t>
        </m:r>
        <m:r>
          <m:rPr>
            <m:sty m:val="p"/>
          </m:rPr>
          <m:t>]</m:t>
        </m:r>
      </m:oMath>
      <w:r>
        <w:rPr/>
        <w:t xml:space="preserve"> et l'interrupteur </w:t>
      </w:r>
      <m:oMath>
        <m:sSub>
          <m:sSubPr/>
          <m:e>
            <m:r>
              <m:rPr>
                <m:sty m:val="i"/>
              </m:rPr>
              <m:t>K</m:t>
            </m:r>
          </m:e>
          <m:sub>
            <m:r>
              <m:rPr>
                <m:sty m:val="p"/>
              </m:rPr>
              <m:t>2</m:t>
            </m:r>
          </m:sub>
        </m:sSub>
      </m:oMath>
      <w:r>
        <w:rPr/>
        <w:t xml:space="preserve"> est ouvert sur l'intervalle </w:t>
      </w:r>
      <m:oMath>
        <m:r>
          <m:rPr>
            <m:sty m:val="p"/>
          </m:rPr>
          <m:t>[</m:t>
        </m:r>
        <m:r>
          <m:rPr>
            <m:sty m:val="p"/>
          </m:rPr>
          <m:t>0</m:t>
        </m:r>
        <m:r>
          <m:rPr>
            <m:sty m:val="p"/>
          </m:rPr>
          <m:t>,</m:t>
        </m:r>
        <m:r>
          <m:rPr>
            <m:sty m:val="i"/>
          </m:rPr>
          <m:t>α</m:t>
        </m:r>
        <m:r>
          <m:rPr>
            <m:sty m:val="i"/>
          </m:rPr>
          <m:t>T</m:t>
        </m:r>
        <m:r>
          <m:rPr>
            <m:sty m:val="p"/>
          </m:rPr>
          <m:t>]</m:t>
        </m:r>
      </m:oMath>
      <w:r>
        <w:rPr>
          <w:rFonts w:eastAsia="Georgia" w:cs="Georgia" w:ascii="Georgia" w:hAnsi="Georgia"/>
        </w:rPr>
        <w:t xml:space="preserve">, fermé sur l'intervalle </w:t>
      </w:r>
      <m:oMath>
        <m:r>
          <m:rPr>
            <m:sty m:val="p"/>
          </m:rPr>
          <m:t>[</m:t>
        </m:r>
        <m:r>
          <m:rPr>
            <m:sty m:val="i"/>
          </m:rPr>
          <m:t>α</m:t>
        </m:r>
        <m:r>
          <m:rPr>
            <m:sty m:val="i"/>
          </m:rPr>
          <m:t>T</m:t>
        </m:r>
        <m:r>
          <m:rPr>
            <m:sty m:val="p"/>
          </m:rPr>
          <m:t>,</m:t>
        </m:r>
        <m:r>
          <m:rPr>
            <m:sty m:val="i"/>
          </m:rPr>
          <m:t>T</m:t>
        </m:r>
        <m:r>
          <m:rPr>
            <m:sty m:val="p"/>
          </m:rPr>
          <m:t>]</m:t>
        </m:r>
      </m:oMath>
      <w:r>
        <w:rPr/>
        <w:t xml:space="preserve">;</w:t>
      </w:r>
    </w:p>
    <w:p>
      <w:pPr>
        <w:numPr>
          <w:ilvl w:val="0"/>
          <w:numId w:val="2"/>
        </w:numPr>
        <w:spacing w:lineRule="auto"/>
      </w:pPr>
      <w:r>
        <w:rPr>
          <w:rFonts w:eastAsia="Georgia" w:cs="Georgia" w:ascii="Georgia" w:hAnsi="Georgia"/>
        </w:rPr>
        <w:t xml:space="preserve">chaque raisonnement sera mené dans l'hypothèse du régime périodique établi;</w:t>
      </w:r>
    </w:p>
    <w:p>
      <w:pPr>
        <w:numPr>
          <w:ilvl w:val="0"/>
          <w:numId w:val="2"/>
        </w:numPr>
        <w:spacing w:lineRule="auto"/>
      </w:pPr>
      <w:r>
        <w:rPr>
          <w:rFonts w:eastAsia="Georgia" w:cs="Georgia" w:ascii="Georgia" w:hAnsi="Georgia"/>
        </w:rPr>
        <w:t xml:space="preserve">on considérera, sauf mention contraire, les composants de commutation comme idéaux;</w:t>
      </w:r>
    </w:p>
    <w:p>
      <w:pPr>
        <w:numPr>
          <w:ilvl w:val="0"/>
          <w:numId w:val="2"/>
        </w:numPr>
        <w:spacing w:lineRule="auto"/>
      </w:pPr>
      <w:r>
        <w:rPr/>
        <w:t xml:space="preserve">la tension de sortie sera </w:t>
      </w:r>
      <m:oMath>
        <m:sSub>
          <m:sSubPr/>
          <m:e>
            <m:r>
              <m:rPr>
                <m:sty m:val="i"/>
              </m:rPr>
              <m:t>V</m:t>
            </m:r>
          </m:e>
          <m:sub>
            <m:r>
              <m:rPr>
                <m:sty m:val="p"/>
              </m:rPr>
              <m:t>s</m:t>
            </m:r>
          </m:sub>
        </m:sSub>
        <m:r>
          <m:rPr>
            <m:sty m:val="p"/>
          </m:rPr>
          <m:t>=</m:t>
        </m:r>
        <m:r>
          <m:rPr>
            <m:sty m:val="p"/>
          </m:rPr>
          <m:t>36</m:t>
        </m:r>
        <m:r>
          <m:rPr>
            <m:nor/>
          </m:rPr>
          <m:t xml:space="preserve"> </m:t>
        </m:r>
        <m:r>
          <m:rPr>
            <m:sty m:val="p"/>
          </m:rPr>
          <m:t>V</m:t>
        </m:r>
      </m:oMath>
      <w:r>
        <w:rPr/>
        <w:t xml:space="preserve">;</w:t>
      </w:r>
    </w:p>
    <w:p>
      <w:pPr>
        <w:numPr>
          <w:ilvl w:val="0"/>
          <w:numId w:val="2"/>
        </w:numPr>
        <w:spacing w:lineRule="auto"/>
      </w:pPr>
      <w:r>
        <w:rPr>
          <w:rFonts w:eastAsia="Georgia" w:cs="Georgia" w:ascii="Georgia" w:hAnsi="Georgia"/>
        </w:rPr>
        <w:t xml:space="preserve">la tension d'entrée </w:t>
      </w:r>
      <m:oMath>
        <m:sSub>
          <m:sSubPr/>
          <m:e>
            <m:r>
              <m:rPr>
                <m:sty m:val="i"/>
              </m:rPr>
              <m:t>V</m:t>
            </m:r>
          </m:e>
          <m:sub>
            <m:r>
              <m:rPr>
                <m:sty m:val="p"/>
              </m:rPr>
              <m:t>e</m:t>
            </m:r>
          </m:sub>
        </m:sSub>
      </m:oMath>
      <w:r>
        <w:rPr>
          <w:rFonts w:eastAsia="Georgia" w:cs="Georgia" w:ascii="Georgia" w:hAnsi="Georgia"/>
        </w:rPr>
        <w:t xml:space="preserve"> est celle aux bornes du pack de supercondensateurs. Elle est supposée constante. Sa valeur est comprise entre 27 V et 54 V ;</w:t>
      </w:r>
    </w:p>
    <w:p>
      <w:pPr>
        <w:numPr>
          <w:ilvl w:val="0"/>
          <w:numId w:val="2"/>
        </w:numPr>
        <w:spacing w:lineRule="auto"/>
      </w:pPr>
      <w:r>
        <w:rPr>
          <w:rFonts w:eastAsia="Georgia" w:cs="Georgia" w:ascii="Georgia" w:hAnsi="Georgia"/>
        </w:rPr>
        <w:t xml:space="preserve">l'intensité du courant de sortie est considérée constante. Sa valeur est </w:t>
      </w:r>
      <m:oMath>
        <m:sSub>
          <m:sSubPr/>
          <m:e>
            <m:r>
              <m:rPr>
                <m:sty m:val="i"/>
              </m:rPr>
              <m:t>I</m:t>
            </m:r>
          </m:e>
          <m:sub>
            <m:r>
              <m:rPr>
                <m:sty m:val="p"/>
              </m:rPr>
              <m:t>s</m:t>
            </m:r>
          </m:sub>
        </m:sSub>
        <m:r>
          <m:rPr>
            <m:sty m:val="p"/>
          </m:rPr>
          <m:t>=</m:t>
        </m:r>
        <m:r>
          <m:rPr>
            <m:sty m:val="p"/>
          </m:rPr>
          <m:t>10</m:t>
        </m:r>
        <m:r>
          <m:rPr>
            <m:nor/>
          </m:rPr>
          <m:t xml:space="preserve"> </m:t>
        </m:r>
        <m:r>
          <m:rPr>
            <m:sty m:val="p"/>
          </m:rPr>
          <m:t>A</m:t>
        </m:r>
      </m:oMath>
      <w:r>
        <w:rPr/>
        <w:t xml:space="preserve">;</w:t>
      </w:r>
    </w:p>
    <w:p>
      <w:pPr>
        <w:numPr>
          <w:ilvl w:val="0"/>
          <w:numId w:val="2"/>
        </w:numPr>
        <w:spacing w:lineRule="auto"/>
      </w:pPr>
      <w:r>
        <w:rPr>
          <w:rFonts w:eastAsia="Georgia" w:cs="Georgia" w:ascii="Georgia" w:hAnsi="Georgia"/>
        </w:rPr>
        <w:t xml:space="preserve">on tolère des ondulations relatives (par rapport aux valeurs moyennes) de </w:t>
      </w:r>
      <m:oMath>
        <m:r>
          <m:rPr>
            <m:sty m:val="p"/>
          </m:rPr>
          <m:t>10</m:t>
        </m:r>
        <m:r>
          <m:rPr>
            <m:sty m:val="p"/>
          </m:rPr>
          <m:t>%</m:t>
        </m:r>
      </m:oMath>
      <w:r>
        <w:rPr>
          <w:rFonts w:eastAsia="Georgia" w:cs="Georgia" w:ascii="Georgia" w:hAnsi="Georgia"/>
        </w:rPr>
        <w:t xml:space="preserve"> pour l'intensité du courant d'entrée </w:t>
      </w:r>
      <m:oMath>
        <m:sSub>
          <m:sSubPr/>
          <m:e>
            <m:r>
              <m:rPr>
                <m:sty m:val="i"/>
              </m:rPr>
              <m:t>I</m:t>
            </m:r>
          </m:e>
          <m:sub>
            <m:r>
              <m:rPr>
                <m:sty m:val="p"/>
              </m:rPr>
              <m:t>e</m:t>
            </m:r>
          </m:sub>
        </m:sSub>
      </m:oMath>
      <w:r>
        <w:rPr/>
        <w:t xml:space="preserve"> et de </w:t>
      </w:r>
      <m:oMath>
        <m:r>
          <m:rPr>
            <m:sty m:val="p"/>
          </m:rPr>
          <m:t>1</m:t>
        </m:r>
        <m:r>
          <m:rPr>
            <m:sty m:val="p"/>
          </m:rPr>
          <m:t>%</m:t>
        </m:r>
      </m:oMath>
      <w:r>
        <w:rPr/>
        <w:t xml:space="preserve"> pour la tension de sortie </w:t>
      </w:r>
      <m:oMath>
        <m:sSub>
          <m:sSubPr/>
          <m:e>
            <m:r>
              <m:rPr>
                <m:sty m:val="i"/>
              </m:rPr>
              <m:t>V</m:t>
            </m:r>
          </m:e>
          <m:sub>
            <m:r>
              <m:rPr>
                <m:sty m:val="i"/>
              </m:rPr>
              <m:t>s</m:t>
            </m:r>
          </m:sub>
        </m:sSub>
      </m:oMath>
      <w:r>
        <w:rPr/>
        <w:t xml:space="preserve">.</w:t>
      </w:r>
    </w:p>
    <w:p>
      <w:pPr>
        <w:spacing w:after="220" w:lineRule="auto"/>
      </w:pPr>
      <w:r>
        <w:rPr>
          <w:rFonts w:eastAsia="Georgia" w:cs="Georgia" w:ascii="Georgia" w:hAnsi="Georgia"/>
        </w:rPr>
        <w:t xml:space="preserve">Q8. À partir d'un bilan de puissance, calculer la valeur moyenne maximale du courant d'entrée : </w:t>
      </w:r>
      <m:oMath>
        <m:sSub>
          <m:sSubPr/>
          <m:e>
            <m:r>
              <m:rPr>
                <m:sty m:val="i"/>
              </m:rPr>
              <m:t>I</m:t>
            </m:r>
          </m:e>
          <m:sub>
            <m:r>
              <m:rPr>
                <m:sty m:val="p"/>
              </m:rPr>
              <m:t>e</m:t>
            </m:r>
            <m:r>
              <m:rPr>
                <m:sty m:val="p"/>
              </m:rPr>
              <m:t>,</m:t>
            </m:r>
            <m:r>
              <m:rPr>
                <m:sty m:val="p"/>
              </m:rPr>
              <m:t>max</m:t>
            </m:r>
          </m:sub>
        </m:sSub>
      </m:oMath>
      <w:r>
        <w:rPr/>
        <w:t xml:space="preserve">.</w:t>
      </w:r>
      <w:r>
        <w:rPr/>
        <w:br w:type="textWrapping"/>
      </w:r>
      <w:r>
        <w:rPr/>
        <w:t xml:space="preserve">Q9. Montrer que les valeurs moyennes de </w:t>
      </w:r>
      <m:oMath>
        <m:sSub>
          <m:sSubPr/>
          <m:e>
            <m:r>
              <m:rPr>
                <m:sty m:val="i"/>
              </m:rPr>
              <m:t>V</m:t>
            </m:r>
          </m:e>
          <m:sub>
            <m:sSub>
              <m:sSubPr/>
              <m:e>
                <m:r>
                  <m:rPr>
                    <m:sty m:val="i"/>
                  </m:rPr>
                  <m:t>L</m:t>
                </m:r>
              </m:e>
              <m:sub>
                <m:r>
                  <m:rPr>
                    <m:sty m:val="p"/>
                  </m:rPr>
                  <m:t>1</m:t>
                </m:r>
              </m:sub>
            </m:sSub>
          </m:sub>
        </m:sSub>
      </m:oMath>
      <w:r>
        <w:rPr/>
        <w:t xml:space="preserve"> et </w:t>
      </w:r>
      <m:oMath>
        <m:sSub>
          <m:sSubPr/>
          <m:e>
            <m:r>
              <m:rPr>
                <m:sty m:val="i"/>
              </m:rPr>
              <m:t>V</m:t>
            </m:r>
          </m:e>
          <m:sub>
            <m:sSub>
              <m:sSubPr/>
              <m:e>
                <m:r>
                  <m:rPr>
                    <m:sty m:val="i"/>
                  </m:rPr>
                  <m:t>L</m:t>
                </m:r>
              </m:e>
              <m:sub>
                <m:r>
                  <m:rPr>
                    <m:sty m:val="p"/>
                  </m:rPr>
                  <m:t>2</m:t>
                </m:r>
              </m:sub>
            </m:sSub>
          </m:sub>
        </m:sSub>
      </m:oMath>
      <w:r>
        <w:rPr>
          <w:rFonts w:eastAsia="Georgia" w:cs="Georgia" w:ascii="Georgia" w:hAnsi="Georgia"/>
        </w:rPr>
        <w:t xml:space="preserve"> sont nulles. En déduire la valeur moyenne </w:t>
      </w:r>
      <m:oMath>
        <m:r>
          <m:rPr>
            <m:sty m:val="p"/>
          </m:rPr>
          <m:t>&lt;</m:t>
        </m:r>
        <m:sSub>
          <m:sSubPr/>
          <m:e>
            <m:r>
              <m:rPr>
                <m:sty m:val="i"/>
              </m:rPr>
              <m:t>V</m:t>
            </m:r>
          </m:e>
          <m:sub>
            <m:sSub>
              <m:sSubPr/>
              <m:e>
                <m:r>
                  <m:rPr>
                    <m:sty m:val="i"/>
                  </m:rPr>
                  <m:t>C</m:t>
                </m:r>
              </m:e>
              <m:sub>
                <m:r>
                  <m:rPr>
                    <m:sty m:val="p"/>
                  </m:rPr>
                  <m:t>1</m:t>
                </m:r>
              </m:sub>
            </m:sSub>
          </m:sub>
        </m:sSub>
        <m:r>
          <m:rPr>
            <m:sty m:val="p"/>
          </m:rPr>
          <m:t>&gt;</m:t>
        </m:r>
      </m:oMath>
      <w:r>
        <w:rPr>
          <w:rFonts w:eastAsia="Georgia" w:cs="Georgia" w:ascii="Georgia" w:hAnsi="Georgia"/>
        </w:rPr>
        <w:t xml:space="preserve"> de la tension aux bornes du condensateur de capacité </w:t>
      </w:r>
      <m:oMath>
        <m:sSub>
          <m:sSubPr/>
          <m:e>
            <m:r>
              <m:rPr>
                <m:sty m:val="i"/>
              </m:rPr>
              <m:t>C</m:t>
            </m:r>
          </m:e>
          <m:sub>
            <m:r>
              <m:rPr>
                <m:sty m:val="p"/>
              </m:rPr>
              <m:t>1</m:t>
            </m:r>
          </m:sub>
        </m:sSub>
      </m:oMath>
      <w:r>
        <w:rPr/>
        <w:t xml:space="preserve">.</w:t>
      </w:r>
    </w:p>
    <w:p>
      <w:pPr>
        <w:spacing w:after="220" w:lineRule="auto"/>
      </w:pPr>
      <w:r>
        <w:rPr>
          <w:rFonts w:eastAsia="Georgia" w:cs="Georgia" w:ascii="Georgia" w:hAnsi="Georgia"/>
        </w:rPr>
        <w:t xml:space="preserve">Pour la suite, on considère que </w:t>
      </w:r>
      <m:oMath>
        <m:sSub>
          <m:sSubPr/>
          <m:e>
            <m:r>
              <m:rPr>
                <m:sty m:val="i"/>
              </m:rPr>
              <m:t>V</m:t>
            </m:r>
          </m:e>
          <m:sub>
            <m:sSub>
              <m:sSubPr/>
              <m:e>
                <m:r>
                  <m:rPr>
                    <m:sty m:val="i"/>
                  </m:rPr>
                  <m:t>C</m:t>
                </m:r>
              </m:e>
              <m:sub>
                <m:r>
                  <m:rPr>
                    <m:sty m:val="p"/>
                  </m:rPr>
                  <m:t>1</m:t>
                </m:r>
              </m:sub>
            </m:sSub>
          </m:sub>
        </m:sSub>
        <m:r>
          <m:rPr>
            <m:sty m:val="p"/>
          </m:rPr>
          <m:t>(</m:t>
        </m:r>
        <m:r>
          <m:rPr>
            <m:sty m:val="i"/>
          </m:rPr>
          <m:t>t</m:t>
        </m:r>
        <m:r>
          <m:rPr>
            <m:sty m:val="p"/>
          </m:rPr>
          <m:t>)</m:t>
        </m:r>
        <m:r>
          <m:rPr>
            <m:sty m:val="p"/>
          </m:rPr>
          <m:t>≃</m:t>
        </m:r>
        <m:d>
          <m:dPr>
            <m:begChr m:val="⟨"/>
            <m:endChr m:val="⟩"/>
            <m:ctrlPr>
              <w:rPr>
                <w:rFonts w:ascii="Cambria Math" w:hAnsi="Cambria Math"/>
              </w:rPr>
            </m:ctrlPr>
          </m:dPr>
          <m:e>
            <m:sSub>
              <m:sSubPr/>
              <m:e>
                <m:r>
                  <m:rPr>
                    <m:sty m:val="i"/>
                  </m:rPr>
                  <m:t>V</m:t>
                </m:r>
              </m:e>
              <m:sub>
                <m:sSub>
                  <m:sSubPr/>
                  <m:e>
                    <m:r>
                      <m:rPr>
                        <m:sty m:val="i"/>
                      </m:rPr>
                      <m:t>C</m:t>
                    </m:r>
                  </m:e>
                  <m:sub>
                    <m:r>
                      <m:rPr>
                        <m:sty m:val="p"/>
                      </m:rPr>
                      <m:t>1</m:t>
                    </m:r>
                  </m:sub>
                </m:sSub>
              </m:sub>
            </m:sSub>
          </m:e>
        </m:d>
      </m:oMath>
      <w:r>
        <w:rPr/>
        <w:t xml:space="preserve">.</w:t>
      </w:r>
      <w:r>
        <w:rPr/>
        <w:br w:type="textWrapping"/>
      </w:r>
      <w:r>
        <w:rPr>
          <w:rFonts w:eastAsia="Georgia" w:cs="Georgia" w:ascii="Georgia" w:hAnsi="Georgia"/>
        </w:rPr>
        <w:t xml:space="preserve">Q10. En utilisant les hypothèses précédentes, tracer le chronogramme de la tension aux bornes de la bobine d'inductance </w:t>
      </w:r>
      <m:oMath>
        <m:sSub>
          <m:sSubPr/>
          <m:e>
            <m:r>
              <m:rPr>
                <m:sty m:val="i"/>
              </m:rPr>
              <m:t>L</m:t>
            </m:r>
          </m:e>
          <m:sub>
            <m:r>
              <m:rPr>
                <m:sty m:val="p"/>
              </m:rPr>
              <m:t>2</m:t>
            </m:r>
          </m:sub>
        </m:sSub>
        <m:r>
          <m:rPr>
            <m:sty m:val="p"/>
          </m:rPr>
          <m:t>:</m:t>
        </m:r>
        <m:sSub>
          <m:sSubPr/>
          <m:e>
            <m:r>
              <m:rPr>
                <m:sty m:val="i"/>
              </m:rPr>
              <m:t>V</m:t>
            </m:r>
          </m:e>
          <m:sub>
            <m:sSub>
              <m:sSubPr/>
              <m:e>
                <m:r>
                  <m:rPr>
                    <m:sty m:val="i"/>
                  </m:rPr>
                  <m:t>L</m:t>
                </m:r>
              </m:e>
              <m:sub>
                <m:r>
                  <m:rPr>
                    <m:sty m:val="p"/>
                  </m:rPr>
                  <m:t>2</m:t>
                </m:r>
              </m:sub>
            </m:sSub>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Q11. En déduire le gain du convertisseur </w:t>
      </w:r>
      <m:oMath>
        <m:f>
          <m:fPr>
            <m:ctrlPr>
              <w:rPr>
                <w:rFonts w:ascii="Cambria Math" w:hAnsi="Cambria Math"/>
              </w:rPr>
            </m:ctrlPr>
          </m:fPr>
          <m:num>
            <m:sSub>
              <m:sSubPr/>
              <m:e>
                <m:r>
                  <m:rPr>
                    <m:sty m:val="i"/>
                  </m:rPr>
                  <m:t>V</m:t>
                </m:r>
              </m:e>
              <m:sub>
                <m:r>
                  <m:rPr>
                    <m:sty m:val="p"/>
                  </m:rPr>
                  <m:t>s</m:t>
                </m:r>
              </m:sub>
            </m:sSub>
          </m:num>
          <m:den>
            <m:sSub>
              <m:sSubPr/>
              <m:e>
                <m:r>
                  <m:rPr>
                    <m:sty m:val="i"/>
                  </m:rPr>
                  <m:t>V</m:t>
                </m:r>
              </m:e>
              <m:sub>
                <m:r>
                  <m:rPr>
                    <m:sty m:val="p"/>
                  </m:rPr>
                  <m:t>e</m:t>
                </m:r>
              </m:sub>
            </m:sSub>
          </m:den>
        </m:f>
      </m:oMath>
      <w:r>
        <w:rPr/>
        <w:t xml:space="preserve"> en fonction de </w:t>
      </w:r>
      <m:oMath>
        <m:r>
          <m:rPr>
            <m:sty m:val="i"/>
          </m:rPr>
          <m:t>α</m:t>
        </m:r>
      </m:oMath>
      <w:r>
        <w:rPr>
          <w:rFonts w:eastAsia="Georgia" w:cs="Georgia" w:ascii="Georgia" w:hAnsi="Georgia"/>
        </w:rPr>
        <w:t xml:space="preserve">. Quel est l'intérêt du convertisseur SEPIC?</w:t>
      </w:r>
      <w:r>
        <w:rPr/>
        <w:br w:type="textWrapping"/>
      </w:r>
      <w:r>
        <w:rPr>
          <w:rFonts w:eastAsia="Georgia" w:cs="Georgia" w:ascii="Georgia" w:hAnsi="Georgia"/>
        </w:rPr>
        <w:t xml:space="preserve">En réalité, ce gain est limité par les résistances internes des différents composants. En tenant compte de la résistance interne </w:t>
      </w:r>
      <m:oMath>
        <m:sSub>
          <m:sSubPr/>
          <m:e>
            <m:r>
              <m:rPr>
                <m:sty m:val="i"/>
              </m:rPr>
              <m:t>R</m:t>
            </m:r>
          </m:e>
          <m:sub>
            <m:r>
              <m:rPr>
                <m:sty m:val="i"/>
              </m:rPr>
              <m:t>L</m:t>
            </m:r>
          </m:sub>
        </m:sSub>
        <m:r>
          <m:rPr>
            <m:sty m:val="p"/>
          </m:rPr>
          <m:t>=</m:t>
        </m:r>
        <m:r>
          <m:rPr>
            <m:sty m:val="p"/>
          </m:rPr>
          <m:t>0</m:t>
        </m:r>
        <m:r>
          <m:rPr>
            <m:sty m:val="p"/>
          </m:rPr>
          <m:t>,</m:t>
        </m:r>
        <m:r>
          <m:rPr>
            <m:sty m:val="p"/>
          </m:rPr>
          <m:t>1</m:t>
        </m:r>
        <m:sSub>
          <m:sSubPr/>
          <m:e>
            <m:r>
              <m:rPr>
                <m:sty m:val="i"/>
              </m:rPr>
              <m:t>R</m:t>
            </m:r>
          </m:e>
          <m:sub>
            <m:r>
              <m:rPr>
                <m:sty m:val="p"/>
              </m:rPr>
              <m:t>c</m:t>
            </m:r>
          </m:sub>
        </m:sSub>
      </m:oMath>
      <w:r>
        <w:rPr/>
        <w:t xml:space="preserve"> de la bobine d'inductance </w:t>
      </w:r>
      <m:oMath>
        <m:sSub>
          <m:sSubPr/>
          <m:e>
            <m:r>
              <m:rPr>
                <m:sty m:val="i"/>
              </m:rPr>
              <m:t>L</m:t>
            </m:r>
          </m:e>
          <m:sub>
            <m:r>
              <m:rPr>
                <m:sty m:val="p"/>
              </m:rPr>
              <m:t>1</m:t>
            </m:r>
          </m:sub>
        </m:sSub>
      </m:oMath>
      <w:r>
        <w:rPr/>
        <w:t xml:space="preserve">, le gain devient</w:t>
      </w:r>
    </w:p>
    <w:p>
      <w:pPr>
        <w:spacing w:after="220" w:lineRule="auto"/>
      </w:pPr>
      <m:oMathPara>
        <m:oMath>
          <m:f>
            <m:fPr>
              <m:ctrlPr>
                <w:rPr>
                  <w:rFonts w:ascii="Cambria Math" w:hAnsi="Cambria Math"/>
                </w:rPr>
              </m:ctrlPr>
            </m:fPr>
            <m:num>
              <m:sSub>
                <m:sSubPr/>
                <m:e>
                  <m:r>
                    <m:rPr>
                      <m:sty m:val="i"/>
                    </m:rPr>
                    <m:t>V</m:t>
                  </m:r>
                </m:e>
                <m:sub>
                  <m:r>
                    <m:rPr>
                      <m:sty m:val="p"/>
                    </m:rPr>
                    <m:t>s</m:t>
                  </m:r>
                </m:sub>
              </m:sSub>
            </m:num>
            <m:den>
              <m:sSub>
                <m:sSubPr/>
                <m:e>
                  <m:r>
                    <m:rPr>
                      <m:sty m:val="i"/>
                    </m:rPr>
                    <m:t>V</m:t>
                  </m:r>
                </m:e>
                <m:sub>
                  <m:r>
                    <m:rPr>
                      <m:sty m:val="p"/>
                    </m:rPr>
                    <m:t>e</m:t>
                  </m:r>
                </m:sub>
              </m:sSub>
            </m:den>
          </m:f>
          <m:r>
            <m:rPr>
              <m:sty m:val="p"/>
            </m:rPr>
            <m:t>=</m:t>
          </m:r>
          <m:f>
            <m:fPr>
              <m:ctrlPr>
                <w:rPr>
                  <w:rFonts w:ascii="Cambria Math" w:hAnsi="Cambria Math"/>
                </w:rPr>
              </m:ctrlPr>
            </m:fPr>
            <m:num>
              <m:r>
                <m:rPr>
                  <m:sty m:val="i"/>
                </m:rPr>
                <m:t>α</m:t>
              </m:r>
            </m:num>
            <m:den>
              <m:r>
                <m:rPr>
                  <m:sty m:val="p"/>
                </m:rPr>
                <m:t>(</m:t>
              </m:r>
              <m:r>
                <m:rPr>
                  <m:sty m:val="p"/>
                </m:rPr>
                <m:t>1</m:t>
              </m:r>
              <m:r>
                <m:rPr>
                  <m:sty m:val="p"/>
                </m:rPr>
                <m:t>−</m:t>
              </m:r>
              <m:r>
                <m:rPr>
                  <m:sty m:val="i"/>
                </m:rPr>
                <m:t>α</m:t>
              </m:r>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sSub>
                        <m:sSubPr/>
                        <m:e>
                          <m:r>
                            <m:rPr>
                              <m:sty m:val="i"/>
                            </m:rPr>
                            <m:t>R</m:t>
                          </m:r>
                        </m:e>
                        <m:sub>
                          <m:r>
                            <m:rPr>
                              <m:sty m:val="i"/>
                            </m:rPr>
                            <m:t>L</m:t>
                          </m:r>
                        </m:sub>
                      </m:sSub>
                    </m:num>
                    <m:den>
                      <m:sSub>
                        <m:sSubPr/>
                        <m:e>
                          <m:r>
                            <m:rPr>
                              <m:sty m:val="i"/>
                            </m:rPr>
                            <m:t>R</m:t>
                          </m:r>
                        </m:e>
                        <m:sub>
                          <m:r>
                            <m:rPr>
                              <m:sty m:val="p"/>
                            </m:rPr>
                            <m:t>c</m:t>
                          </m:r>
                        </m:sub>
                      </m:sSub>
                    </m:den>
                  </m:f>
                  <m:f>
                    <m:fPr>
                      <m:ctrlPr>
                        <w:rPr>
                          <w:rFonts w:ascii="Cambria Math" w:hAnsi="Cambria Math"/>
                        </w:rPr>
                      </m:ctrlPr>
                    </m:fPr>
                    <m:num>
                      <m:r>
                        <m:rPr>
                          <m:sty m:val="p"/>
                        </m:rPr>
                        <m:t>1</m:t>
                      </m:r>
                    </m:num>
                    <m:den>
                      <m:r>
                        <m:rPr>
                          <m:sty m:val="p"/>
                        </m:rPr>
                        <m:t>(</m:t>
                      </m:r>
                      <m:r>
                        <m:rPr>
                          <m:sty m:val="p"/>
                        </m:rPr>
                        <m:t>1</m:t>
                      </m:r>
                      <m:r>
                        <m:rPr>
                          <m:sty m:val="p"/>
                        </m:rPr>
                        <m:t>−</m:t>
                      </m:r>
                      <m:r>
                        <m:rPr>
                          <m:sty m:val="i"/>
                        </m:rPr>
                        <m:t>α</m:t>
                      </m:r>
                      <m:sSup>
                        <m:sSupPr/>
                        <m:e>
                          <m:r>
                            <m:rPr>
                              <m:sty m:val="p"/>
                            </m:rPr>
                            <m:t>)</m:t>
                          </m:r>
                        </m:e>
                        <m:sup>
                          <m:r>
                            <m:rPr>
                              <m:sty m:val="p"/>
                            </m:rPr>
                            <m:t>2</m:t>
                          </m:r>
                        </m:sup>
                      </m:sSup>
                    </m:den>
                  </m:f>
                </m:e>
              </m:d>
            </m:den>
          </m:f>
        </m:oMath>
      </m:oMathPara>
    </w:p>
    <w:p>
      <w:pPr>
        <w:spacing w:lineRule="auto"/>
        <w:jc w:val="center"/>
      </w:pPr>
      <w:r>
        <w:rPr/>
        <w:drawing>
          <wp:inline distB="0" distL="0" distR="0" distT="0">
            <wp:extent cx="5486400" cy="2503900"/>
            <wp:effectExtent b="0" l="0" r="0" t="0"/>
            <wp:docPr id="8" name="image-66a7f1ce1d0719ed216bf7c0c8886df55467ec0c.jpg"/>
            <a:graphic>
              <a:graphicData uri="http://schemas.openxmlformats.org/drawingml/2006/picture">
                <pic:pic>
                  <pic:nvPicPr>
                    <pic:cNvPr id="8" name="image-66a7f1ce1d0719ed216bf7c0c8886df55467ec0c.jpg" descr=""/>
                    <pic:cNvPicPr/>
                  </pic:nvPicPr>
                  <pic:blipFill>
                    <a:blip r:embed="rId12" cstate="print"/>
                    <a:srcRect b="0" l="0" r="0" t="0"/>
                    <a:stretch>
                      <a:fillRect/>
                    </a:stretch>
                  </pic:blipFill>
                  <pic:spPr>
                    <a:xfrm>
                      <a:off x="0" y="0"/>
                      <a:ext cx="5486400" cy="2503900"/>
                    </a:xfrm>
                    <a:prstGeom prst="rect"/>
                  </pic:spPr>
                </pic:pic>
              </a:graphicData>
            </a:graphic>
          </wp:inline>
        </w:drawing>
      </w:r>
    </w:p>
    <w:p>
      <w:pPr>
        <w:spacing w:lineRule="auto"/>
      </w:pPr>
      <w:r>
        <w:rPr/>
        <w:t xml:space="preserve">Figure 9 - Gain en fonction du rapport cyclique.</w:t>
      </w:r>
    </w:p>
    <w:p>
      <w:pPr>
        <w:spacing w:after="220" w:lineRule="auto"/>
      </w:pPr>
      <w:r>
        <w:rPr>
          <w:rFonts w:eastAsia="Georgia" w:cs="Georgia" w:ascii="Georgia" w:hAnsi="Georgia"/>
        </w:rPr>
        <w:t xml:space="preserve">Q12. Calculer les deux valeurs extrêmes du rapport cyclique </w:t>
      </w:r>
      <m:oMath>
        <m:r>
          <m:rPr>
            <m:sty m:val="i"/>
          </m:rPr>
          <m:t>α</m:t>
        </m:r>
      </m:oMath>
      <w:r>
        <w:rPr>
          <w:rFonts w:eastAsia="Georgia" w:cs="Georgia" w:ascii="Georgia" w:hAnsi="Georgia"/>
        </w:rPr>
        <w:t xml:space="preserve"> pour les valeurs extrêmes de la tension d'entrée </w:t>
      </w:r>
      <m:oMath>
        <m:sSub>
          <m:sSubPr/>
          <m:e>
            <m:r>
              <m:rPr>
                <m:sty m:val="i"/>
              </m:rPr>
              <m:t>V</m:t>
            </m:r>
          </m:e>
          <m:sub>
            <m:r>
              <m:rPr>
                <m:nor/>
              </m:rPr>
              <m:t>e </m:t>
            </m:r>
          </m:sub>
        </m:sSub>
      </m:oMath>
      <w:r>
        <w:rPr>
          <w:rFonts w:eastAsia="Georgia" w:cs="Georgia" w:ascii="Georgia" w:hAnsi="Georgia"/>
        </w:rPr>
        <w:t xml:space="preserve">. Commenter ces résultats. Que se passerait-il si on laissait les supercondensateurs se décharger totalement?</w:t>
      </w:r>
    </w:p>
    <w:p>
      <w:pPr>
        <w:spacing w:after="220" w:lineRule="auto"/>
      </w:pPr>
      <w:r>
        <w:rPr>
          <w:rFonts w:eastAsia="Georgia" w:cs="Georgia" w:ascii="Georgia" w:hAnsi="Georgia"/>
        </w:rPr>
        <w:t xml:space="preserve">Dans les deux questions suivantes, on prendra les valeurs approchées </w:t>
      </w:r>
      <m:oMath>
        <m:r>
          <m:rPr>
            <m:sty m:val="i"/>
          </m:rPr>
          <m:t>α</m:t>
        </m:r>
        <m:r>
          <m:rPr>
            <m:sty m:val="p"/>
          </m:rPr>
          <m:t>=</m:t>
        </m:r>
        <m:r>
          <m:rPr>
            <m:sty m:val="p"/>
          </m:rPr>
          <m:t>0</m:t>
        </m:r>
        <m:r>
          <m:rPr>
            <m:sty m:val="p"/>
          </m:rPr>
          <m:t>,</m:t>
        </m:r>
        <m:r>
          <m:rPr>
            <m:sty m:val="p"/>
          </m:rPr>
          <m:t>4</m:t>
        </m:r>
      </m:oMath>
      <w:r>
        <w:rPr/>
        <w:t xml:space="preserve"> pour </w:t>
      </w:r>
      <m:oMath>
        <m:sSub>
          <m:sSubPr/>
          <m:e>
            <m:r>
              <m:rPr>
                <m:sty m:val="i"/>
              </m:rPr>
              <m:t>V</m:t>
            </m:r>
          </m:e>
          <m:sub>
            <m:r>
              <m:rPr>
                <m:sty m:val="p"/>
              </m:rPr>
              <m:t>e</m:t>
            </m:r>
          </m:sub>
        </m:sSub>
        <m:r>
          <m:rPr>
            <m:sty m:val="p"/>
          </m:rPr>
          <m:t>=</m:t>
        </m:r>
        <m:r>
          <m:rPr>
            <m:sty m:val="p"/>
          </m:rPr>
          <m:t>54</m:t>
        </m:r>
        <m:r>
          <m:rPr>
            <m:nor/>
          </m:rPr>
          <m:t xml:space="preserve"> </m:t>
        </m:r>
        <m:r>
          <m:rPr>
            <m:sty m:val="p"/>
          </m:rPr>
          <m:t>V</m:t>
        </m:r>
      </m:oMath>
      <w:r>
        <w:rPr/>
        <w:t xml:space="preserve"> et </w:t>
      </w:r>
      <m:oMath>
        <m:r>
          <m:rPr>
            <m:sty m:val="i"/>
          </m:rPr>
          <m:t>α</m:t>
        </m:r>
        <m:r>
          <m:rPr>
            <m:sty m:val="p"/>
          </m:rPr>
          <m:t>=</m:t>
        </m:r>
        <m:r>
          <m:rPr>
            <m:sty m:val="p"/>
          </m:rPr>
          <m:t>0</m:t>
        </m:r>
        <m:r>
          <m:rPr>
            <m:sty m:val="p"/>
          </m:rPr>
          <m:t>,</m:t>
        </m:r>
        <m:r>
          <m:rPr>
            <m:sty m:val="p"/>
          </m:rPr>
          <m:t>6</m:t>
        </m:r>
      </m:oMath>
      <w:r>
        <w:rPr/>
        <w:t xml:space="preserve"> pour </w:t>
      </w:r>
      <m:oMath>
        <m:sSub>
          <m:sSubPr/>
          <m:e>
            <m:r>
              <m:rPr>
                <m:sty m:val="i"/>
              </m:rPr>
              <m:t>V</m:t>
            </m:r>
          </m:e>
          <m:sub>
            <m:r>
              <m:rPr>
                <m:sty m:val="p"/>
              </m:rPr>
              <m:t>s</m:t>
            </m:r>
          </m:sub>
        </m:sSub>
        <m:r>
          <m:rPr>
            <m:sty m:val="p"/>
          </m:rPr>
          <m:t>=</m:t>
        </m:r>
        <m:r>
          <m:rPr>
            <m:sty m:val="p"/>
          </m:rPr>
          <m:t>27</m:t>
        </m:r>
        <m:r>
          <m:rPr>
            <m:nor/>
          </m:rPr>
          <m:t xml:space="preserve"> </m:t>
        </m:r>
        <m:r>
          <m:rPr>
            <m:sty m:val="p"/>
          </m:rPr>
          <m:t>V</m:t>
        </m:r>
      </m:oMath>
      <w:r>
        <w:rPr/>
        <w:t xml:space="preserve">.</w:t>
      </w:r>
    </w:p>
    <w:p>
      <w:pPr>
        <w:spacing w:after="220" w:lineRule="auto"/>
      </w:pPr>
      <w:r>
        <w:rPr/>
        <w:t xml:space="preserve">Q13. Calculer la valeur minimale de l'inductance </w:t>
      </w:r>
      <m:oMath>
        <m:sSub>
          <m:sSubPr/>
          <m:e>
            <m:r>
              <m:rPr>
                <m:sty m:val="i"/>
              </m:rPr>
              <m:t>L</m:t>
            </m:r>
          </m:e>
          <m:sub>
            <m:r>
              <m:rPr>
                <m:sty m:val="p"/>
              </m:rPr>
              <m:t>1</m:t>
            </m:r>
          </m:sub>
        </m:sSub>
      </m:oMath>
      <w:r>
        <w:rPr>
          <w:rFonts w:eastAsia="Georgia" w:cs="Georgia" w:ascii="Georgia" w:hAnsi="Georgia"/>
        </w:rPr>
        <w:t xml:space="preserve"> permettant que l'ondulation du courant d'entrée soit inférieure à </w:t>
      </w:r>
      <m:oMath>
        <m:r>
          <m:rPr>
            <m:sty m:val="p"/>
          </m:rPr>
          <m:t>10</m:t>
        </m:r>
        <m:r>
          <m:rPr>
            <m:sty m:val="p"/>
          </m:rPr>
          <m:t>%</m:t>
        </m:r>
      </m:oMath>
      <w:r>
        <w:rPr/>
        <w:t xml:space="preserve"> de sa valeur moyenne </w:t>
      </w:r>
      <m:oMath>
        <m:sSub>
          <m:sSubPr/>
          <m:e>
            <m:r>
              <m:rPr>
                <m:sty m:val="i"/>
              </m:rPr>
              <m:t>I</m:t>
            </m:r>
          </m:e>
          <m:sub>
            <m:r>
              <m:rPr>
                <m:sty m:val="i"/>
              </m:rPr>
              <m:t>e</m:t>
            </m:r>
          </m:sub>
        </m:sSub>
      </m:oMath>
      <w:r>
        <w:rPr>
          <w:rFonts w:eastAsia="Georgia" w:cs="Georgia" w:ascii="Georgia" w:hAnsi="Georgia"/>
        </w:rPr>
        <w:t xml:space="preserve">, quelle que soit la valeur de la tension d'entrée dans l'intervalle </w:t>
      </w:r>
      <m:oMath>
        <m:r>
          <m:rPr>
            <m:sty m:val="p"/>
          </m:rPr>
          <m:t>[</m:t>
        </m:r>
        <m:r>
          <m:rPr>
            <m:sty m:val="p"/>
          </m:rPr>
          <m:t>27</m:t>
        </m:r>
        <m:r>
          <m:rPr>
            <m:nor/>
          </m:rPr>
          <m:t xml:space="preserve"> </m:t>
        </m:r>
        <m:r>
          <m:rPr>
            <m:sty m:val="p"/>
          </m:rPr>
          <m:t>V</m:t>
        </m:r>
        <m:r>
          <m:rPr>
            <m:sty m:val="p"/>
          </m:rPr>
          <m:t>;</m:t>
        </m:r>
        <m:r>
          <m:rPr>
            <m:sty m:val="p"/>
          </m:rPr>
          <m:t>54</m:t>
        </m:r>
        <m:r>
          <m:rPr>
            <m:nor/>
          </m:rPr>
          <m:t xml:space="preserve"> </m:t>
        </m:r>
        <m:r>
          <m:rPr>
            <m:sty m:val="p"/>
          </m:rPr>
          <m:t>V</m:t>
        </m:r>
        <m:r>
          <m:rPr>
            <m:sty m:val="p"/>
          </m:rPr>
          <m:t>]</m:t>
        </m:r>
      </m:oMath>
      <w:r>
        <w:rPr/>
        <w:t xml:space="preserve">.</w:t>
      </w:r>
    </w:p>
    <w:p>
      <w:pPr>
        <w:spacing w:after="220" w:lineRule="auto"/>
      </w:pPr>
      <w:r>
        <w:rPr/>
        <w:t xml:space="preserve">Q14. En supposant le courant de sortie </w:t>
      </w:r>
      <m:oMath>
        <m:sSub>
          <m:sSubPr/>
          <m:e>
            <m:r>
              <m:rPr>
                <m:sty m:val="i"/>
              </m:rPr>
              <m:t>I</m:t>
            </m:r>
          </m:e>
          <m:sub>
            <m:r>
              <m:rPr>
                <m:sty m:val="p"/>
              </m:rPr>
              <m:t>s</m:t>
            </m:r>
          </m:sub>
        </m:sSub>
      </m:oMath>
      <w:r>
        <w:rPr/>
        <w:t xml:space="preserve"> constant, calculer la valeur minimale de </w:t>
      </w:r>
      <m:oMath>
        <m:sSub>
          <m:sSubPr/>
          <m:e>
            <m:r>
              <m:rPr>
                <m:sty m:val="i"/>
              </m:rPr>
              <m:t>C</m:t>
            </m:r>
          </m:e>
          <m:sub>
            <m:r>
              <m:rPr>
                <m:sty m:val="p"/>
              </m:rPr>
              <m:t>2</m:t>
            </m:r>
          </m:sub>
        </m:sSub>
      </m:oMath>
      <w:r>
        <w:rPr/>
        <w:t xml:space="preserve"> permettant de limiter l'ondulation maximale de la tension de sortie </w:t>
      </w:r>
      <m:oMath>
        <m:sSub>
          <m:sSubPr/>
          <m:e>
            <m:r>
              <m:rPr>
                <m:sty m:val="i"/>
              </m:rPr>
              <m:t>V</m:t>
            </m:r>
          </m:e>
          <m:sub>
            <m:r>
              <m:rPr>
                <m:sty m:val="p"/>
              </m:rPr>
              <m:t>s</m:t>
            </m:r>
          </m:sub>
        </m:sSub>
      </m:oMath>
      <w:r>
        <w:rPr>
          <w:rFonts w:eastAsia="Georgia" w:cs="Georgia" w:ascii="Georgia" w:hAnsi="Georgia"/>
        </w:rPr>
        <w:t xml:space="preserve"> à </w:t>
      </w:r>
      <m:oMath>
        <m:r>
          <m:rPr>
            <m:sty m:val="p"/>
          </m:rPr>
          <m:t>1</m:t>
        </m:r>
        <m:r>
          <m:rPr>
            <m:sty m:val="p"/>
          </m:rPr>
          <m:t>%</m:t>
        </m:r>
      </m:oMath>
      <w:r>
        <w:rPr>
          <w:rFonts w:eastAsia="Georgia" w:cs="Georgia" w:ascii="Georgia" w:hAnsi="Georgia"/>
        </w:rPr>
        <w:t xml:space="preserve"> de sa valeur moyenne, prise égale à 36 V , pour une tension d'entrée </w:t>
      </w:r>
      <m:oMath>
        <m:sSub>
          <m:sSubPr/>
          <m:e>
            <m:r>
              <m:rPr>
                <m:sty m:val="i"/>
              </m:rPr>
              <m:t>V</m:t>
            </m:r>
          </m:e>
          <m:sub>
            <m:r>
              <m:rPr>
                <m:sty m:val="p"/>
              </m:rPr>
              <m:t>e</m:t>
            </m:r>
          </m:sub>
        </m:sSub>
        <m:r>
          <m:rPr>
            <m:sty m:val="p"/>
          </m:rPr>
          <m:t>=</m:t>
        </m:r>
        <m:r>
          <m:rPr>
            <m:sty m:val="p"/>
          </m:rPr>
          <m:t>36</m:t>
        </m:r>
        <m:r>
          <m:rPr>
            <m:nor/>
          </m:rPr>
          <m:t xml:space="preserve"> </m:t>
        </m:r>
        <m:r>
          <m:rPr>
            <m:sty m:val="p"/>
          </m:rPr>
          <m:t>V</m:t>
        </m:r>
      </m:oMath>
      <w:r>
        <w:rPr/>
        <w:t xml:space="preserve">.</w:t>
      </w:r>
    </w:p>
    <w:p>
      <w:pPr>
        <w:spacing w:line="271" w:before="330" w:lineRule="auto"/>
      </w:pPr>
      <w:r>
        <w:rPr>
          <w:b/>
          <w:sz w:val="42"/>
        </w:rPr>
        <w:t xml:space="preserve">II - Le recyclage de la batterie lithium-ion</w:t>
      </w:r>
    </w:p>
    <w:p>
      <w:pPr>
        <w:spacing w:after="220" w:lineRule="auto"/>
      </w:pPr>
      <w:r>
        <w:rPr>
          <w:rFonts w:eastAsia="Georgia" w:cs="Georgia" w:ascii="Georgia" w:hAnsi="Georgia"/>
        </w:rPr>
        <w:t xml:space="preserve">Grâce à l'utilisation des supercondensateurs et la récupération d'énergie, il n'y a plus besoin d'une énorme batterie. Celle du vélo hybride est ultra-compacte. L'intérêt écologique est de limiter le recours aux ressources rares. Le vélo hybride utilise 5 fois moins de lithium, nickel, cobalt et manganèse qu'un vélo électrique classique. La capacité de la batterie est limitée à 80 Wh contre 400 Wh pour un vélo sans supercondensateur.</w:t>
      </w:r>
      <w:r>
        <w:rPr/>
        <w:br w:type="textWrapping"/>
      </w:r>
      <w:r>
        <w:rPr>
          <w:rFonts w:eastAsia="Georgia" w:cs="Georgia" w:ascii="Georgia" w:hAnsi="Georgia"/>
        </w:rPr>
        <w:t xml:space="preserve">Les métaux présents dans les batteries sont sujets à de fortes tensions sur le marché selon la situation géopolitique pouvant conduire à des risques majeurs d'approvisionnement. Il faut donc économiser leur utilisation mais aussi préparer le recyclage de la grande quantité de batteries lithium-ion des véhicules électriques qui arriveront sur le marché d'ici une dizaine d'années.</w:t>
      </w:r>
      <w:r>
        <w:rPr/>
        <w:br w:type="textWrapping"/>
      </w:r>
      <w:r>
        <w:rPr>
          <w:rFonts w:eastAsia="Georgia" w:cs="Georgia" w:ascii="Georgia" w:hAnsi="Georgia"/>
        </w:rPr>
        <w:t xml:space="preserve">Plusieurs procédés de recyclage existent aujourd'hui, mais ils reposent sur la pyrométallurgie qui ne permet pas de récupérer tous les métaux et qui consomme beaucoup d'énergie.</w:t>
      </w:r>
      <w:r>
        <w:rPr/>
        <w:br w:type="textWrapping"/>
      </w:r>
      <w:r>
        <w:rPr>
          <w:rFonts w:eastAsia="Georgia" w:cs="Georgia" w:ascii="Georgia" w:hAnsi="Georgia"/>
        </w:rPr>
        <w:t xml:space="preserve">Cette partie va s'intéresser à une voie nouvelle qui permettra de séparer les métaux : l'hydrométallurgie.</w:t>
      </w:r>
      <w:r>
        <w:rPr/>
        <w:br w:type="textWrapping"/>
      </w:r>
      <w:r>
        <w:rPr>
          <w:rFonts w:eastAsia="Georgia" w:cs="Georgia" w:ascii="Georgia" w:hAnsi="Georgia"/>
        </w:rPr>
        <w:t xml:space="preserve">Le composant le plus difficile à recycler est l'électrode positive de type NMC111 de la batterie.</w:t>
      </w:r>
      <w:r>
        <w:rPr/>
        <w:br w:type="textWrapping"/>
      </w:r>
      <w:r>
        <w:rPr/>
        <w:t xml:space="preserve">Sa formule chimique est </w:t>
      </w:r>
      <m:oMath>
        <m:sSub>
          <m:sSubPr/>
          <m:e>
            <m:r>
              <m:rPr>
                <m:sty m:val="p"/>
              </m:rPr>
              <m:t>LiNi</m:t>
            </m:r>
          </m:e>
          <m:sub>
            <m:r>
              <m:rPr>
                <m:sty m:val="p"/>
              </m:rPr>
              <m:t>1</m:t>
            </m:r>
            <m:r>
              <m:rPr>
                <m:sty m:val="p"/>
              </m:rPr>
              <m:t>/</m:t>
            </m:r>
            <m:r>
              <m:rPr>
                <m:sty m:val="p"/>
              </m:rPr>
              <m:t>3</m:t>
            </m:r>
          </m:sub>
        </m:sSub>
        <m:sSub>
          <m:sSubPr/>
          <m:e>
            <m:r>
              <m:rPr>
                <m:sty m:val="p"/>
              </m:rPr>
              <m:t>Mn</m:t>
            </m:r>
          </m:e>
          <m:sub>
            <m:r>
              <m:rPr>
                <m:sty m:val="p"/>
              </m:rPr>
              <m:t>1</m:t>
            </m:r>
            <m:r>
              <m:rPr>
                <m:sty m:val="p"/>
              </m:rPr>
              <m:t>/</m:t>
            </m:r>
            <m:r>
              <m:rPr>
                <m:sty m:val="p"/>
              </m:rPr>
              <m:t>3</m:t>
            </m:r>
          </m:sub>
        </m:sSub>
        <m:sSub>
          <m:sSubPr/>
          <m:e>
            <m:r>
              <m:rPr>
                <m:sty m:val="p"/>
              </m:rPr>
              <m:t>Co</m:t>
            </m:r>
          </m:e>
          <m:sub>
            <m:r>
              <m:rPr>
                <m:sty m:val="p"/>
              </m:rPr>
              <m:t>1</m:t>
            </m:r>
            <m:r>
              <m:rPr>
                <m:sty m:val="p"/>
              </m:rPr>
              <m:t>/</m:t>
            </m:r>
            <m:r>
              <m:rPr>
                <m:sty m:val="p"/>
              </m:rPr>
              <m:t>3</m:t>
            </m:r>
          </m:sub>
        </m:sSub>
        <m:sSub>
          <m:sSubPr/>
          <m:e>
            <m:r>
              <m:rPr>
                <m:sty m:val="p"/>
              </m:rPr>
              <m:t>O</m:t>
            </m:r>
          </m:e>
          <m:sub>
            <m:r>
              <m:rPr>
                <m:sty m:val="p"/>
              </m:rPr>
              <m:t>2</m:t>
            </m:r>
          </m:sub>
        </m:sSub>
        <m:r>
          <m:rPr>
            <m:sty m:val="p"/>
          </m:rPr>
          <m:t>(</m:t>
        </m:r>
        <m:r>
          <m:rPr>
            <m:nor/>
          </m:rPr>
          <m:t xml:space="preserve"> </m:t>
        </m:r>
        <m:r>
          <m:rPr>
            <m:sty m:val="p"/>
          </m:rPr>
          <m:t>s</m:t>
        </m:r>
        <m:r>
          <m:rPr>
            <m:sty m:val="p"/>
          </m:rPr>
          <m:t>)</m:t>
        </m:r>
      </m:oMath>
      <w:r>
        <w:rPr/>
        <w:t xml:space="preserve">.</w:t>
      </w:r>
    </w:p>
    <w:p>
      <w:pPr>
        <w:spacing w:line="271" w:before="330" w:lineRule="auto"/>
      </w:pPr>
      <w:r>
        <w:rPr>
          <w:b/>
          <w:sz w:val="42"/>
        </w:rPr>
        <w:t xml:space="preserve">II. 1 - La lixiviation</w:t>
      </w:r>
    </w:p>
    <w:p>
      <w:pPr>
        <w:spacing w:after="220" w:lineRule="auto"/>
      </w:pPr>
      <w:r>
        <w:rPr>
          <w:rFonts w:eastAsia="Georgia" w:cs="Georgia" w:ascii="Georgia" w:hAnsi="Georgia"/>
        </w:rPr>
        <w:t xml:space="preserve">La première étape appelée «lixiviation» vise à mettre en solution l'électrode solide. Il convient d'en comprendre le mécanisme afin de l'optimiser.</w:t>
      </w:r>
      <w:r>
        <w:rPr/>
        <w:br w:type="textWrapping"/>
      </w:r>
      <w:r>
        <w:rPr/>
        <w:t xml:space="preserve">On admet que </w:t>
      </w:r>
      <m:oMath>
        <m:r>
          <m:rPr>
            <m:sty m:val="p"/>
          </m:rPr>
          <m:t>Ni</m:t>
        </m:r>
        <m:r>
          <m:rPr>
            <m:sty m:val="p"/>
          </m:rPr>
          <m:t>,</m:t>
        </m:r>
        <m:r>
          <m:rPr>
            <m:sty m:val="p"/>
          </m:rPr>
          <m:t>Mn</m:t>
        </m:r>
      </m:oMath>
      <w:r>
        <w:rPr>
          <w:rFonts w:eastAsia="Georgia" w:cs="Georgia" w:ascii="Georgia" w:hAnsi="Georgia"/>
        </w:rPr>
        <w:t xml:space="preserve">, et Co se comportent de la même manière, et qu'une phase intermédiaire </w:t>
      </w:r>
      <m:oMath>
        <m:sSub>
          <m:sSubPr/>
          <m:e>
            <m:r>
              <m:rPr>
                <m:sty m:val="p"/>
              </m:rPr>
              <m:t>Li</m:t>
            </m:r>
          </m:e>
          <m:sub>
            <m:r>
              <m:rPr>
                <m:sty m:val="p"/>
              </m:rPr>
              <m:t>1</m:t>
            </m:r>
            <m:r>
              <m:rPr>
                <m:sty m:val="p"/>
              </m:rPr>
              <m:t>/</m:t>
            </m:r>
            <m:r>
              <m:rPr>
                <m:sty m:val="p"/>
              </m:rPr>
              <m:t>m</m:t>
            </m:r>
          </m:sub>
        </m:sSub>
        <m:sSub>
          <m:sSubPr/>
          <m:e>
            <m:r>
              <m:rPr>
                <m:sty m:val="p"/>
              </m:rPr>
              <m:t>MO</m:t>
            </m:r>
          </m:e>
          <m:sub>
            <m:r>
              <m:rPr>
                <m:sty m:val="p"/>
              </m:rPr>
              <m:t>2</m:t>
            </m:r>
          </m:sub>
        </m:sSub>
        <m:r>
          <m:rPr>
            <m:sty m:val="p"/>
          </m:rPr>
          <m:t>(</m:t>
        </m:r>
        <m:r>
          <m:rPr>
            <m:nor/>
          </m:rPr>
          <m:t xml:space="preserve"> </m:t>
        </m:r>
        <m:r>
          <m:rPr>
            <m:sty m:val="p"/>
          </m:rPr>
          <m:t>s</m:t>
        </m:r>
        <m:r>
          <m:rPr>
            <m:sty m:val="p"/>
          </m:rPr>
          <m:t>)</m:t>
        </m:r>
        <m:r>
          <m:rPr>
            <m:sty m:val="p"/>
          </m:rPr>
          <m:t>(</m:t>
        </m:r>
        <m:r>
          <m:rPr>
            <m:sty m:val="p"/>
          </m:rPr>
          <m:t>m</m:t>
        </m:r>
        <m:r>
          <m:rPr>
            <m:sty m:val="p"/>
          </m:rPr>
          <m:t>&gt;</m:t>
        </m:r>
        <m:r>
          <m:rPr>
            <m:sty m:val="p"/>
          </m:rPr>
          <m:t>1</m:t>
        </m:r>
      </m:oMath>
      <w:r>
        <w:rPr/>
        <w:t xml:space="preserve">, </w:t>
      </w:r>
      <m:oMath>
        <m:r>
          <m:rPr>
            <m:sty m:val="p"/>
          </m:rPr>
          <m:t>M</m:t>
        </m:r>
        <m:r>
          <m:rPr>
            <m:sty m:val="p"/>
          </m:rPr>
          <m:t>=</m:t>
        </m:r>
        <m:r>
          <m:rPr>
            <m:sty m:val="p"/>
          </m:rPr>
          <m:t>Ni</m:t>
        </m:r>
        <m:r>
          <m:rPr>
            <m:sty m:val="p"/>
          </m:rPr>
          <m:t>,</m:t>
        </m:r>
        <m:r>
          <m:rPr>
            <m:sty m:val="p"/>
          </m:rPr>
          <m:t>Mn</m:t>
        </m:r>
      </m:oMath>
      <w:r>
        <w:rPr>
          <w:rFonts w:eastAsia="Georgia" w:cs="Georgia" w:ascii="Georgia" w:hAnsi="Georgia"/>
        </w:rPr>
        <w:t xml:space="preserve"> ou Co ) se forme dans un mécanisme à deux étapes. Le NMC 111 est noté </w:t>
      </w:r>
      <m:oMath>
        <m:sSub>
          <m:sSubPr/>
          <m:e>
            <m:r>
              <m:rPr>
                <m:sty m:val="p"/>
              </m:rPr>
              <m:t>LiMO</m:t>
            </m:r>
          </m:e>
          <m:sub>
            <m:r>
              <m:rPr>
                <m:sty m:val="p"/>
              </m:rPr>
              <m:t>2</m:t>
            </m:r>
          </m:sub>
        </m:sSub>
        <m:r>
          <m:rPr>
            <m:sty m:val="p"/>
          </m:rPr>
          <m:t>(</m:t>
        </m:r>
        <m:r>
          <m:rPr>
            <m:nor/>
          </m:rPr>
          <m:t xml:space="preserve"> </m:t>
        </m:r>
        <m:r>
          <m:rPr>
            <m:sty m:val="p"/>
          </m:rPr>
          <m:t>s</m:t>
        </m:r>
        <m:r>
          <m:rPr>
            <m:sty m:val="p"/>
          </m:rPr>
          <m:t>)</m:t>
        </m:r>
      </m:oMath>
      <w:r>
        <w:rPr/>
        <w:t xml:space="preserve"> par la suite. Les notations </w:t>
      </w:r>
      <m:oMath>
        <m:r>
          <m:rPr>
            <m:sty m:val="p"/>
          </m:rPr>
          <m:t>HCl</m:t>
        </m:r>
        <m:r>
          <m:rPr>
            <m:sty m:val="p"/>
          </m:rPr>
          <m:t>(</m:t>
        </m:r>
        <m:r>
          <m:rPr>
            <m:sty m:val="p"/>
          </m:rPr>
          <m:t>aq</m:t>
        </m:r>
        <m:r>
          <m:rPr>
            <m:sty m:val="p"/>
          </m:rPr>
          <m:t>)</m:t>
        </m:r>
        <m:r>
          <m:rPr>
            <m:sty m:val="p"/>
          </m:rPr>
          <m:t>,</m:t>
        </m:r>
        <m:r>
          <m:rPr>
            <m:sty m:val="p"/>
          </m:rPr>
          <m:t>LiCl</m:t>
        </m:r>
        <m:r>
          <m:rPr>
            <m:sty m:val="p"/>
          </m:rPr>
          <m:t>(</m:t>
        </m:r>
        <m:r>
          <m:rPr>
            <m:sty m:val="p"/>
          </m:rPr>
          <m:t>aq</m:t>
        </m:r>
        <m:r>
          <m:rPr>
            <m:sty m:val="p"/>
          </m:rPr>
          <m:t>)</m:t>
        </m:r>
      </m:oMath>
      <w:r>
        <w:rPr/>
        <w:t xml:space="preserve"> et </w:t>
      </w:r>
      <m:oMath>
        <m:sSub>
          <m:sSubPr/>
          <m:e>
            <m:r>
              <m:rPr>
                <m:sty m:val="p"/>
              </m:rPr>
              <m:t>MCl</m:t>
            </m:r>
          </m:e>
          <m:sub>
            <m:r>
              <m:rPr>
                <m:sty m:val="p"/>
              </m:rPr>
              <m:t>2</m:t>
            </m:r>
          </m:sub>
        </m:sSub>
        <m:r>
          <m:rPr>
            <m:sty m:val="p"/>
          </m:rPr>
          <m:t>(</m:t>
        </m:r>
        <m:r>
          <m:rPr>
            <m:sty m:val="p"/>
          </m:rPr>
          <m:t>aq</m:t>
        </m:r>
        <m:r>
          <m:rPr>
            <m:sty m:val="p"/>
          </m:rPr>
          <m:t>)</m:t>
        </m:r>
      </m:oMath>
      <w:r>
        <w:rPr>
          <w:rFonts w:eastAsia="Georgia" w:cs="Georgia" w:ascii="Georgia" w:hAnsi="Georgia"/>
        </w:rPr>
        <w:t xml:space="preserve"> désignent respectivement les espèces ionisées </w:t>
      </w:r>
      <m:oMath>
        <m:d>
          <m:dPr>
            <m:begChr m:val="("/>
            <m:endChr m:val=")"/>
            <m:ctrlPr>
              <w:rPr>
                <w:rFonts w:ascii="Cambria Math" w:hAnsi="Cambria Math"/>
              </w:rPr>
            </m:ctrlPr>
          </m:dPr>
          <m:e>
            <m:sSub>
              <m:sSubPr/>
              <m:e>
                <m:r>
                  <m:rPr>
                    <m:sty m:val="p"/>
                  </m:rPr>
                  <m:t>H</m:t>
                </m:r>
              </m:e>
              <m:sub>
                <m:r>
                  <m:rPr>
                    <m:sty m:val="p"/>
                  </m:rPr>
                  <m:t>3</m:t>
                </m:r>
              </m:sub>
            </m:sSub>
            <m:sSup>
              <m:sSupPr/>
              <m:e>
                <m:r>
                  <m:rPr>
                    <m:sty m:val="p"/>
                  </m:rPr>
                  <m:t>O</m:t>
                </m:r>
              </m:e>
              <m:sup>
                <m:r>
                  <m:rPr>
                    <m:sty m:val="p"/>
                  </m:rPr>
                  <m:t>+</m:t>
                </m:r>
              </m:sup>
            </m:sSup>
            <m:r>
              <m:rPr>
                <m:sty m:val="p"/>
              </m:rPr>
              <m:t>+</m:t>
            </m:r>
            <m:sSup>
              <m:sSupPr/>
              <m:e>
                <m:r>
                  <m:rPr>
                    <m:sty m:val="p"/>
                  </m:rPr>
                  <m:t>Cl</m:t>
                </m:r>
              </m:e>
              <m:sup>
                <m:r>
                  <m:rPr>
                    <m:sty m:val="p"/>
                  </m:rPr>
                  <m:t>−</m:t>
                </m:r>
              </m:sup>
            </m:sSup>
          </m:e>
        </m:d>
        <m:r>
          <m:rPr>
            <m:sty m:val="p"/>
          </m:rPr>
          <m:t>,</m:t>
        </m:r>
        <m:d>
          <m:dPr>
            <m:begChr m:val="("/>
            <m:endChr m:val=")"/>
            <m:ctrlPr>
              <w:rPr>
                <w:rFonts w:ascii="Cambria Math" w:hAnsi="Cambria Math"/>
              </w:rPr>
            </m:ctrlPr>
          </m:dPr>
          <m:e>
            <m:sSup>
              <m:sSupPr/>
              <m:e>
                <m:r>
                  <m:rPr>
                    <m:sty m:val="p"/>
                  </m:rPr>
                  <m:t>Li</m:t>
                </m:r>
              </m:e>
              <m:sup>
                <m:r>
                  <m:rPr>
                    <m:sty m:val="p"/>
                  </m:rPr>
                  <m:t>+</m:t>
                </m:r>
              </m:sup>
            </m:sSup>
            <m:r>
              <m:rPr>
                <m:sty m:val="p"/>
              </m:rPr>
              <m:t>+</m:t>
            </m:r>
            <m:sSup>
              <m:sSupPr/>
              <m:e>
                <m:r>
                  <m:rPr>
                    <m:sty m:val="p"/>
                  </m:rPr>
                  <m:t>Cl</m:t>
                </m:r>
              </m:e>
              <m:sup>
                <m:r>
                  <m:rPr>
                    <m:sty m:val="p"/>
                  </m:rPr>
                  <m:t>−</m:t>
                </m:r>
              </m:sup>
            </m:sSup>
          </m:e>
        </m:d>
      </m:oMath>
      <w:r>
        <w:rPr/>
        <w:t xml:space="preserve"> et </w:t>
      </w:r>
      <m:oMath>
        <m:d>
          <m:dPr>
            <m:begChr m:val="("/>
            <m:endChr m:val=")"/>
            <m:ctrlPr>
              <w:rPr>
                <w:rFonts w:ascii="Cambria Math" w:hAnsi="Cambria Math"/>
              </w:rPr>
            </m:ctrlPr>
          </m:dPr>
          <m:e>
            <m:sSup>
              <m:sSupPr/>
              <m:e>
                <m:r>
                  <m:rPr>
                    <m:sty m:val="p"/>
                  </m:rPr>
                  <m:t>M</m:t>
                </m:r>
              </m:e>
              <m:sup>
                <m:r>
                  <m:rPr>
                    <m:sty m:val="p"/>
                  </m:rPr>
                  <m:t>2</m:t>
                </m:r>
                <m:r>
                  <m:rPr>
                    <m:sty m:val="p"/>
                  </m:rPr>
                  <m:t>+</m:t>
                </m:r>
              </m:sup>
            </m:sSup>
            <m:r>
              <m:rPr>
                <m:sty m:val="p"/>
              </m:rPr>
              <m:t>+</m:t>
            </m:r>
            <m:r>
              <m:rPr>
                <m:sty m:val="p"/>
              </m:rPr>
              <m:t>2</m:t>
            </m:r>
            <m:sSup>
              <m:sSupPr/>
              <m:e>
                <m:r>
                  <m:rPr>
                    <m:sty m:val="p"/>
                  </m:rPr>
                  <m:t>Cl</m:t>
                </m:r>
              </m:e>
              <m:sup>
                <m:r>
                  <m:rPr>
                    <m:sty m:val="p"/>
                  </m:rPr>
                  <m:t>−</m:t>
                </m:r>
              </m:sup>
            </m:sSup>
          </m:e>
        </m:d>
      </m:oMath>
      <w:r>
        <w:rPr/>
        <w:t xml:space="preserve">.</w:t>
      </w:r>
    </w:p>
    <w:p>
      <w:pPr>
        <w:numPr>
          <w:ilvl w:val="0"/>
          <w:numId w:val="3"/>
        </w:numPr>
        <w:spacing w:lineRule="auto"/>
      </w:pPr>
      <w:r>
        <w:rPr>
          <w:rFonts w:eastAsia="Georgia" w:cs="Georgia" w:ascii="Georgia" w:hAnsi="Georgia"/>
        </w:rPr>
        <w:t xml:space="preserve">Première étape de délithiation :</w:t>
      </w:r>
    </w:p>
    <w:p>
      <w:pPr>
        <w:spacing w:after="220" w:lineRule="auto"/>
      </w:pPr>
      <m:oMathPara>
        <m:oMath>
          <m:sSub>
            <m:sSubPr/>
            <m:e>
              <m:r>
                <m:rPr>
                  <m:sty m:val="p"/>
                </m:rPr>
                <m:t>LiMO</m:t>
              </m:r>
            </m:e>
            <m:sub>
              <m:r>
                <m:rPr>
                  <m:sty m:val="p"/>
                </m:rPr>
                <m:t>2</m:t>
              </m:r>
            </m:sub>
          </m:sSub>
          <m:r>
            <m:rPr>
              <m:sty m:val="p"/>
            </m:rPr>
            <m:t>(</m:t>
          </m:r>
          <m:r>
            <m:rPr>
              <m:nor/>
            </m:rPr>
            <m:t xml:space="preserve"> </m:t>
          </m:r>
          <m:r>
            <m:rPr>
              <m:sty m:val="p"/>
            </m:rPr>
            <m:t>s</m:t>
          </m:r>
          <m:r>
            <m:rPr>
              <m:sty m:val="p"/>
            </m:rPr>
            <m:t>)</m:t>
          </m:r>
          <m:r>
            <m:rPr>
              <m:sty m:val="p"/>
            </m:rPr>
            <m:t>+</m:t>
          </m:r>
          <m:f>
            <m:fPr>
              <m:ctrlPr>
                <w:rPr>
                  <w:rFonts w:ascii="Cambria Math" w:hAnsi="Cambria Math"/>
                </w:rPr>
              </m:ctrlPr>
            </m:fPr>
            <m:num>
              <m:r>
                <m:rPr>
                  <m:sty m:val="p"/>
                </m:rPr>
                <m:t>4</m:t>
              </m:r>
              <m:r>
                <m:rPr>
                  <m:nor/>
                </m:rPr>
                <m:t xml:space="preserve"> </m:t>
              </m:r>
              <m:r>
                <m:rPr>
                  <m:sty m:val="p"/>
                </m:rPr>
                <m:t>m</m:t>
              </m:r>
              <m:r>
                <m:rPr>
                  <m:sty m:val="p"/>
                </m:rPr>
                <m:t>−</m:t>
              </m:r>
              <m:r>
                <m:rPr>
                  <m:sty m:val="p"/>
                </m:rPr>
                <m:t>4</m:t>
              </m:r>
            </m:num>
            <m:den>
              <m:r>
                <m:rPr>
                  <m:sty m:val="p"/>
                </m:rPr>
                <m:t>2</m:t>
              </m:r>
              <m:r>
                <m:rPr>
                  <m:nor/>
                </m:rPr>
                <m:t xml:space="preserve"> </m:t>
              </m:r>
              <m:r>
                <m:rPr>
                  <m:sty m:val="p"/>
                </m:rPr>
                <m:t>m</m:t>
              </m:r>
              <m:r>
                <m:rPr>
                  <m:sty m:val="p"/>
                </m:rPr>
                <m:t>−</m:t>
              </m:r>
              <m:r>
                <m:rPr>
                  <m:sty m:val="p"/>
                </m:rPr>
                <m:t>1</m:t>
              </m:r>
            </m:den>
          </m:f>
          <m:r>
            <m:rPr>
              <m:sty m:val="p"/>
            </m:rPr>
            <m:t>HCl</m:t>
          </m:r>
          <m:r>
            <m:rPr>
              <m:sty m:val="p"/>
            </m:rPr>
            <m:t>(</m:t>
          </m:r>
          <m:r>
            <m:rPr>
              <m:sty m:val="p"/>
            </m:rPr>
            <m:t>aq</m:t>
          </m:r>
          <m:r>
            <m:rPr>
              <m:sty m:val="p"/>
            </m:rPr>
            <m:t>)</m:t>
          </m:r>
          <m:r>
            <m:rPr>
              <m:sty m:val="p"/>
            </m:rPr>
            <m:t>⟶</m:t>
          </m:r>
          <m:f>
            <m:fPr>
              <m:ctrlPr>
                <w:rPr>
                  <w:rFonts w:ascii="Cambria Math" w:hAnsi="Cambria Math"/>
                </w:rPr>
              </m:ctrlPr>
            </m:fPr>
            <m:num>
              <m:r>
                <m:rPr>
                  <m:sty m:val="p"/>
                </m:rPr>
                <m:t>2</m:t>
              </m:r>
              <m:r>
                <m:rPr>
                  <m:nor/>
                </m:rPr>
                <m:t xml:space="preserve"> </m:t>
              </m:r>
              <m:r>
                <m:rPr>
                  <m:sty m:val="p"/>
                </m:rPr>
                <m:t>m</m:t>
              </m:r>
              <m:r>
                <m:rPr>
                  <m:sty m:val="p"/>
                </m:rPr>
                <m:t>−</m:t>
              </m:r>
              <m:r>
                <m:rPr>
                  <m:sty m:val="p"/>
                </m:rPr>
                <m:t>2</m:t>
              </m:r>
            </m:num>
            <m:den>
              <m:r>
                <m:rPr>
                  <m:sty m:val="p"/>
                </m:rPr>
                <m:t>2</m:t>
              </m:r>
              <m:r>
                <m:rPr>
                  <m:nor/>
                </m:rPr>
                <m:t xml:space="preserve"> </m:t>
              </m:r>
              <m:r>
                <m:rPr>
                  <m:sty m:val="p"/>
                </m:rPr>
                <m:t>m</m:t>
              </m:r>
              <m:r>
                <m:rPr>
                  <m:sty m:val="p"/>
                </m:rPr>
                <m:t>−</m:t>
              </m:r>
              <m:r>
                <m:rPr>
                  <m:sty m:val="p"/>
                </m:rPr>
                <m:t>1</m:t>
              </m:r>
            </m:den>
          </m:f>
          <m:r>
            <m:rPr>
              <m:sty m:val="p"/>
            </m:rPr>
            <m:t>LiCl</m:t>
          </m:r>
          <m:r>
            <m:rPr>
              <m:sty m:val="p"/>
            </m:rPr>
            <m:t>(</m:t>
          </m:r>
          <m:r>
            <m:rPr>
              <m:sty m:val="p"/>
            </m:rPr>
            <m:t>aq</m:t>
          </m:r>
          <m:r>
            <m:rPr>
              <m:sty m:val="p"/>
            </m:rPr>
            <m:t>)</m:t>
          </m:r>
          <m:r>
            <m:rPr>
              <m:sty m:val="p"/>
            </m:rPr>
            <m:t>+</m:t>
          </m:r>
          <m:f>
            <m:fPr>
              <m:ctrlPr>
                <w:rPr>
                  <w:rFonts w:ascii="Cambria Math" w:hAnsi="Cambria Math"/>
                </w:rPr>
              </m:ctrlPr>
            </m:fPr>
            <m:num>
              <m:r>
                <m:rPr>
                  <m:sty m:val="p"/>
                </m:rPr>
                <m:t>m</m:t>
              </m:r>
              <m:r>
                <m:rPr>
                  <m:sty m:val="p"/>
                </m:rPr>
                <m:t>−</m:t>
              </m:r>
              <m:r>
                <m:rPr>
                  <m:sty m:val="p"/>
                </m:rPr>
                <m:t>1</m:t>
              </m:r>
            </m:num>
            <m:den>
              <m:r>
                <m:rPr>
                  <m:sty m:val="p"/>
                </m:rPr>
                <m:t>2</m:t>
              </m:r>
              <m:r>
                <m:rPr>
                  <m:nor/>
                </m:rPr>
                <m:t xml:space="preserve"> </m:t>
              </m:r>
              <m:r>
                <m:rPr>
                  <m:sty m:val="p"/>
                </m:rPr>
                <m:t>m</m:t>
              </m:r>
              <m:r>
                <m:rPr>
                  <m:sty m:val="p"/>
                </m:rPr>
                <m:t>−</m:t>
              </m:r>
              <m:r>
                <m:rPr>
                  <m:sty m:val="p"/>
                </m:rPr>
                <m:t>1</m:t>
              </m:r>
            </m:den>
          </m:f>
          <m:sSub>
            <m:sSubPr/>
            <m:e>
              <m:r>
                <m:rPr>
                  <m:sty m:val="p"/>
                </m:rPr>
                <m:t>MCl</m:t>
              </m:r>
            </m:e>
            <m:sub>
              <m:r>
                <m:rPr>
                  <m:sty m:val="p"/>
                </m:rPr>
                <m:t>2</m:t>
              </m:r>
            </m:sub>
          </m:sSub>
          <m:r>
            <m:rPr>
              <m:sty m:val="p"/>
            </m:rPr>
            <m:t>(</m:t>
          </m:r>
          <m:r>
            <m:rPr>
              <m:sty m:val="p"/>
            </m:rPr>
            <m:t>aq</m:t>
          </m:r>
          <m:r>
            <m:rPr>
              <m:sty m:val="p"/>
            </m:rPr>
            <m:t>)</m:t>
          </m:r>
          <m:r>
            <m:rPr>
              <m:sty m:val="p"/>
            </m:rPr>
            <m:t>+</m:t>
          </m:r>
          <m:f>
            <m:fPr>
              <m:ctrlPr>
                <w:rPr>
                  <w:rFonts w:ascii="Cambria Math" w:hAnsi="Cambria Math"/>
                </w:rPr>
              </m:ctrlPr>
            </m:fPr>
            <m:num>
              <m:r>
                <m:rPr>
                  <m:sty m:val="p"/>
                </m:rPr>
                <m:t>m</m:t>
              </m:r>
            </m:num>
            <m:den>
              <m:r>
                <m:rPr>
                  <m:sty m:val="p"/>
                </m:rPr>
                <m:t>2</m:t>
              </m:r>
              <m:r>
                <m:rPr>
                  <m:nor/>
                </m:rPr>
                <m:t xml:space="preserve"> </m:t>
              </m:r>
              <m:r>
                <m:rPr>
                  <m:sty m:val="p"/>
                </m:rPr>
                <m:t>m</m:t>
              </m:r>
              <m:r>
                <m:rPr>
                  <m:sty m:val="p"/>
                </m:rPr>
                <m:t>−</m:t>
              </m:r>
              <m:r>
                <m:rPr>
                  <m:sty m:val="p"/>
                </m:rPr>
                <m:t>1</m:t>
              </m:r>
            </m:den>
          </m:f>
          <m:sSub>
            <m:sSubPr/>
            <m:e>
              <m:r>
                <m:rPr>
                  <m:sty m:val="p"/>
                </m:rPr>
                <m:t>Li</m:t>
              </m:r>
            </m:e>
            <m:sub>
              <m:r>
                <m:rPr>
                  <m:sty m:val="p"/>
                </m:rPr>
                <m:t>1</m:t>
              </m:r>
              <m:r>
                <m:rPr>
                  <m:sty m:val="p"/>
                </m:rPr>
                <m:t>/</m:t>
              </m:r>
              <m:r>
                <m:rPr>
                  <m:sty m:val="p"/>
                </m:rPr>
                <m:t>m</m:t>
              </m:r>
            </m:sub>
          </m:sSub>
          <m:sSub>
            <m:sSubPr/>
            <m:e>
              <m:r>
                <m:rPr>
                  <m:sty m:val="p"/>
                </m:rPr>
                <m:t>MO</m:t>
              </m:r>
            </m:e>
            <m:sub>
              <m:r>
                <m:rPr>
                  <m:sty m:val="p"/>
                </m:rPr>
                <m:t>2</m:t>
              </m:r>
            </m:sub>
          </m:sSub>
          <m:r>
            <m:rPr>
              <m:sty m:val="p"/>
            </m:rPr>
            <m:t>(</m:t>
          </m:r>
          <m:r>
            <m:rPr>
              <m:nor/>
            </m:rPr>
            <m:t xml:space="preserve"> </m:t>
          </m:r>
          <m:r>
            <m:rPr>
              <m:sty m:val="p"/>
            </m:rPr>
            <m:t>s</m:t>
          </m:r>
          <m:r>
            <m:rPr>
              <m:sty m:val="p"/>
            </m:rPr>
            <m:t>)</m:t>
          </m:r>
          <m:r>
            <m:rPr>
              <m:sty m:val="p"/>
            </m:rPr>
            <m:t>+</m:t>
          </m:r>
          <m:f>
            <m:fPr>
              <m:ctrlPr>
                <w:rPr>
                  <w:rFonts w:ascii="Cambria Math" w:hAnsi="Cambria Math"/>
                </w:rPr>
              </m:ctrlPr>
            </m:fPr>
            <m:num>
              <m:r>
                <m:rPr>
                  <m:sty m:val="p"/>
                </m:rPr>
                <m:t>2</m:t>
              </m:r>
              <m:r>
                <m:rPr>
                  <m:nor/>
                </m:rPr>
                <m:t xml:space="preserve"> </m:t>
              </m:r>
              <m:r>
                <m:rPr>
                  <m:sty m:val="p"/>
                </m:rPr>
                <m:t>m</m:t>
              </m:r>
              <m:r>
                <m:rPr>
                  <m:sty m:val="p"/>
                </m:rPr>
                <m:t>−</m:t>
              </m:r>
              <m:r>
                <m:rPr>
                  <m:sty m:val="p"/>
                </m:rPr>
                <m:t>2</m:t>
              </m:r>
            </m:num>
            <m:den>
              <m:r>
                <m:rPr>
                  <m:sty m:val="p"/>
                </m:rPr>
                <m:t>2</m:t>
              </m:r>
              <m:r>
                <m:rPr>
                  <m:nor/>
                </m:rPr>
                <m:t xml:space="preserve"> </m:t>
              </m:r>
              <m:r>
                <m:rPr>
                  <m:sty m:val="p"/>
                </m:rPr>
                <m:t>m</m:t>
              </m:r>
              <m:r>
                <m:rPr>
                  <m:sty m:val="p"/>
                </m:rPr>
                <m:t>−</m:t>
              </m:r>
              <m:r>
                <m:rPr>
                  <m:sty m:val="p"/>
                </m:rPr>
                <m:t>1</m:t>
              </m:r>
            </m:den>
          </m:f>
          <m:sSub>
            <m:sSubPr/>
            <m:e>
              <m:r>
                <m:rPr>
                  <m:sty m:val="p"/>
                </m:rPr>
                <m:t>H</m:t>
              </m:r>
            </m:e>
            <m:sub>
              <m:r>
                <m:rPr>
                  <m:sty m:val="p"/>
                </m:rPr>
                <m:t>2</m:t>
              </m:r>
            </m:sub>
          </m:sSub>
          <m:r>
            <m:rPr>
              <m:sty m:val="p"/>
            </m:rPr>
            <m:t>O</m:t>
          </m:r>
          <m:r>
            <m:rPr>
              <m:sty m:val="p"/>
            </m:rPr>
            <m:t>(</m:t>
          </m:r>
          <m:r>
            <m:rPr>
              <m:sty m:val="i"/>
            </m:rPr>
            <m:t>ℓ</m:t>
          </m:r>
          <m:r>
            <m:rPr>
              <m:sty m:val="p"/>
            </m:rPr>
            <m:t>)</m:t>
          </m:r>
        </m:oMath>
      </m:oMathPara>
    </w:p>
    <w:p>
      <w:pPr>
        <w:numPr>
          <w:ilvl w:val="0"/>
          <w:numId w:val="4"/>
        </w:numPr>
        <w:spacing w:lineRule="auto"/>
      </w:pPr>
      <w:r>
        <w:rPr>
          <w:rFonts w:eastAsia="Georgia" w:cs="Georgia" w:ascii="Georgia" w:hAnsi="Georgia"/>
        </w:rPr>
        <w:t xml:space="preserve">Seconde étape de dissolution :</w:t>
      </w:r>
    </w:p>
    <w:p>
      <w:pPr>
        <w:spacing w:after="220" w:lineRule="auto"/>
      </w:pPr>
      <m:oMathPara>
        <m:oMath>
          <m:sSub>
            <m:sSubPr/>
            <m:e>
              <m:r>
                <m:rPr>
                  <m:sty m:val="p"/>
                </m:rPr>
                <m:t>Li</m:t>
              </m:r>
            </m:e>
            <m:sub>
              <m:r>
                <m:rPr>
                  <m:sty m:val="p"/>
                </m:rPr>
                <m:t>1</m:t>
              </m:r>
              <m:r>
                <m:rPr>
                  <m:sty m:val="p"/>
                </m:rPr>
                <m:t>/</m:t>
              </m:r>
              <m:r>
                <m:rPr>
                  <m:sty m:val="p"/>
                </m:rPr>
                <m:t>m</m:t>
              </m:r>
            </m:sub>
          </m:sSub>
          <m:sSub>
            <m:sSubPr/>
            <m:e>
              <m:r>
                <m:rPr>
                  <m:sty m:val="p"/>
                </m:rPr>
                <m:t>MO</m:t>
              </m:r>
            </m:e>
            <m:sub>
              <m:r>
                <m:rPr>
                  <m:sty m:val="p"/>
                </m:rPr>
                <m:t>2</m:t>
              </m:r>
            </m:sub>
          </m:sSub>
          <m:r>
            <m:rPr>
              <m:sty m:val="p"/>
            </m:rPr>
            <m:t>(</m:t>
          </m:r>
          <m:r>
            <m:rPr>
              <m:nor/>
            </m:rPr>
            <m:t xml:space="preserve"> </m:t>
          </m:r>
          <m:r>
            <m:rPr>
              <m:sty m:val="p"/>
            </m:rPr>
            <m:t>s</m:t>
          </m:r>
          <m:r>
            <m:rPr>
              <m:sty m:val="p"/>
            </m:rPr>
            <m:t>)</m:t>
          </m:r>
          <m:r>
            <m:rPr>
              <m:sty m:val="p"/>
            </m:rPr>
            <m:t>+</m:t>
          </m:r>
          <m:r>
            <m:rPr>
              <m:sty m:val="p"/>
            </m:rPr>
            <m:t>4</m:t>
          </m:r>
          <m:r>
            <m:rPr>
              <m:sty m:val="p"/>
            </m:rPr>
            <m:t>HCl</m:t>
          </m:r>
          <m:r>
            <m:rPr>
              <m:sty m:val="p"/>
            </m:rPr>
            <m:t>(</m:t>
          </m:r>
          <m:r>
            <m:rPr>
              <m:sty m:val="p"/>
            </m:rPr>
            <m:t>aq</m:t>
          </m:r>
          <m:r>
            <m:rPr>
              <m:sty m:val="p"/>
            </m:rPr>
            <m:t>)</m:t>
          </m:r>
          <m:r>
            <m:rPr>
              <m:sty m:val="p"/>
            </m:rPr>
            <m:t>⟶</m:t>
          </m:r>
          <m:f>
            <m:fPr>
              <m:ctrlPr>
                <w:rPr>
                  <w:rFonts w:ascii="Cambria Math" w:hAnsi="Cambria Math"/>
                </w:rPr>
              </m:ctrlPr>
            </m:fPr>
            <m:num>
              <m:r>
                <m:rPr>
                  <m:sty m:val="p"/>
                </m:rPr>
                <m:t>1</m:t>
              </m:r>
            </m:num>
            <m:den>
              <m:r>
                <m:rPr>
                  <m:nor/>
                </m:rPr>
                <m:t xml:space="preserve"> </m:t>
              </m:r>
              <m:r>
                <m:rPr>
                  <m:sty m:val="p"/>
                </m:rPr>
                <m:t>m</m:t>
              </m:r>
            </m:den>
          </m:f>
          <m:r>
            <m:rPr>
              <m:sty m:val="p"/>
            </m:rPr>
            <m:t>LiCl</m:t>
          </m:r>
          <m:r>
            <m:rPr>
              <m:sty m:val="p"/>
            </m:rPr>
            <m:t>(</m:t>
          </m:r>
          <m:r>
            <m:rPr>
              <m:sty m:val="p"/>
            </m:rPr>
            <m:t>aq</m:t>
          </m:r>
          <m:r>
            <m:rPr>
              <m:sty m:val="p"/>
            </m:rPr>
            <m:t>)</m:t>
          </m:r>
          <m:r>
            <m:rPr>
              <m:sty m:val="p"/>
            </m:rPr>
            <m:t>+</m:t>
          </m:r>
          <m:sSub>
            <m:sSubPr/>
            <m:e>
              <m:r>
                <m:rPr>
                  <m:sty m:val="p"/>
                </m:rPr>
                <m:t>MCl</m:t>
              </m:r>
            </m:e>
            <m:sub>
              <m:r>
                <m:rPr>
                  <m:sty m:val="p"/>
                </m:rPr>
                <m:t>2</m:t>
              </m:r>
            </m:sub>
          </m:sSub>
          <m:r>
            <m:rPr>
              <m:sty m:val="p"/>
            </m:rPr>
            <m:t>(</m:t>
          </m:r>
          <m:r>
            <m:rPr>
              <m:sty m:val="p"/>
            </m:rPr>
            <m:t>aq</m:t>
          </m:r>
          <m:r>
            <m:rPr>
              <m:sty m:val="p"/>
            </m:rPr>
            <m:t>)</m:t>
          </m:r>
          <m:r>
            <m:rPr>
              <m:sty m:val="p"/>
            </m:rPr>
            <m:t>+</m:t>
          </m:r>
          <m:r>
            <m:rPr>
              <m:sty m:val="p"/>
            </m:rPr>
            <m:t>2</m:t>
          </m:r>
          <m:sSub>
            <m:sSubPr/>
            <m:e>
              <m:r>
                <m:rPr>
                  <m:sty m:val="p"/>
                </m:rPr>
                <m:t>H</m:t>
              </m:r>
            </m:e>
            <m:sub>
              <m:r>
                <m:rPr>
                  <m:sty m:val="p"/>
                </m:rPr>
                <m:t>2</m:t>
              </m:r>
            </m:sub>
          </m:sSub>
          <m:r>
            <m:rPr>
              <m:sty m:val="p"/>
            </m:rPr>
            <m:t>O</m:t>
          </m:r>
          <m:r>
            <m:rPr>
              <m:sty m:val="p"/>
            </m:rPr>
            <m:t>(</m:t>
          </m:r>
          <m:r>
            <m:rPr>
              <m:sty m:val="i"/>
            </m:rPr>
            <m:t>ℓ</m:t>
          </m:r>
          <m:r>
            <m:rPr>
              <m:sty m:val="p"/>
            </m:rPr>
            <m:t>)</m:t>
          </m:r>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r>
                    <m:rPr>
                      <m:sty m:val="p"/>
                    </m:rPr>
                    <m:t>2</m:t>
                  </m:r>
                  <m:r>
                    <m:rPr>
                      <m:nor/>
                    </m:rPr>
                    <m:t xml:space="preserve"> </m:t>
                  </m:r>
                  <m:r>
                    <m:rPr>
                      <m:sty m:val="p"/>
                    </m:rPr>
                    <m:t>m</m:t>
                  </m:r>
                </m:den>
              </m:f>
            </m:e>
          </m:d>
          <m:sSub>
            <m:sSubPr/>
            <m:e>
              <m:r>
                <m:rPr>
                  <m:sty m:val="p"/>
                </m:rPr>
                <m:t>Cl</m:t>
              </m:r>
            </m:e>
            <m:sub>
              <m:r>
                <m:rPr>
                  <m:sty m:val="p"/>
                </m:rPr>
                <m:t>2</m:t>
              </m:r>
            </m:sub>
          </m:sSub>
          <m:r>
            <m:rPr>
              <m:sty m:val="p"/>
            </m:rPr>
            <m:t>(</m:t>
          </m:r>
          <m:r>
            <m:rPr>
              <m:nor/>
            </m:rPr>
            <m:t xml:space="preserve"> </m:t>
          </m:r>
          <m:r>
            <m:rPr>
              <m:sty m:val="p"/>
            </m:rPr>
            <m:t>g</m:t>
          </m:r>
          <m:r>
            <m:rPr>
              <m:sty m:val="p"/>
            </m:rPr>
            <m:t>)</m:t>
          </m:r>
        </m:oMath>
      </m:oMathPara>
    </w:p>
    <w:p>
      <w:pPr>
        <w:spacing w:after="220" w:lineRule="auto"/>
      </w:pPr>
      <w:r>
        <w:rPr>
          <w:rFonts w:eastAsia="Georgia" w:cs="Georgia" w:ascii="Georgia" w:hAnsi="Georgia"/>
        </w:rPr>
        <w:t xml:space="preserve">Ces deux réactions sont totales.</w:t>
      </w:r>
      <w:r>
        <w:rPr/>
        <w:br w:type="textWrapping"/>
      </w:r>
      <w:r>
        <w:rPr/>
        <w:t xml:space="preserve">On note :</w:t>
      </w:r>
    </w:p>
    <w:p>
      <w:pPr>
        <w:numPr>
          <w:ilvl w:val="0"/>
          <w:numId w:val="5"/>
        </w:numPr>
        <w:spacing w:lineRule="auto"/>
      </w:pPr>
      <m:oMath>
        <m:sSub>
          <m:sSubPr/>
          <m:e>
            <m:r>
              <m:rPr>
                <m:sty m:val="i"/>
              </m:rPr>
              <m:t>x</m:t>
            </m:r>
          </m:e>
          <m:sub>
            <m:r>
              <m:rPr>
                <m:sty m:val="p"/>
              </m:rPr>
              <m:t>0</m:t>
            </m:r>
          </m:sub>
        </m:sSub>
        <m:r>
          <m:rPr>
            <m:sty m:val="p"/>
          </m:rPr>
          <m:t>=</m:t>
        </m:r>
        <m:f>
          <m:fPr>
            <m:ctrlPr>
              <w:rPr>
                <w:rFonts w:ascii="Cambria Math" w:hAnsi="Cambria Math"/>
              </w:rPr>
            </m:ctrlPr>
          </m:fPr>
          <m:num>
            <m:sSub>
              <m:sSubPr/>
              <m:e>
                <m:r>
                  <m:rPr>
                    <m:sty m:val="i"/>
                  </m:rPr>
                  <m:t>n</m:t>
                </m:r>
              </m:e>
              <m:sub>
                <m:r>
                  <m:rPr>
                    <m:sty m:val="p"/>
                  </m:rPr>
                  <m:t>0</m:t>
                </m:r>
              </m:sub>
            </m:sSub>
            <m:r>
              <m:rPr>
                <m:sty m:val="p"/>
              </m:rPr>
              <m:t>(</m:t>
            </m:r>
            <m:r>
              <m:rPr>
                <m:sty m:val="p"/>
              </m:rPr>
              <m:t>HCl</m:t>
            </m:r>
            <m:r>
              <m:rPr>
                <m:sty m:val="p"/>
              </m:rPr>
              <m:t>)</m:t>
            </m:r>
          </m:num>
          <m:den>
            <m:sSub>
              <m:sSubPr/>
              <m:e>
                <m:r>
                  <m:rPr>
                    <m:sty m:val="i"/>
                  </m:rPr>
                  <m:t>n</m:t>
                </m:r>
              </m:e>
              <m:sub>
                <m:r>
                  <m:rPr>
                    <m:sty m:val="p"/>
                  </m:rPr>
                  <m:t>0</m:t>
                </m:r>
              </m:sub>
            </m:sSub>
            <m:r>
              <m:rPr>
                <m:sty m:val="p"/>
              </m:rPr>
              <m:t>(</m:t>
            </m:r>
            <m:r>
              <m:rPr>
                <m:sty m:val="p"/>
              </m:rPr>
              <m:t>NMC</m:t>
            </m:r>
            <m:r>
              <m:rPr>
                <m:sty m:val="p"/>
              </m:rPr>
              <m:t>111</m:t>
            </m:r>
            <m:r>
              <m:rPr>
                <m:sty m:val="p"/>
              </m:rPr>
              <m:t>)</m:t>
            </m:r>
          </m:den>
        </m:f>
      </m:oMath>
      <w:r>
        <w:rPr>
          <w:rFonts w:eastAsia="Georgia" w:cs="Georgia" w:ascii="Georgia" w:hAnsi="Georgia"/>
        </w:rPr>
        <w:t xml:space="preserve"> le rapport entre les quantités initiales de HCl et de NMC111;</w:t>
      </w:r>
    </w:p>
    <w:p>
      <w:pPr>
        <w:numPr>
          <w:ilvl w:val="0"/>
          <w:numId w:val="5"/>
        </w:numPr>
        <w:spacing w:lineRule="auto"/>
      </w:pPr>
      <m:oMath>
        <m:f>
          <m:fPr>
            <m:ctrlPr>
              <w:rPr>
                <w:rFonts w:ascii="Cambria Math" w:hAnsi="Cambria Math"/>
              </w:rPr>
            </m:ctrlPr>
          </m:fPr>
          <m:num>
            <m:r>
              <m:rPr>
                <m:sty m:val="i"/>
              </m:rPr>
              <m:t>s</m:t>
            </m:r>
          </m:num>
          <m:den>
            <m:r>
              <m:rPr>
                <m:sty m:val="i"/>
              </m:rPr>
              <m:t>l</m:t>
            </m:r>
          </m:den>
        </m:f>
      </m:oMath>
      <w:r>
        <w:rPr>
          <w:rFonts w:eastAsia="Georgia" w:cs="Georgia" w:ascii="Georgia" w:hAnsi="Georgia"/>
        </w:rPr>
        <w:t xml:space="preserve"> le rapport initial solide/liquide pour le NMC111 dans le solvant aqueux. Ce rapport est exprimé, par la suite, en </w:t>
      </w:r>
      <m:oMath>
        <m:r>
          <m:rPr>
            <m:sty m:val="p"/>
          </m:rPr>
          <m:t>g</m:t>
        </m:r>
        <m:r>
          <m:rPr>
            <m:sty m:val="p"/>
          </m:rPr>
          <m:t>⋅</m:t>
        </m:r>
        <m:sSup>
          <m:sSupPr/>
          <m:e>
            <m:r>
              <m:rPr>
                <m:sty m:val="p"/>
              </m:rPr>
              <m:t>L</m:t>
            </m:r>
          </m:e>
          <m:sup>
            <m:r>
              <m:rPr>
                <m:sty m:val="p"/>
              </m:rPr>
              <m:t>−</m:t>
            </m:r>
            <m:r>
              <m:rPr>
                <m:sty m:val="p"/>
              </m:rPr>
              <m:t>1</m:t>
            </m:r>
          </m:sup>
        </m:sSup>
      </m:oMath>
      <w:r>
        <w:rPr/>
        <w:t xml:space="preserve"> avec </w:t>
      </w:r>
      <m:oMath>
        <m:r>
          <m:rPr>
            <m:sty m:val="i"/>
          </m:rPr>
          <m:t>s</m:t>
        </m:r>
      </m:oMath>
      <w:r>
        <w:rPr>
          <w:rFonts w:eastAsia="Georgia" w:cs="Georgia" w:ascii="Georgia" w:hAnsi="Georgia"/>
        </w:rPr>
        <w:t xml:space="preserve"> la masse initiale de NMC111 solide exprimée en gramme et </w:t>
      </w:r>
      <m:oMath>
        <m:r>
          <m:rPr>
            <m:sty m:val="i"/>
          </m:rPr>
          <m:t>l</m:t>
        </m:r>
      </m:oMath>
      <w:r>
        <w:rPr>
          <w:rFonts w:eastAsia="Georgia" w:cs="Georgia" w:ascii="Georgia" w:hAnsi="Georgia"/>
        </w:rPr>
        <w:t xml:space="preserve"> le volume de la phase aqueuse exprimé en litre.</w:t>
      </w:r>
    </w:p>
    <w:p>
      <w:pPr>
        <w:spacing w:after="220" w:lineRule="auto"/>
      </w:pPr>
      <w:r>
        <w:rPr>
          <w:rFonts w:eastAsia="Georgia" w:cs="Georgia" w:ascii="Georgia" w:hAnsi="Georgia"/>
        </w:rPr>
        <w:t xml:space="preserve">Le rendement de lixiviation pour un réactif est le rapport entre la quantité de matière dissoute sous forme LiCl ou </w:t>
      </w:r>
      <m:oMath>
        <m:sSub>
          <m:sSubPr/>
          <m:e>
            <m:r>
              <m:rPr>
                <m:sty m:val="p"/>
              </m:rPr>
              <m:t>MCl</m:t>
            </m:r>
          </m:e>
          <m:sub>
            <m:r>
              <m:rPr>
                <m:sty m:val="p"/>
              </m:rPr>
              <m:t>2</m:t>
            </m:r>
          </m:sub>
        </m:sSub>
      </m:oMath>
      <w:r>
        <w:rPr>
          <w:rFonts w:eastAsia="Georgia" w:cs="Georgia" w:ascii="Georgia" w:hAnsi="Georgia"/>
        </w:rPr>
        <w:t xml:space="preserve"> après réaction et la quantité de matière initiale de </w:t>
      </w:r>
      <m:oMath>
        <m:sSub>
          <m:sSubPr/>
          <m:e>
            <m:r>
              <m:rPr>
                <m:sty m:val="p"/>
              </m:rPr>
              <m:t>LiMO</m:t>
            </m:r>
          </m:e>
          <m:sub>
            <m:r>
              <m:rPr>
                <m:sty m:val="p"/>
              </m:rPr>
              <m:t>2</m:t>
            </m:r>
          </m:sub>
        </m:sSub>
        <m:r>
          <m:rPr>
            <m:sty m:val="p"/>
          </m:rPr>
          <m:t>(</m:t>
        </m:r>
        <m:r>
          <m:rPr>
            <m:nor/>
          </m:rPr>
          <m:t xml:space="preserve"> </m:t>
        </m:r>
        <m:r>
          <m:rPr>
            <m:sty m:val="p"/>
          </m:rPr>
          <m:t>s</m:t>
        </m:r>
        <m:r>
          <m:rPr>
            <m:sty m:val="p"/>
          </m:rPr>
          <m:t>)</m:t>
        </m:r>
      </m:oMath>
      <w:r>
        <w:rPr/>
        <w:t xml:space="preserve">.</w:t>
      </w:r>
    </w:p>
    <w:p>
      <w:pPr>
        <w:spacing w:after="220" w:lineRule="auto"/>
      </w:pPr>
      <w:r>
        <w:rPr>
          <w:rFonts w:eastAsia="Georgia" w:cs="Georgia" w:ascii="Georgia" w:hAnsi="Georgia"/>
        </w:rPr>
        <w:t xml:space="preserve">On réalise trois expériences en faisant varier les quantités initiales de NMC111 et HCl et donc le rapport </w:t>
      </w:r>
      <m:oMath>
        <m:sSub>
          <m:sSubPr/>
          <m:e>
            <m:r>
              <m:rPr>
                <m:sty m:val="i"/>
              </m:rPr>
              <m:t>x</m:t>
            </m:r>
          </m:e>
          <m:sub>
            <m:r>
              <m:rPr>
                <m:sty m:val="p"/>
              </m:rPr>
              <m:t>0</m:t>
            </m:r>
          </m:sub>
        </m:sSub>
      </m:oMath>
      <w:r>
        <w:rPr>
          <w:rFonts w:eastAsia="Georgia" w:cs="Georgia" w:ascii="Georgia" w:hAnsi="Georgia"/>
        </w:rPr>
        <w:t xml:space="preserve">. Les résultats sont rassemblés dans les figures 10,11 et 12 .</w:t>
      </w:r>
    </w:p>
    <w:p>
      <w:pPr>
        <w:spacing w:lineRule="auto"/>
        <w:jc w:val="center"/>
      </w:pPr>
      <w:r>
        <w:rPr/>
        <w:drawing>
          <wp:inline distB="0" distL="0" distR="0" distT="0">
            <wp:extent cx="5486400" cy="1555374"/>
            <wp:effectExtent b="0" l="0" r="0" t="0"/>
            <wp:docPr id="9" name="image-f4e110b3e73e4dcbed41d897f6f62cbede90daf7.jpg"/>
            <a:graphic>
              <a:graphicData uri="http://schemas.openxmlformats.org/drawingml/2006/picture">
                <pic:pic>
                  <pic:nvPicPr>
                    <pic:cNvPr id="9" name="image-f4e110b3e73e4dcbed41d897f6f62cbede90daf7.jpg" descr=""/>
                    <pic:cNvPicPr/>
                  </pic:nvPicPr>
                  <pic:blipFill>
                    <a:blip r:embed="rId13" cstate="print"/>
                    <a:srcRect b="0" l="0" r="0" t="0"/>
                    <a:stretch>
                      <a:fillRect/>
                    </a:stretch>
                  </pic:blipFill>
                  <pic:spPr>
                    <a:xfrm>
                      <a:off x="0" y="0"/>
                      <a:ext cx="5486400" cy="1555374"/>
                    </a:xfrm>
                    <a:prstGeom prst="rect"/>
                  </pic:spPr>
                </pic:pic>
              </a:graphicData>
            </a:graphic>
          </wp:inline>
        </w:drawing>
      </w:r>
    </w:p>
    <w:p>
      <w:pPr>
        <w:spacing w:lineRule="auto"/>
      </w:pPr>
      <w:r>
        <w:rPr>
          <w:rFonts w:eastAsia="Georgia" w:cs="Georgia" w:ascii="Georgia" w:hAnsi="Georgia"/>
        </w:rPr>
        <w:t xml:space="preserve">Figure 10 - Expérience A. </w:t>
      </w:r>
      <m:oMath>
        <m:f>
          <m:fPr>
            <m:ctrlPr>
              <w:rPr>
                <w:rFonts w:ascii="Cambria Math" w:hAnsi="Cambria Math"/>
              </w:rPr>
            </m:ctrlPr>
          </m:fPr>
          <m:num>
            <m:r>
              <m:rPr>
                <m:sty m:val="i"/>
              </m:rPr>
              <m:t>s</m:t>
            </m:r>
          </m:num>
          <m:den>
            <m:r>
              <m:rPr>
                <m:sty m:val="i"/>
              </m:rPr>
              <m:t>l</m:t>
            </m:r>
          </m:den>
        </m:f>
        <m:r>
          <m:rPr>
            <m:sty m:val="p"/>
          </m:rPr>
          <m:t>=</m:t>
        </m:r>
        <m:r>
          <m:rPr>
            <m:sty m:val="p"/>
          </m:rPr>
          <m:t>20</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r>
          <m:rPr>
            <m:sty m:val="p"/>
          </m:rPr>
          <m:t>,</m:t>
        </m:r>
        <m:r>
          <m:rPr>
            <m:sty m:val="p"/>
          </m:rPr>
          <m:t>[</m:t>
        </m:r>
        <m:r>
          <m:rPr>
            <m:sty m:val="p"/>
          </m:rPr>
          <m:t>HCl</m:t>
        </m:r>
        <m:sSub>
          <m:sSubPr/>
          <m:e>
            <m:r>
              <m:rPr>
                <m:sty m:val="p"/>
              </m:rPr>
              <m:t>]</m:t>
            </m:r>
          </m:e>
          <m:sub>
            <m:r>
              <m:rPr>
                <m:sty m:val="p"/>
              </m:rPr>
              <m:t>0</m:t>
            </m:r>
          </m:sub>
        </m:sSub>
        <m:r>
          <m:rPr>
            <m:sty m:val="p"/>
          </m:rPr>
          <m:t>=</m:t>
        </m:r>
        <m:r>
          <m:rPr>
            <m:sty m:val="p"/>
          </m:rPr>
          <m:t>4</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à </w:t>
      </w:r>
      <m:oMath>
        <m:r>
          <m:rPr>
            <m:sty m:val="i"/>
          </m:rPr>
          <m:t>T</m:t>
        </m:r>
        <m:r>
          <m:rPr>
            <m:sty m:val="p"/>
          </m:rPr>
          <m:t>=</m:t>
        </m:r>
        <m:r>
          <m:rPr>
            <m:sty m:val="p"/>
          </m:rPr>
          <m:t>54</m:t>
        </m:r>
        <m:sSup>
          <m:sSupPr/>
          <m:e>
            <m:r>
              <m:t xml:space="preserve"> </m:t>
            </m:r>
          </m:e>
          <m:sup>
            <m:r>
              <m:rPr>
                <m:sty m:val="p"/>
              </m:rPr>
              <m:t>∘</m:t>
            </m:r>
          </m:sup>
        </m:sSup>
        <m:r>
          <m:rPr>
            <m:sty m:val="p"/>
          </m:rPr>
          <m:t>C</m:t>
        </m:r>
      </m:oMath>
      <w:r>
        <w:rPr/>
        <w:t xml:space="preserve">.</w:t>
      </w:r>
    </w:p>
    <w:p>
      <w:pPr>
        <w:spacing w:lineRule="auto"/>
        <w:jc w:val="center"/>
      </w:pPr>
      <w:r>
        <w:rPr/>
        <w:drawing>
          <wp:inline distB="0" distL="0" distR="0" distT="0">
            <wp:extent cx="5486400" cy="3166316"/>
            <wp:effectExtent b="0" l="0" r="0" t="0"/>
            <wp:docPr id="10" name="image-4d63fb2fae782dcd0a28730c95825cd10cd574a6.jpg"/>
            <a:graphic>
              <a:graphicData uri="http://schemas.openxmlformats.org/drawingml/2006/picture">
                <pic:pic>
                  <pic:nvPicPr>
                    <pic:cNvPr id="10" name="image-4d63fb2fae782dcd0a28730c95825cd10cd574a6.jpg" descr=""/>
                    <pic:cNvPicPr/>
                  </pic:nvPicPr>
                  <pic:blipFill>
                    <a:blip r:embed="rId14" cstate="print"/>
                    <a:srcRect b="0" l="0" r="0" t="0"/>
                    <a:stretch>
                      <a:fillRect/>
                    </a:stretch>
                  </pic:blipFill>
                  <pic:spPr>
                    <a:xfrm>
                      <a:off x="0" y="0"/>
                      <a:ext cx="5486400" cy="316631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208898"/>
            <wp:effectExtent b="0" l="0" r="0" t="0"/>
            <wp:docPr id="11" name="image-5f9daed0dc4daac8de91e10d05fe3138fd0ecec1.jpg"/>
            <a:graphic>
              <a:graphicData uri="http://schemas.openxmlformats.org/drawingml/2006/picture">
                <pic:pic>
                  <pic:nvPicPr>
                    <pic:cNvPr id="11" name="image-5f9daed0dc4daac8de91e10d05fe3138fd0ecec1.jpg" descr=""/>
                    <pic:cNvPicPr/>
                  </pic:nvPicPr>
                  <pic:blipFill>
                    <a:blip r:embed="rId15" cstate="print"/>
                    <a:srcRect b="0" l="0" r="0" t="0"/>
                    <a:stretch>
                      <a:fillRect/>
                    </a:stretch>
                  </pic:blipFill>
                  <pic:spPr>
                    <a:xfrm>
                      <a:off x="0" y="0"/>
                      <a:ext cx="5486400" cy="3208898"/>
                    </a:xfrm>
                    <a:prstGeom prst="rect"/>
                  </pic:spPr>
                </pic:pic>
              </a:graphicData>
            </a:graphic>
          </wp:inline>
        </w:drawing>
      </w:r>
    </w:p>
    <w:p>
      <w:pPr>
        <w:spacing w:after="220" w:lineRule="auto"/>
      </w:pPr>
      <w:r>
        <w:rPr>
          <w:rFonts w:eastAsia="Georgia" w:cs="Georgia" w:ascii="Georgia" w:hAnsi="Georgia"/>
        </w:rPr>
        <w:t xml:space="preserve">Figure 11 - Expérience B. </w:t>
      </w:r>
      <m:oMath>
        <m:f>
          <m:fPr>
            <m:ctrlPr>
              <w:rPr>
                <w:rFonts w:ascii="Cambria Math" w:hAnsi="Cambria Math"/>
              </w:rPr>
            </m:ctrlPr>
          </m:fPr>
          <m:num>
            <m:r>
              <m:rPr>
                <m:sty m:val="i"/>
              </m:rPr>
              <m:t>s</m:t>
            </m:r>
          </m:num>
          <m:den>
            <m:r>
              <m:rPr>
                <m:sty m:val="i"/>
              </m:rPr>
              <m:t>l</m:t>
            </m:r>
          </m:den>
        </m:f>
        <m:r>
          <m:rPr>
            <m:sty m:val="p"/>
          </m:rPr>
          <m:t>=</m:t>
        </m:r>
        <m:r>
          <m:rPr>
            <m:sty m:val="p"/>
          </m:rPr>
          <m:t>120</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r>
          <m:rPr>
            <m:sty m:val="p"/>
          </m:rPr>
          <m:t>,</m:t>
        </m:r>
        <m:r>
          <m:rPr>
            <m:sty m:val="p"/>
          </m:rPr>
          <m:t>[</m:t>
        </m:r>
        <m:r>
          <m:rPr>
            <m:sty m:val="p"/>
          </m:rPr>
          <m:t>HCl</m:t>
        </m:r>
        <m:sSub>
          <m:sSubPr/>
          <m:e>
            <m:r>
              <m:rPr>
                <m:sty m:val="p"/>
              </m:rPr>
              <m:t>]</m:t>
            </m:r>
          </m:e>
          <m:sub>
            <m:r>
              <m:rPr>
                <m:sty m:val="p"/>
              </m:rPr>
              <m:t>0</m:t>
            </m:r>
          </m:sub>
        </m:sSub>
        <m:r>
          <m:rPr>
            <m:sty m:val="p"/>
          </m:rPr>
          <m:t>=</m:t>
        </m:r>
        <m:r>
          <m:rPr>
            <m:sty m:val="p"/>
          </m:rPr>
          <m:t>4</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à </w:t>
      </w:r>
      <m:oMath>
        <m:r>
          <m:rPr>
            <m:sty m:val="i"/>
          </m:rPr>
          <m:t>T</m:t>
        </m:r>
        <m:r>
          <m:rPr>
            <m:sty m:val="p"/>
          </m:rPr>
          <m:t>=</m:t>
        </m:r>
        <m:r>
          <m:rPr>
            <m:sty m:val="p"/>
          </m:rPr>
          <m:t>54</m:t>
        </m:r>
        <m:sSup>
          <m:sSupPr/>
          <m:e>
            <m:r>
              <m:t xml:space="preserve"> </m:t>
            </m:r>
          </m:e>
          <m:sup>
            <m:r>
              <m:rPr>
                <m:sty m:val="p"/>
              </m:rPr>
              <m:t>∘</m:t>
            </m:r>
          </m:sup>
        </m:sSup>
        <m:r>
          <m:rPr>
            <m:sty m:val="p"/>
          </m:rPr>
          <m:t>C</m:t>
        </m:r>
      </m:oMath>
      <w:r>
        <w:rPr/>
        <w:t xml:space="preserve">.</w:t>
      </w:r>
    </w:p>
    <w:p>
      <w:pPr>
        <w:spacing w:lineRule="auto"/>
        <w:jc w:val="center"/>
      </w:pPr>
      <w:r>
        <w:rPr/>
        <w:drawing>
          <wp:inline distB="0" distL="0" distR="0" distT="0">
            <wp:extent cx="5486400" cy="1584960"/>
            <wp:effectExtent b="0" l="0" r="0" t="0"/>
            <wp:docPr id="12" name="image-af4fbea31516f655858db201e44463043a75e107.jpg"/>
            <a:graphic>
              <a:graphicData uri="http://schemas.openxmlformats.org/drawingml/2006/picture">
                <pic:pic>
                  <pic:nvPicPr>
                    <pic:cNvPr id="12" name="image-af4fbea31516f655858db201e44463043a75e107.jpg" descr=""/>
                    <pic:cNvPicPr/>
                  </pic:nvPicPr>
                  <pic:blipFill>
                    <a:blip r:embed="rId16" cstate="print"/>
                    <a:srcRect b="0" l="0" r="0" t="0"/>
                    <a:stretch>
                      <a:fillRect/>
                    </a:stretch>
                  </pic:blipFill>
                  <pic:spPr>
                    <a:xfrm>
                      <a:off x="0" y="0"/>
                      <a:ext cx="5486400" cy="1584960"/>
                    </a:xfrm>
                    <a:prstGeom prst="rect"/>
                  </pic:spPr>
                </pic:pic>
              </a:graphicData>
            </a:graphic>
          </wp:inline>
        </w:drawing>
      </w:r>
    </w:p>
    <w:p>
      <w:pPr>
        <w:spacing w:lineRule="auto"/>
      </w:pPr>
      <w:r>
        <w:rPr>
          <w:rFonts w:eastAsia="Georgia" w:cs="Georgia" w:ascii="Georgia" w:hAnsi="Georgia"/>
        </w:rPr>
        <w:t xml:space="preserve">Figure 12 - Expérience C. </w:t>
      </w:r>
      <m:oMath>
        <m:f>
          <m:fPr>
            <m:ctrlPr>
              <w:rPr>
                <w:rFonts w:ascii="Cambria Math" w:hAnsi="Cambria Math"/>
              </w:rPr>
            </m:ctrlPr>
          </m:fPr>
          <m:num>
            <m:r>
              <m:rPr>
                <m:sty m:val="i"/>
              </m:rPr>
              <m:t>s</m:t>
            </m:r>
          </m:num>
          <m:den>
            <m:r>
              <m:rPr>
                <m:sty m:val="i"/>
              </m:rPr>
              <m:t>l</m:t>
            </m:r>
          </m:den>
        </m:f>
        <m:r>
          <m:rPr>
            <m:sty m:val="p"/>
          </m:rPr>
          <m:t>=</m:t>
        </m:r>
        <m:r>
          <m:rPr>
            <m:sty m:val="p"/>
          </m:rPr>
          <m:t>80</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r>
          <m:rPr>
            <m:sty m:val="p"/>
          </m:rPr>
          <m:t>,</m:t>
        </m:r>
        <m:r>
          <m:rPr>
            <m:sty m:val="p"/>
          </m:rPr>
          <m:t>[</m:t>
        </m:r>
        <m:r>
          <m:rPr>
            <m:sty m:val="p"/>
          </m:rPr>
          <m:t>HCl</m:t>
        </m:r>
        <m:sSub>
          <m:sSubPr/>
          <m:e>
            <m:r>
              <m:rPr>
                <m:sty m:val="p"/>
              </m:rPr>
              <m:t>]</m:t>
            </m:r>
          </m:e>
          <m:sub>
            <m:r>
              <m:rPr>
                <m:sty m:val="p"/>
              </m:rPr>
              <m:t>0</m:t>
            </m:r>
          </m:sub>
        </m:sSub>
        <m:r>
          <m:rPr>
            <m:sty m:val="p"/>
          </m:rPr>
          <m:t>=</m:t>
        </m:r>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à </w:t>
      </w:r>
      <m:oMath>
        <m:r>
          <m:rPr>
            <m:sty m:val="i"/>
          </m:rPr>
          <m:t>T</m:t>
        </m:r>
        <m:r>
          <m:rPr>
            <m:sty m:val="p"/>
          </m:rPr>
          <m:t>=</m:t>
        </m:r>
        <m:r>
          <m:rPr>
            <m:sty m:val="p"/>
          </m:rPr>
          <m:t>54</m:t>
        </m:r>
        <m:sSup>
          <m:sSupPr/>
          <m:e>
            <m:r>
              <m:t xml:space="preserve"> </m:t>
            </m:r>
          </m:e>
          <m:sup>
            <m:r>
              <m:rPr>
                <m:sty m:val="p"/>
              </m:rPr>
              <m:t>∘</m:t>
            </m:r>
          </m:sup>
        </m:sSup>
        <m:r>
          <m:rPr>
            <m:sty m:val="p"/>
          </m:rPr>
          <m:t>C</m:t>
        </m:r>
      </m:oMath>
      <w:r>
        <w:rPr/>
        <w:t xml:space="preserve">.</w:t>
      </w:r>
    </w:p>
    <w:p>
      <w:pPr>
        <w:spacing w:after="220" w:lineRule="auto"/>
      </w:pPr>
      <w:r>
        <w:rPr>
          <w:rFonts w:eastAsia="Georgia" w:cs="Georgia" w:ascii="Georgia" w:hAnsi="Georgia"/>
        </w:rPr>
        <w:t xml:space="preserve">Q15. Justifier que les résultats expérimentaux indiquent que la première étape est instantanée et que la seconde est lente.</w:t>
      </w:r>
    </w:p>
    <w:p>
      <w:pPr>
        <w:spacing w:after="220" w:lineRule="auto"/>
      </w:pPr>
      <w:r>
        <w:rPr/>
        <w:t xml:space="preserve">Q16. Justifier que l'on a </w:t>
      </w:r>
      <m:oMath>
        <m:r>
          <m:rPr>
            <m:sty m:val="p"/>
          </m:rPr>
          <m:t>m</m:t>
        </m:r>
        <m:r>
          <m:rPr>
            <m:sty m:val="p"/>
          </m:rPr>
          <m:t>≈</m:t>
        </m:r>
        <m:r>
          <m:rPr>
            <m:sty m:val="p"/>
          </m:rPr>
          <m:t>2</m:t>
        </m:r>
        <m:r>
          <m:rPr>
            <m:sty m:val="p"/>
          </m:rPr>
          <m:t>,</m:t>
        </m:r>
        <m:r>
          <m:rPr>
            <m:sty m:val="p"/>
          </m:rPr>
          <m:t>1</m:t>
        </m:r>
      </m:oMath>
      <w:r>
        <w:rPr/>
        <w:t xml:space="preserve">.</w:t>
      </w:r>
      <w:r>
        <w:rPr/>
        <w:br w:type="textWrapping"/>
      </w:r>
      <w:r>
        <w:rPr/>
        <w:t xml:space="preserve">Q17. Exprimer </w:t>
      </w:r>
      <m:oMath>
        <m:sSub>
          <m:sSubPr/>
          <m:e>
            <m:r>
              <m:rPr>
                <m:sty m:val="i"/>
              </m:rPr>
              <m:t>x</m:t>
            </m:r>
          </m:e>
          <m:sub>
            <m:r>
              <m:rPr>
                <m:sty m:val="p"/>
              </m:rPr>
              <m:t>0</m:t>
            </m:r>
          </m:sub>
        </m:sSub>
      </m:oMath>
      <w:r>
        <w:rPr/>
        <w:t xml:space="preserve"> en fonction de la concentration initiale en acide chlorhydrique </w:t>
      </w:r>
      <m:oMath>
        <m:r>
          <m:rPr>
            <m:sty m:val="p"/>
          </m:rPr>
          <m:t>[</m:t>
        </m:r>
        <m:r>
          <m:rPr>
            <m:sty m:val="p"/>
          </m:rPr>
          <m:t>HCl</m:t>
        </m:r>
        <m:sSub>
          <m:sSubPr/>
          <m:e>
            <m:r>
              <m:rPr>
                <m:sty m:val="p"/>
              </m:rPr>
              <m:t>]</m:t>
            </m:r>
          </m:e>
          <m:sub>
            <m:r>
              <m:rPr>
                <m:sty m:val="p"/>
              </m:rPr>
              <m:t>0</m:t>
            </m:r>
          </m:sub>
        </m:sSub>
      </m:oMath>
      <w:r>
        <w:rPr/>
        <w:t xml:space="preserve">, de la masse molaire </w:t>
      </w:r>
      <m:oMath>
        <m:sSub>
          <m:sSubPr/>
          <m:e>
            <m:r>
              <m:rPr>
                <m:sty m:val="i"/>
              </m:rPr>
              <m:t>M</m:t>
            </m:r>
          </m:e>
          <m:sub>
            <m:r>
              <m:rPr>
                <m:sty m:val="p"/>
              </m:rPr>
              <m:t>NMC</m:t>
            </m:r>
            <m:r>
              <m:rPr>
                <m:sty m:val="p"/>
              </m:rPr>
              <m:t>111</m:t>
            </m:r>
          </m:sub>
        </m:sSub>
      </m:oMath>
      <w:r>
        <w:rPr/>
        <w:t xml:space="preserve"> et du rapport </w:t>
      </w:r>
      <m:oMath>
        <m:r>
          <m:rPr>
            <m:sty m:val="i"/>
          </m:rPr>
          <m:t>s</m:t>
        </m:r>
        <m:r>
          <m:rPr>
            <m:sty m:val="p"/>
          </m:rPr>
          <m:t>/</m:t>
        </m:r>
        <m:r>
          <m:rPr>
            <m:sty m:val="i"/>
          </m:rPr>
          <m:t>l</m:t>
        </m:r>
      </m:oMath>
      <w:r>
        <w:rPr/>
        <w:t xml:space="preserve">.</w:t>
      </w:r>
      <w:r>
        <w:rPr/>
        <w:br w:type="textWrapping"/>
      </w:r>
      <w:r>
        <w:rPr/>
        <w:t xml:space="preserve">Calculer </w:t>
      </w:r>
      <m:oMath>
        <m:sSub>
          <m:sSubPr/>
          <m:e>
            <m:r>
              <m:rPr>
                <m:sty m:val="i"/>
              </m:rPr>
              <m:t>x</m:t>
            </m:r>
          </m:e>
          <m:sub>
            <m:r>
              <m:rPr>
                <m:sty m:val="p"/>
              </m:rPr>
              <m:t>0</m:t>
            </m:r>
          </m:sub>
        </m:sSub>
      </m:oMath>
      <w:r>
        <w:rPr>
          <w:rFonts w:eastAsia="Georgia" w:cs="Georgia" w:ascii="Georgia" w:hAnsi="Georgia"/>
        </w:rPr>
        <w:t xml:space="preserve"> pour chaque expérience.</w:t>
      </w:r>
      <w:r>
        <w:rPr/>
        <w:br w:type="textWrapping"/>
      </w:r>
      <w:r>
        <w:rPr>
          <w:rFonts w:eastAsia="Georgia" w:cs="Georgia" w:ascii="Georgia" w:hAnsi="Georgia"/>
        </w:rPr>
        <w:t xml:space="preserve">Q18. Déterminer la valeur critique </w:t>
      </w:r>
      <m:oMath>
        <m:sSub>
          <m:sSubPr/>
          <m:e>
            <m:r>
              <m:rPr>
                <m:sty m:val="i"/>
              </m:rPr>
              <m:t>x</m:t>
            </m:r>
          </m:e>
          <m:sub>
            <m:r>
              <m:rPr>
                <m:sty m:val="p"/>
              </m:rPr>
              <m:t>1</m:t>
            </m:r>
          </m:sub>
        </m:sSub>
      </m:oMath>
      <w:r>
        <w:rPr/>
        <w:t xml:space="preserve"> telle que si </w:t>
      </w:r>
      <m:oMath>
        <m:sSub>
          <m:sSubPr/>
          <m:e>
            <m:r>
              <m:rPr>
                <m:sty m:val="i"/>
              </m:rPr>
              <m:t>x</m:t>
            </m:r>
          </m:e>
          <m:sub>
            <m:r>
              <m:rPr>
                <m:sty m:val="p"/>
              </m:rPr>
              <m:t>0</m:t>
            </m:r>
          </m:sub>
        </m:sSub>
      </m:oMath>
      <w:r>
        <w:rPr>
          <w:rFonts w:eastAsia="Georgia" w:cs="Georgia" w:ascii="Georgia" w:hAnsi="Georgia"/>
        </w:rPr>
        <w:t xml:space="preserve"> est inférieur à </w:t>
      </w:r>
      <m:oMath>
        <m:sSub>
          <m:sSubPr/>
          <m:e>
            <m:r>
              <m:rPr>
                <m:sty m:val="i"/>
              </m:rPr>
              <m:t>x</m:t>
            </m:r>
          </m:e>
          <m:sub>
            <m:r>
              <m:rPr>
                <m:sty m:val="p"/>
              </m:rPr>
              <m:t>1</m:t>
            </m:r>
          </m:sub>
        </m:sSub>
      </m:oMath>
      <w:r>
        <w:rPr>
          <w:rFonts w:eastAsia="Georgia" w:cs="Georgia" w:ascii="Georgia" w:hAnsi="Georgia"/>
        </w:rPr>
        <w:t xml:space="preserve">, la seconde étape ne se produit pas. Pour laquelle des trois expériences cette condition s'applique-t-elle? Calculer les rendements en lithium Li et en M pour cette expérience.</w:t>
      </w:r>
    </w:p>
    <w:p>
      <w:pPr>
        <w:spacing w:after="220" w:lineRule="auto"/>
      </w:pPr>
      <w:r>
        <w:rPr>
          <w:rFonts w:eastAsia="Georgia" w:cs="Georgia" w:ascii="Georgia" w:hAnsi="Georgia"/>
        </w:rPr>
        <w:t xml:space="preserve">On étudie la cinétique de la seconde étape de dissolution. Il s'agit d'une réaction à solide consommable.</w:t>
      </w:r>
    </w:p>
    <w:p>
      <w:pPr>
        <w:spacing w:after="220" w:lineRule="auto"/>
      </w:pPr>
      <w:r>
        <w:rPr>
          <w:rFonts w:eastAsia="Georgia" w:cs="Georgia" w:ascii="Georgia" w:hAnsi="Georgia"/>
        </w:rPr>
        <w:t xml:space="preserve">HCl est noté </w:t>
      </w:r>
      <m:oMath>
        <m:r>
          <m:rPr>
            <m:sty m:val="p"/>
          </m:rPr>
          <m:t>A</m:t>
        </m:r>
        <m:r>
          <m:rPr>
            <m:sty m:val="p"/>
          </m:rPr>
          <m:t>(</m:t>
        </m:r>
        <m:r>
          <m:rPr>
            <m:sty m:val="p"/>
          </m:rPr>
          <m:t>aq</m:t>
        </m:r>
        <m:r>
          <m:rPr>
            <m:sty m:val="p"/>
          </m:rPr>
          <m:t>)</m:t>
        </m:r>
      </m:oMath>
      <w:r>
        <w:rPr/>
        <w:t xml:space="preserve"> et le </w:t>
      </w:r>
      <m:oMath>
        <m:sSub>
          <m:sSubPr/>
          <m:e>
            <m:r>
              <m:rPr>
                <m:sty m:val="p"/>
              </m:rPr>
              <m:t>Li</m:t>
            </m:r>
          </m:e>
          <m:sub>
            <m:r>
              <m:rPr>
                <m:sty m:val="p"/>
              </m:rPr>
              <m:t>1</m:t>
            </m:r>
            <m:r>
              <m:rPr>
                <m:sty m:val="p"/>
              </m:rPr>
              <m:t>/</m:t>
            </m:r>
            <m:r>
              <m:rPr>
                <m:sty m:val="p"/>
              </m:rPr>
              <m:t>n</m:t>
            </m:r>
          </m:sub>
        </m:sSub>
        <m:sSub>
          <m:sSubPr/>
          <m:e>
            <m:r>
              <m:rPr>
                <m:sty m:val="p"/>
              </m:rPr>
              <m:t>MO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est noté </w:t>
      </w:r>
      <m:oMath>
        <m:r>
          <m:rPr>
            <m:sty m:val="p"/>
          </m:rPr>
          <m:t>B</m:t>
        </m:r>
        <m:r>
          <m:rPr>
            <m:sty m:val="p"/>
          </m:rPr>
          <m:t>(</m:t>
        </m:r>
        <m:r>
          <m:rPr>
            <m:sty m:val="p"/>
          </m:rPr>
          <m:t>s</m:t>
        </m:r>
        <m:r>
          <m:rPr>
            <m:sty m:val="p"/>
          </m:rPr>
          <m:t>)</m:t>
        </m:r>
      </m:oMath>
      <w:r>
        <w:rPr>
          <w:rFonts w:eastAsia="Georgia" w:cs="Georgia" w:ascii="Georgia" w:hAnsi="Georgia"/>
        </w:rPr>
        <w:t xml:space="preserve"> par la suite. Le bilan de cette étape est symbolisé par la réaction ci-dessous, dans lequel </w:t>
      </w:r>
      <m:oMath>
        <m:r>
          <m:rPr>
            <m:sty m:val="i"/>
          </m:rPr>
          <m:t>ν</m:t>
        </m:r>
      </m:oMath>
      <w:r>
        <w:rPr>
          <w:rFonts w:eastAsia="Georgia" w:cs="Georgia" w:ascii="Georgia" w:hAnsi="Georgia"/>
        </w:rPr>
        <w:t xml:space="preserve"> représente un coefficient stœchiométrique :</w:t>
      </w:r>
    </w:p>
    <w:p>
      <w:pPr>
        <w:spacing w:after="220" w:lineRule="auto"/>
      </w:pPr>
      <m:oMathPara>
        <m:oMath>
          <m:r>
            <m:rPr>
              <m:sty m:val="p"/>
            </m:rPr>
            <m:t>A</m:t>
          </m:r>
          <m:r>
            <m:rPr>
              <m:sty m:val="p"/>
            </m:rPr>
            <m:t>(</m:t>
          </m:r>
          <m:r>
            <m:rPr>
              <m:sty m:val="p"/>
            </m:rPr>
            <m:t>aq</m:t>
          </m:r>
          <m:r>
            <m:rPr>
              <m:sty m:val="p"/>
            </m:rPr>
            <m:t>)</m:t>
          </m:r>
          <m:r>
            <m:rPr>
              <m:sty m:val="p"/>
            </m:rPr>
            <m:t>+</m:t>
          </m:r>
          <m:r>
            <m:rPr>
              <m:sty m:val="i"/>
            </m:rPr>
            <m:t>ν</m:t>
          </m:r>
          <m:r>
            <m:rPr>
              <m:sty m:val="p"/>
            </m:rPr>
            <m:t>B</m:t>
          </m:r>
          <m:r>
            <m:rPr>
              <m:sty m:val="p"/>
            </m:rPr>
            <m:t>(</m:t>
          </m:r>
          <m:r>
            <m:rPr>
              <m:nor/>
            </m:rPr>
            <m:t xml:space="preserve"> </m:t>
          </m:r>
          <m:r>
            <m:rPr>
              <m:sty m:val="p"/>
            </m:rPr>
            <m:t>s</m:t>
          </m:r>
          <m:r>
            <m:rPr>
              <m:sty m:val="p"/>
            </m:rPr>
            <m:t>)</m:t>
          </m:r>
          <m:r>
            <m:rPr>
              <m:sty m:val="p"/>
            </m:rPr>
            <m:t>→</m:t>
          </m:r>
          <m:r>
            <m:rPr>
              <m:nor/>
            </m:rPr>
            <m:t> produits </m:t>
          </m:r>
        </m:oMath>
      </m:oMathPara>
    </w:p>
    <w:p>
      <w:pPr>
        <w:spacing w:lineRule="auto"/>
        <w:jc w:val="center"/>
      </w:pPr>
      <w:r>
        <w:rPr/>
        <w:drawing>
          <wp:inline distB="0" distL="0" distR="0" distT="0">
            <wp:extent cx="5486400" cy="2906702"/>
            <wp:effectExtent b="0" l="0" r="0" t="0"/>
            <wp:docPr id="13" name="image-5e939947653c4895895db200a0876505c73c26c3.jpg"/>
            <a:graphic>
              <a:graphicData uri="http://schemas.openxmlformats.org/drawingml/2006/picture">
                <pic:pic>
                  <pic:nvPicPr>
                    <pic:cNvPr id="13" name="image-5e939947653c4895895db200a0876505c73c26c3.jpg" descr=""/>
                    <pic:cNvPicPr/>
                  </pic:nvPicPr>
                  <pic:blipFill>
                    <a:blip r:embed="rId17" cstate="print"/>
                    <a:srcRect b="0" l="0" r="0" t="0"/>
                    <a:stretch>
                      <a:fillRect/>
                    </a:stretch>
                  </pic:blipFill>
                  <pic:spPr>
                    <a:xfrm>
                      <a:off x="0" y="0"/>
                      <a:ext cx="5486400" cy="2906702"/>
                    </a:xfrm>
                    <a:prstGeom prst="rect"/>
                  </pic:spPr>
                </pic:pic>
              </a:graphicData>
            </a:graphic>
          </wp:inline>
        </w:drawing>
      </w:r>
    </w:p>
    <w:p>
      <w:pPr>
        <w:spacing w:lineRule="auto"/>
      </w:pPr>
      <w:r>
        <w:rPr>
          <w:rFonts w:eastAsia="Georgia" w:cs="Georgia" w:ascii="Georgia" w:hAnsi="Georgia"/>
        </w:rPr>
        <w:t xml:space="preserve">Figure 13 - Profil de concentration du réactif aqueux autour du grain consommable en fonction de </w:t>
      </w:r>
      <m:oMath>
        <m:r>
          <m:rPr>
            <m:sty m:val="i"/>
          </m:rPr>
          <m:t>r</m:t>
        </m:r>
      </m:oMath>
      <w:r>
        <w:rPr>
          <w:rFonts w:eastAsia="Georgia" w:cs="Georgia" w:ascii="Georgia" w:hAnsi="Georgia"/>
        </w:rPr>
        <w:t xml:space="preserve"> (des coordonnées sphériques).</w:t>
      </w:r>
    </w:p>
    <w:p>
      <w:pPr>
        <w:spacing w:after="220" w:lineRule="auto"/>
      </w:pPr>
      <w:r>
        <w:rPr>
          <w:rFonts w:eastAsia="Georgia" w:cs="Georgia" w:ascii="Georgia" w:hAnsi="Georgia"/>
        </w:rPr>
        <w:t xml:space="preserve">Les éléments du modèle utilisé sont schématisés sur la figure 13. Les phénomènes physiques et chimiques mis en jeu lors de la réaction sont :</w:t>
      </w:r>
    </w:p>
    <w:p>
      <w:pPr>
        <w:numPr>
          <w:ilvl w:val="0"/>
          <w:numId w:val="6"/>
        </w:numPr>
        <w:spacing w:lineRule="auto"/>
      </w:pPr>
      <w:r>
        <w:rPr>
          <w:rFonts w:eastAsia="Georgia" w:cs="Georgia" w:ascii="Georgia" w:hAnsi="Georgia"/>
        </w:rPr>
        <w:t xml:space="preserve">le transport du réactif aqueux à travers le film externe limite des particules, généralement par convection;</w:t>
      </w:r>
    </w:p>
    <w:p>
      <w:pPr>
        <w:numPr>
          <w:ilvl w:val="0"/>
          <w:numId w:val="6"/>
        </w:numPr>
        <w:spacing w:lineRule="auto"/>
      </w:pPr>
      <w:r>
        <w:rPr>
          <w:rFonts w:eastAsia="Georgia" w:cs="Georgia" w:ascii="Georgia" w:hAnsi="Georgia"/>
        </w:rPr>
        <w:t xml:space="preserve">la réaction chimique qui est localisée au niveau du front de réaction;</w:t>
      </w:r>
    </w:p>
    <w:p>
      <w:pPr>
        <w:numPr>
          <w:ilvl w:val="0"/>
          <w:numId w:val="6"/>
        </w:numPr>
        <w:spacing w:lineRule="auto"/>
      </w:pPr>
      <w:r>
        <w:rPr>
          <w:rFonts w:eastAsia="Georgia" w:cs="Georgia" w:ascii="Georgia" w:hAnsi="Georgia"/>
        </w:rPr>
        <w:t xml:space="preserve">le transport des produits aqueux à travers le film externe limite.</w:t>
      </w:r>
    </w:p>
    <w:p>
      <w:pPr>
        <w:spacing w:after="220" w:lineRule="auto"/>
      </w:pPr>
      <w:r>
        <w:rPr>
          <w:rFonts w:eastAsia="Georgia" w:cs="Georgia" w:ascii="Georgia" w:hAnsi="Georgia"/>
        </w:rPr>
        <w:t xml:space="preserve">Le modèle qui permet de représenter ces phénomènes porte le nom de modèle à grain rétrécissant. Dans une version simple, on suppose que tous les grains de solide sont des sphères de même rayon de départ </w:t>
      </w:r>
      <m:oMath>
        <m:sSub>
          <m:sSubPr/>
          <m:e>
            <m:r>
              <m:rPr>
                <m:sty m:val="i"/>
              </m:rPr>
              <m:t>R</m:t>
            </m:r>
          </m:e>
          <m:sub>
            <m:r>
              <m:rPr>
                <m:sty m:val="p"/>
              </m:rPr>
              <m:t>0</m:t>
            </m:r>
          </m:sub>
        </m:sSub>
        <m:r>
          <m:rPr>
            <m:sty m:val="p"/>
          </m:rPr>
          <m:t>=</m:t>
        </m:r>
        <m:r>
          <m:rPr>
            <m:sty m:val="p"/>
          </m:rPr>
          <m:t>15</m:t>
        </m:r>
        <m:r>
          <m:rPr>
            <m:sty m:val="p"/>
          </m:rPr>
          <m:t>,</m:t>
        </m:r>
        <m:r>
          <m:rPr>
            <m:sty m:val="p"/>
          </m:rPr>
          <m:t>0</m:t>
        </m:r>
        <m:r>
          <m:rPr>
            <m:sty m:val="i"/>
          </m:rPr>
          <m:t>μ</m:t>
        </m:r>
        <m:r>
          <m:rPr>
            <m:nor/>
          </m:rPr>
          <m:t xml:space="preserve"> </m:t>
        </m:r>
        <m:r>
          <m:rPr>
            <m:sty m:val="p"/>
          </m:rPr>
          <m:t>m</m:t>
        </m:r>
      </m:oMath>
      <w:r>
        <w:rPr>
          <w:rFonts w:eastAsia="Georgia" w:cs="Georgia" w:ascii="Georgia" w:hAnsi="Georgia"/>
        </w:rPr>
        <w:t xml:space="preserve"> et l'on étudie la décroissance de ce rayon </w:t>
      </w:r>
      <m:oMath>
        <m:r>
          <m:rPr>
            <m:sty m:val="i"/>
          </m:rPr>
          <m:t>R</m:t>
        </m:r>
        <m:r>
          <m:rPr>
            <m:sty m:val="p"/>
          </m:rPr>
          <m:t>(</m:t>
        </m:r>
        <m:r>
          <m:rPr>
            <m:sty m:val="i"/>
          </m:rPr>
          <m:t>t</m:t>
        </m:r>
        <m:r>
          <m:rPr>
            <m:sty m:val="p"/>
          </m:rPr>
          <m:t>)</m:t>
        </m:r>
      </m:oMath>
      <w:r>
        <w:rPr/>
        <w:t xml:space="preserve"> au cours du temps.</w:t>
      </w:r>
      <w:r>
        <w:rPr/>
        <w:br w:type="textWrapping"/>
      </w:r>
      <w:r>
        <w:rPr>
          <w:rFonts w:eastAsia="Georgia" w:cs="Georgia" w:ascii="Georgia" w:hAnsi="Georgia"/>
        </w:rPr>
        <w:t xml:space="preserve">Dans le cas général, la consommation des grains est contrôlée par les deux premiers phénomènes cités précédemment. Cependant, dans certains cas limites, il se peut que l'un des deux phénomènes soit beaucoup plus lent que l'autre et qu'il impose la vitesse de consommation des particules. On parle alors de phénomène limitant. Par exemple, si la réaction chimique est très lente par rapport au phénomène de convection, ce sera le phénomène limitant. La vitesse de consommation des particules sera contrôlée par la réaction chimique et on parlera de régime chimique.</w:t>
      </w:r>
      <w:r>
        <w:rPr/>
        <w:br w:type="textWrapping"/>
      </w:r>
      <w:r>
        <w:rPr/>
        <w:t xml:space="preserve">On note </w:t>
      </w:r>
      <m:oMath>
        <m:sSub>
          <m:sSubPr/>
          <m:e>
            <m:r>
              <m:rPr>
                <m:sty m:val="i"/>
              </m:rPr>
              <m:t>F</m:t>
            </m:r>
          </m:e>
          <m:sub>
            <m:r>
              <m:rPr>
                <m:sty m:val="p"/>
              </m:rPr>
              <m:t>A</m:t>
            </m:r>
          </m:sub>
        </m:sSub>
      </m:oMath>
      <w:r>
        <w:rPr>
          <w:rFonts w:eastAsia="Georgia" w:cs="Georgia" w:ascii="Georgia" w:hAnsi="Georgia"/>
        </w:rPr>
        <w:t xml:space="preserve"> le flux molaire de A à travers le film externe limite parvenant au front de réaction. Ce flux s'exprime selon la loi phénoménologique de transfert</w:t>
      </w:r>
    </w:p>
    <w:p>
      <w:pPr>
        <w:spacing w:after="220" w:lineRule="auto"/>
      </w:pPr>
      <m:oMathPara>
        <m:oMath>
          <m:sSub>
            <m:sSubPr/>
            <m:e>
              <m:r>
                <m:rPr>
                  <m:sty m:val="i"/>
                </m:rPr>
                <m:t>F</m:t>
              </m:r>
            </m:e>
            <m:sub>
              <m:r>
                <m:rPr>
                  <m:sty m:val="p"/>
                </m:rPr>
                <m:t>A</m:t>
              </m:r>
            </m:sub>
          </m:sSub>
          <m:r>
            <m:rPr>
              <m:sty m:val="p"/>
            </m:rPr>
            <m:t>=</m:t>
          </m:r>
          <m:sSub>
            <m:sSubPr/>
            <m:e>
              <m:r>
                <m:rPr>
                  <m:sty m:val="i"/>
                </m:rPr>
                <m:t>k</m:t>
              </m:r>
            </m:e>
            <m:sub>
              <m:r>
                <m:rPr>
                  <m:sty m:val="p"/>
                </m:rPr>
                <m:t>D</m:t>
              </m:r>
            </m:sub>
          </m:sSub>
          <m:r>
            <m:rPr>
              <m:sty m:val="i"/>
            </m:rPr>
            <m:t>S</m:t>
          </m:r>
          <m:d>
            <m:dPr>
              <m:begChr m:val="("/>
              <m:endChr m:val=")"/>
              <m:ctrlPr>
                <w:rPr>
                  <w:rFonts w:ascii="Cambria Math" w:hAnsi="Cambria Math"/>
                </w:rPr>
              </m:ctrlPr>
            </m:dPr>
            <m:e>
              <m:sSub>
                <m:sSubPr/>
                <m:e>
                  <m:r>
                    <m:rPr>
                      <m:sty m:val="i"/>
                    </m:rPr>
                    <m:t>C</m:t>
                  </m:r>
                </m:e>
                <m:sub>
                  <m:r>
                    <m:rPr>
                      <m:sty m:val="p"/>
                    </m:rPr>
                    <m:t>A</m:t>
                  </m:r>
                </m:sub>
              </m:sSub>
              <m:r>
                <m:rPr>
                  <m:sty m:val="p"/>
                </m:rPr>
                <m:t>−</m:t>
              </m:r>
              <m:sSub>
                <m:sSubPr/>
                <m:e>
                  <m:r>
                    <m:rPr>
                      <m:sty m:val="i"/>
                    </m:rPr>
                    <m:t>C</m:t>
                  </m:r>
                </m:e>
                <m:sub>
                  <m:r>
                    <m:rPr>
                      <m:sty m:val="p"/>
                    </m:rPr>
                    <m:t>Af</m:t>
                  </m:r>
                </m:sub>
              </m:sSub>
            </m:e>
          </m:d>
        </m:oMath>
      </m:oMathPara>
    </w:p>
    <w:p>
      <w:pPr>
        <w:spacing w:after="220" w:lineRule="auto"/>
      </w:pPr>
      <w:r>
        <w:rPr>
          <w:rFonts w:eastAsia="Georgia" w:cs="Georgia" w:ascii="Georgia" w:hAnsi="Georgia"/>
        </w:rPr>
        <w:t xml:space="preserve">où</w:t>
      </w:r>
    </w:p>
    <w:p>
      <w:pPr>
        <w:numPr>
          <w:ilvl w:val="0"/>
          <w:numId w:val="7"/>
        </w:numPr>
        <w:spacing w:lineRule="auto"/>
      </w:pPr>
      <m:oMath>
        <m:sSub>
          <m:sSubPr/>
          <m:e>
            <m:r>
              <m:rPr>
                <m:sty m:val="i"/>
              </m:rPr>
              <m:t>C</m:t>
            </m:r>
          </m:e>
          <m:sub>
            <m:r>
              <m:rPr>
                <m:sty m:val="p"/>
              </m:rPr>
              <m:t>A</m:t>
            </m:r>
          </m:sub>
        </m:sSub>
      </m:oMath>
      <w:r>
        <w:rPr>
          <w:rFonts w:eastAsia="Georgia" w:cs="Georgia" w:ascii="Georgia" w:hAnsi="Georgia"/>
        </w:rPr>
        <w:t xml:space="preserve"> désigne la concentration molaire du réactif aqueux A en dehors de la couche limite, supposée constante durant toute la dissolution du solide B ;</w:t>
      </w:r>
    </w:p>
    <w:p>
      <w:pPr>
        <w:numPr>
          <w:ilvl w:val="0"/>
          <w:numId w:val="7"/>
        </w:numPr>
        <w:spacing w:lineRule="auto"/>
      </w:pPr>
      <m:oMath>
        <m:sSub>
          <m:sSubPr/>
          <m:e>
            <m:r>
              <m:rPr>
                <m:sty m:val="i"/>
              </m:rPr>
              <m:t>C</m:t>
            </m:r>
          </m:e>
          <m:sub>
            <m:r>
              <m:rPr>
                <m:sty m:val="p"/>
              </m:rPr>
              <m:t>Af</m:t>
            </m:r>
          </m:sub>
        </m:sSub>
      </m:oMath>
      <w:r>
        <w:rPr>
          <w:rFonts w:eastAsia="Georgia" w:cs="Georgia" w:ascii="Georgia" w:hAnsi="Georgia"/>
        </w:rPr>
        <w:t xml:space="preserve"> désigne la concentration en réactif aqueux A au niveau du front de réaction en </w:t>
      </w:r>
      <m:oMath>
        <m:r>
          <m:rPr>
            <m:sty m:val="i"/>
          </m:rPr>
          <m:t>r</m:t>
        </m:r>
        <m:r>
          <m:rPr>
            <m:sty m:val="p"/>
          </m:rPr>
          <m:t>=</m:t>
        </m:r>
        <m:r>
          <m:rPr>
            <m:sty m:val="i"/>
          </m:rPr>
          <m:t>R</m:t>
        </m:r>
      </m:oMath>
      <w:r>
        <w:rPr/>
        <w:t xml:space="preserve">;</w:t>
      </w:r>
    </w:p>
    <w:p>
      <w:pPr>
        <w:numPr>
          <w:ilvl w:val="0"/>
          <w:numId w:val="7"/>
        </w:numPr>
        <w:spacing w:lineRule="auto"/>
      </w:pPr>
      <m:oMath>
        <m:sSub>
          <m:sSubPr/>
          <m:e>
            <m:r>
              <m:rPr>
                <m:sty m:val="i"/>
              </m:rPr>
              <m:t>k</m:t>
            </m:r>
          </m:e>
          <m:sub>
            <m:r>
              <m:rPr>
                <m:sty m:val="p"/>
              </m:rPr>
              <m:t>D</m:t>
            </m:r>
          </m:sub>
        </m:sSub>
      </m:oMath>
      <w:r>
        <w:rPr>
          <w:rFonts w:eastAsia="Georgia" w:cs="Georgia" w:ascii="Georgia" w:hAnsi="Georgia"/>
        </w:rPr>
        <w:t xml:space="preserve"> est la conductance de transfert à travers le film externe limite (exprimée en </w:t>
      </w:r>
      <m:oMath>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 En général, </w:t>
      </w:r>
      <m:oMath>
        <m:sSub>
          <m:sSubPr/>
          <m:e>
            <m:r>
              <m:rPr>
                <m:sty m:val="i"/>
              </m:rPr>
              <m:t>k</m:t>
            </m:r>
          </m:e>
          <m:sub>
            <m:r>
              <m:rPr>
                <m:sty m:val="p"/>
              </m:rPr>
              <m:t>D</m:t>
            </m:r>
          </m:sub>
        </m:sSub>
      </m:oMath>
      <w:r>
        <w:rPr>
          <w:rFonts w:eastAsia="Georgia" w:cs="Georgia" w:ascii="Georgia" w:hAnsi="Georgia"/>
        </w:rPr>
        <w:t xml:space="preserve"> augmente pour les grains de petite taille. On trouve dans la littérature la relation </w:t>
      </w:r>
      <m:oMath>
        <m:sSub>
          <m:sSubPr/>
          <m:e>
            <m:r>
              <m:rPr>
                <m:sty m:val="i"/>
              </m:rPr>
              <m:t>k</m:t>
            </m:r>
          </m:e>
          <m:sub>
            <m:r>
              <m:rPr>
                <m:sty m:val="p"/>
              </m:rPr>
              <m:t>D</m:t>
            </m:r>
          </m:sub>
        </m:sSub>
        <m:r>
          <m:rPr>
            <m:sty m:val="p"/>
          </m:rPr>
          <m:t>=</m:t>
        </m:r>
        <m:f>
          <m:fPr>
            <m:ctrlPr>
              <w:rPr>
                <w:rFonts w:ascii="Cambria Math" w:hAnsi="Cambria Math"/>
              </w:rPr>
            </m:ctrlPr>
          </m:fPr>
          <m:num>
            <m:r>
              <m:rPr>
                <m:sty m:val="i"/>
              </m:rPr>
              <m:t>D</m:t>
            </m:r>
          </m:num>
          <m:den>
            <m:r>
              <m:rPr>
                <m:sty m:val="i"/>
              </m:rPr>
              <m:t>R</m:t>
            </m:r>
            <m:r>
              <m:rPr>
                <m:sty m:val="p"/>
              </m:rPr>
              <m:t>(</m:t>
            </m:r>
            <m:r>
              <m:rPr>
                <m:sty m:val="i"/>
              </m:rPr>
              <m:t>t</m:t>
            </m:r>
            <m:r>
              <m:rPr>
                <m:sty m:val="p"/>
              </m:rPr>
              <m:t>)</m:t>
            </m:r>
          </m:den>
        </m:f>
      </m:oMath>
      <w:r>
        <w:rPr/>
        <w:t xml:space="preserve">, avec </w:t>
      </w:r>
      <m:oMath>
        <m:r>
          <m:rPr>
            <m:sty m:val="i"/>
          </m:rPr>
          <m:t>D</m:t>
        </m:r>
        <m:r>
          <m:rPr>
            <m:sty m:val="p"/>
          </m:rPr>
          <m:t>=</m:t>
        </m:r>
        <m:r>
          <m:rPr>
            <m:sty m:val="p"/>
          </m:rPr>
          <m:t>1</m:t>
        </m:r>
        <m:r>
          <m:rPr>
            <m:sty m:val="p"/>
          </m:rPr>
          <m:t>,</m:t>
        </m:r>
        <m:r>
          <m:rPr>
            <m:sty m:val="p"/>
          </m:rPr>
          <m:t>25</m:t>
        </m:r>
        <m:r>
          <m:rPr>
            <m:sty m:val="p"/>
          </m:rPr>
          <m:t>×</m:t>
        </m:r>
        <m:sSup>
          <m:sSupPr/>
          <m:e>
            <m:r>
              <m:rPr>
                <m:sty m:val="p"/>
              </m:rPr>
              <m:t>10</m:t>
            </m:r>
          </m:e>
          <m:sup>
            <m:r>
              <m:rPr>
                <m:sty m:val="p"/>
              </m:rPr>
              <m:t>−</m:t>
            </m:r>
            <m:r>
              <m:rPr>
                <m:sty m:val="p"/>
              </m:rPr>
              <m:t>5</m:t>
            </m:r>
          </m:sup>
        </m:sSup>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oMath>
      <w:r>
        <w:rPr/>
        <w:t xml:space="preserve">;</w:t>
      </w:r>
    </w:p>
    <w:p>
      <w:pPr>
        <w:numPr>
          <w:ilvl w:val="0"/>
          <w:numId w:val="7"/>
        </w:numPr>
        <w:spacing w:lineRule="auto"/>
      </w:pPr>
      <m:oMath>
        <m:r>
          <m:rPr>
            <m:sty m:val="i"/>
          </m:rPr>
          <m:t>S</m:t>
        </m:r>
      </m:oMath>
      <w:r>
        <w:rPr>
          <w:rFonts w:eastAsia="Georgia" w:cs="Georgia" w:ascii="Georgia" w:hAnsi="Georgia"/>
        </w:rPr>
        <w:t xml:space="preserve"> est la surface de la sphère de rayon </w:t>
      </w:r>
      <m:oMath>
        <m:r>
          <m:rPr>
            <m:sty m:val="i"/>
          </m:rPr>
          <m:t>R</m:t>
        </m:r>
        <m:r>
          <m:rPr>
            <m:sty m:val="p"/>
          </m:rPr>
          <m:t>(</m:t>
        </m:r>
        <m:r>
          <m:rPr>
            <m:sty m:val="i"/>
          </m:rPr>
          <m:t>t</m:t>
        </m:r>
        <m:r>
          <m:rPr>
            <m:sty m:val="p"/>
          </m:rPr>
          <m:t>)</m:t>
        </m:r>
      </m:oMath>
      <w:r>
        <w:rPr>
          <w:rFonts w:eastAsia="Georgia" w:cs="Georgia" w:ascii="Georgia" w:hAnsi="Georgia"/>
        </w:rPr>
        <w:t xml:space="preserve"> du front de réaction.</w:t>
      </w:r>
    </w:p>
    <w:p>
      <w:pPr>
        <w:spacing w:after="220" w:lineRule="auto"/>
      </w:pPr>
      <w:r>
        <w:rPr>
          <w:rFonts w:eastAsia="Georgia" w:cs="Georgia" w:ascii="Georgia" w:hAnsi="Georgia"/>
        </w:rPr>
        <w:t xml:space="preserve">Q19. Justifier qualitativement la loi phénoménologique liant </w:t>
      </w:r>
      <m:oMath>
        <m:sSub>
          <m:sSubPr/>
          <m:e>
            <m:r>
              <m:rPr>
                <m:sty m:val="i"/>
              </m:rPr>
              <m:t>F</m:t>
            </m:r>
          </m:e>
          <m:sub>
            <m:r>
              <m:rPr>
                <m:sty m:val="p"/>
              </m:rPr>
              <m:t>A</m:t>
            </m:r>
          </m:sub>
        </m:sSub>
      </m:oMath>
      <w:r>
        <w:rPr>
          <w:rFonts w:eastAsia="Georgia" w:cs="Georgia" w:ascii="Georgia" w:hAnsi="Georgia"/>
        </w:rPr>
        <w:t xml:space="preserve"> à </w:t>
      </w:r>
      <m:oMath>
        <m:sSub>
          <m:sSubPr/>
          <m:e>
            <m:r>
              <m:rPr>
                <m:sty m:val="i"/>
              </m:rPr>
              <m:t>k</m:t>
            </m:r>
          </m:e>
          <m:sub>
            <m:r>
              <m:rPr>
                <m:sty m:val="p"/>
              </m:rPr>
              <m:t>D</m:t>
            </m:r>
          </m:sub>
        </m:sSub>
        <m:r>
          <m:rPr>
            <m:sty m:val="p"/>
          </m:rPr>
          <m:t>,</m:t>
        </m:r>
        <m:r>
          <m:rPr>
            <m:sty m:val="i"/>
          </m:rPr>
          <m:t>S</m:t>
        </m:r>
        <m:r>
          <m:rPr>
            <m:sty m:val="p"/>
          </m:rPr>
          <m:t>,</m:t>
        </m:r>
        <m:sSub>
          <m:sSubPr/>
          <m:e>
            <m:r>
              <m:rPr>
                <m:sty m:val="i"/>
              </m:rPr>
              <m:t>C</m:t>
            </m:r>
          </m:e>
          <m:sub>
            <m:r>
              <m:rPr>
                <m:sty m:val="p"/>
              </m:rPr>
              <m:t>A</m:t>
            </m:r>
          </m:sub>
        </m:sSub>
        <m:r>
          <m:rPr>
            <m:sty m:val="p"/>
          </m:rPr>
          <m:t>,</m:t>
        </m:r>
        <m:sSub>
          <m:sSubPr/>
          <m:e>
            <m:r>
              <m:rPr>
                <m:sty m:val="i"/>
              </m:rPr>
              <m:t>C</m:t>
            </m:r>
          </m:e>
          <m:sub>
            <m:r>
              <m:rPr>
                <m:sty m:val="p"/>
              </m:rPr>
              <m:t>Af</m:t>
            </m:r>
          </m:sub>
        </m:sSub>
      </m:oMath>
      <w:r>
        <w:rPr/>
        <w:t xml:space="preserve">.</w:t>
      </w:r>
      <w:r>
        <w:rPr/>
        <w:br w:type="textWrapping"/>
      </w:r>
      <w:r>
        <w:rPr>
          <w:rFonts w:eastAsia="Georgia" w:cs="Georgia" w:ascii="Georgia" w:hAnsi="Georgia"/>
        </w:rPr>
        <w:t xml:space="preserve">La réaction de consommation du produit B par réaction avec le réactif A est d'ordre 1 par rapport à l'espèce A et d'ordre 0 par rapport à l'espèce B . La quantité de matière de A consommée par unité de temps s'écrit</w:t>
      </w:r>
    </w:p>
    <w:p>
      <w:pPr>
        <w:spacing w:after="220" w:lineRule="auto"/>
      </w:pPr>
      <m:oMathPara>
        <m:oMath>
          <m:sSub>
            <m:sSubPr/>
            <m:e>
              <m:r>
                <m:rPr>
                  <m:sty m:val="i"/>
                </m:rPr>
                <m:t>F</m:t>
              </m:r>
            </m:e>
            <m:sub>
              <m:r>
                <m:rPr>
                  <m:sty m:val="p"/>
                </m:rPr>
                <m:t>AC</m:t>
              </m:r>
            </m:sub>
          </m:sSub>
          <m:r>
            <m:rPr>
              <m:sty m:val="p"/>
            </m:rPr>
            <m:t>=</m:t>
          </m:r>
          <m:sSub>
            <m:sSubPr/>
            <m:e>
              <m:r>
                <m:rPr>
                  <m:sty m:val="i"/>
                </m:rPr>
                <m:t>k</m:t>
              </m:r>
            </m:e>
            <m:sub>
              <m:r>
                <m:rPr>
                  <m:sty m:val="p"/>
                </m:rPr>
                <m:t>C</m:t>
              </m:r>
            </m:sub>
          </m:sSub>
          <m:r>
            <m:rPr>
              <m:sty m:val="i"/>
            </m:rPr>
            <m:t>S</m:t>
          </m:r>
          <m:sSub>
            <m:sSubPr/>
            <m:e>
              <m:r>
                <m:rPr>
                  <m:sty m:val="i"/>
                </m:rPr>
                <m:t>C</m:t>
              </m:r>
            </m:e>
            <m:sub>
              <m:r>
                <m:rPr>
                  <m:sty m:val="p"/>
                </m:rPr>
                <m:t>Af</m:t>
              </m:r>
            </m:sub>
          </m:sSub>
        </m:oMath>
      </m:oMathPara>
    </w:p>
    <w:p>
      <w:pPr>
        <w:spacing w:after="220" w:lineRule="auto"/>
      </w:pPr>
      <w:r>
        <w:rPr>
          <w:rFonts w:eastAsia="Georgia" w:cs="Georgia" w:ascii="Georgia" w:hAnsi="Georgia"/>
        </w:rPr>
        <w:t xml:space="preserve">où </w:t>
      </w:r>
      <m:oMath>
        <m:sSub>
          <m:sSubPr/>
          <m:e>
            <m:r>
              <m:rPr>
                <m:sty m:val="i"/>
              </m:rPr>
              <m:t>k</m:t>
            </m:r>
          </m:e>
          <m:sub>
            <m:r>
              <m:rPr>
                <m:sty m:val="p"/>
              </m:rPr>
              <m:t>C</m:t>
            </m:r>
          </m:sub>
        </m:sSub>
      </m:oMath>
      <w:r>
        <w:rPr/>
        <w:t xml:space="preserve"> est une constante de vitesse de valeur </w:t>
      </w:r>
      <m:oMath>
        <m:sSub>
          <m:sSubPr/>
          <m:e>
            <m:r>
              <m:rPr>
                <m:sty m:val="i"/>
              </m:rPr>
              <m:t>k</m:t>
            </m:r>
          </m:e>
          <m:sub>
            <m:r>
              <m:rPr>
                <m:sty m:val="p"/>
              </m:rPr>
              <m:t>C</m:t>
            </m:r>
          </m:sub>
        </m:sSub>
        <m:r>
          <m:rPr>
            <m:sty m:val="p"/>
          </m:rPr>
          <m:t>=</m:t>
        </m:r>
        <m:r>
          <m:rPr>
            <m:sty m:val="p"/>
          </m:rPr>
          <m:t>1</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p>
    <w:p>
      <w:pPr>
        <w:spacing w:after="220" w:lineRule="auto"/>
      </w:pPr>
      <w:r>
        <w:rPr/>
        <w:t xml:space="preserve">Q20. On admet dans la suite que </w:t>
      </w:r>
      <m:oMath>
        <m:sSub>
          <m:sSubPr/>
          <m:e>
            <m:r>
              <m:rPr>
                <m:sty m:val="i"/>
              </m:rPr>
              <m:t>F</m:t>
            </m:r>
          </m:e>
          <m:sub>
            <m:r>
              <m:rPr>
                <m:sty m:val="p"/>
              </m:rPr>
              <m:t>A</m:t>
            </m:r>
          </m:sub>
        </m:sSub>
        <m:r>
          <m:rPr>
            <m:sty m:val="p"/>
          </m:rPr>
          <m:t>=</m:t>
        </m:r>
        <m:sSub>
          <m:sSubPr/>
          <m:e>
            <m:r>
              <m:rPr>
                <m:sty m:val="i"/>
              </m:rPr>
              <m:t>F</m:t>
            </m:r>
          </m:e>
          <m:sub>
            <m:r>
              <m:rPr>
                <m:sty m:val="p"/>
              </m:rPr>
              <m:t>AC</m:t>
            </m:r>
          </m:sub>
        </m:sSub>
      </m:oMath>
      <w:r>
        <w:rPr>
          <w:rFonts w:eastAsia="Georgia" w:cs="Georgia" w:ascii="Georgia" w:hAnsi="Georgia"/>
        </w:rPr>
        <w:t xml:space="preserve">. Interpréter qualitativement cette relation. Montrer que </w:t>
      </w:r>
      <m:oMath>
        <m:sSub>
          <m:sSubPr/>
          <m:e>
            <m:r>
              <m:rPr>
                <m:sty m:val="i"/>
              </m:rPr>
              <m:t>F</m:t>
            </m:r>
          </m:e>
          <m:sub>
            <m:r>
              <m:rPr>
                <m:sty m:val="p"/>
              </m:rPr>
              <m:t>A</m:t>
            </m:r>
          </m:sub>
        </m:sSub>
        <m:r>
          <m:rPr>
            <m:sty m:val="p"/>
          </m:rPr>
          <m:t>=</m:t>
        </m:r>
        <m:r>
          <m:rPr>
            <m:sty m:val="p"/>
          </m:rPr>
          <m:t>−</m:t>
        </m:r>
        <m:f>
          <m:fPr>
            <m:ctrlPr>
              <w:rPr>
                <w:rFonts w:ascii="Cambria Math" w:hAnsi="Cambria Math"/>
              </w:rPr>
            </m:ctrlPr>
          </m:fPr>
          <m:num>
            <m:r>
              <m:rPr>
                <m:sty m:val="p"/>
              </m:rPr>
              <m:t>1</m:t>
            </m:r>
          </m:num>
          <m:den>
            <m:r>
              <m:rPr>
                <m:sty m:val="i"/>
              </m:rPr>
              <m:t>ν</m:t>
            </m:r>
          </m:den>
        </m:f>
        <m:f>
          <m:fPr>
            <m:ctrlPr>
              <w:rPr>
                <w:rFonts w:ascii="Cambria Math" w:hAnsi="Cambria Math"/>
              </w:rPr>
            </m:ctrlPr>
          </m:fPr>
          <m:num>
            <m:r>
              <m:rPr>
                <m:nor/>
              </m:rPr>
              <m:t xml:space="preserve"> </m:t>
            </m:r>
            <m:r>
              <m:rPr>
                <m:sty m:val="p"/>
              </m:rPr>
              <m:t>d</m:t>
            </m:r>
            <m:sSub>
              <m:sSubPr/>
              <m:e>
                <m:r>
                  <m:rPr>
                    <m:sty m:val="i"/>
                  </m:rPr>
                  <m:t>N</m:t>
                </m:r>
              </m:e>
              <m:sub>
                <m:r>
                  <m:rPr>
                    <m:sty m:val="p"/>
                  </m:rPr>
                  <m:t>B</m:t>
                </m:r>
              </m:sub>
            </m:sSub>
          </m:num>
          <m:den>
            <m:r>
              <m:rPr>
                <m:sty m:val="p"/>
              </m:rPr>
              <m:t>d</m:t>
            </m:r>
            <m:r>
              <m:rPr>
                <m:sty m:val="i"/>
              </m:rPr>
              <m:t>t</m:t>
            </m:r>
          </m:den>
        </m:f>
      </m:oMath>
      <w:r>
        <w:rPr>
          <w:rFonts w:eastAsia="Georgia" w:cs="Georgia" w:ascii="Georgia" w:hAnsi="Georgia"/>
        </w:rPr>
        <w:t xml:space="preserve">, où </w:t>
      </w:r>
      <m:oMath>
        <m:sSub>
          <m:sSubPr/>
          <m:e>
            <m:r>
              <m:rPr>
                <m:sty m:val="i"/>
              </m:rPr>
              <m:t>N</m:t>
            </m:r>
          </m:e>
          <m:sub>
            <m:r>
              <m:rPr>
                <m:sty m:val="p"/>
              </m:rPr>
              <m:t>B</m:t>
            </m:r>
          </m:sub>
        </m:sSub>
      </m:oMath>
      <w:r>
        <w:rPr>
          <w:rFonts w:eastAsia="Georgia" w:cs="Georgia" w:ascii="Georgia" w:hAnsi="Georgia"/>
        </w:rPr>
        <w:t xml:space="preserve"> est la quantité de matière du solide B .</w:t>
      </w:r>
    </w:p>
    <w:p>
      <w:pPr>
        <w:spacing w:after="220" w:lineRule="auto"/>
      </w:pPr>
      <w:r>
        <w:rPr/>
        <w:t xml:space="preserve">Q21. Exprimer le flux </w:t>
      </w:r>
      <m:oMath>
        <m:sSub>
          <m:sSubPr/>
          <m:e>
            <m:r>
              <m:rPr>
                <m:sty m:val="i"/>
              </m:rPr>
              <m:t>F</m:t>
            </m:r>
          </m:e>
          <m:sub>
            <m:r>
              <m:rPr>
                <m:sty m:val="p"/>
              </m:rPr>
              <m:t>A</m:t>
            </m:r>
          </m:sub>
        </m:sSub>
      </m:oMath>
      <w:r>
        <w:rPr/>
        <w:t xml:space="preserve"> sous la forme </w:t>
      </w:r>
      <m:oMath>
        <m:sSub>
          <m:sSubPr/>
          <m:e>
            <m:r>
              <m:rPr>
                <m:sty m:val="i"/>
              </m:rPr>
              <m:t>F</m:t>
            </m:r>
          </m:e>
          <m:sub>
            <m:r>
              <m:rPr>
                <m:sty m:val="p"/>
              </m:rPr>
              <m:t>A</m:t>
            </m:r>
          </m:sub>
        </m:sSub>
        <m:r>
          <m:rPr>
            <m:sty m:val="p"/>
          </m:rPr>
          <m:t>=</m:t>
        </m:r>
        <m:f>
          <m:fPr>
            <m:ctrlPr>
              <w:rPr>
                <w:rFonts w:ascii="Cambria Math" w:hAnsi="Cambria Math"/>
              </w:rPr>
            </m:ctrlPr>
          </m:fPr>
          <m:num>
            <m:sSub>
              <m:sSubPr/>
              <m:e>
                <m:r>
                  <m:rPr>
                    <m:sty m:val="i"/>
                  </m:rPr>
                  <m:t>C</m:t>
                </m:r>
              </m:e>
              <m:sub>
                <m:r>
                  <m:rPr>
                    <m:sty m:val="p"/>
                  </m:rPr>
                  <m:t>A</m:t>
                </m:r>
              </m:sub>
            </m:sSub>
          </m:num>
          <m:den>
            <m:sSub>
              <m:sSubPr/>
              <m:e>
                <m:r>
                  <m:rPr>
                    <m:sty m:val="i"/>
                  </m:rPr>
                  <m:t>R</m:t>
                </m:r>
              </m:e>
              <m:sub>
                <m:r>
                  <m:rPr>
                    <m:nor/>
                  </m:rPr>
                  <m:t>éq </m:t>
                </m:r>
              </m:sub>
            </m:sSub>
          </m:den>
        </m:f>
      </m:oMath>
      <w:r>
        <w:rPr/>
        <w:t xml:space="preserve"> avec </w:t>
      </w:r>
      <m:oMath>
        <m:sSub>
          <m:sSubPr/>
          <m:e>
            <m:r>
              <m:rPr>
                <m:sty m:val="i"/>
              </m:rPr>
              <m:t>R</m:t>
            </m:r>
          </m:e>
          <m:sub>
            <m:r>
              <m:rPr>
                <m:nor/>
              </m:rPr>
              <m:t>éq </m:t>
            </m:r>
          </m:sub>
        </m:sSub>
      </m:oMath>
      <w:r>
        <w:rPr>
          <w:rFonts w:eastAsia="Georgia" w:cs="Georgia" w:ascii="Georgia" w:hAnsi="Georgia"/>
        </w:rPr>
        <w:t xml:space="preserve"> une « résistance de diffusion» que l'on exprimera en fonction de </w:t>
      </w:r>
      <m:oMath>
        <m:r>
          <m:rPr>
            <m:sty m:val="i"/>
          </m:rPr>
          <m:t>D</m:t>
        </m:r>
        <m:r>
          <m:rPr>
            <m:sty m:val="p"/>
          </m:rPr>
          <m:t>,</m:t>
        </m:r>
        <m:sSub>
          <m:sSubPr/>
          <m:e>
            <m:r>
              <m:rPr>
                <m:sty m:val="i"/>
              </m:rPr>
              <m:t>k</m:t>
            </m:r>
          </m:e>
          <m:sub>
            <m:r>
              <m:rPr>
                <m:sty m:val="p"/>
              </m:rPr>
              <m:t>C</m:t>
            </m:r>
          </m:sub>
        </m:sSub>
      </m:oMath>
      <w:r>
        <w:rPr/>
        <w:t xml:space="preserve"> et </w:t>
      </w:r>
      <m:oMath>
        <m:r>
          <m:rPr>
            <m:sty m:val="i"/>
          </m:rPr>
          <m:t>R</m:t>
        </m:r>
      </m:oMath>
      <w:r>
        <w:rPr/>
        <w:t xml:space="preserve">.</w:t>
      </w:r>
    </w:p>
    <w:p>
      <w:pPr>
        <w:spacing w:after="220" w:lineRule="auto"/>
      </w:pPr>
      <w:r>
        <w:rPr/>
        <w:t xml:space="preserve">Q22. Soit </w:t>
      </w:r>
      <m:oMath>
        <m:sSub>
          <m:sSubPr/>
          <m:e>
            <m:r>
              <m:rPr>
                <m:sty m:val="i"/>
              </m:rPr>
              <m:t>N</m:t>
            </m:r>
          </m:e>
          <m:sub>
            <m:r>
              <m:rPr>
                <m:sty m:val="p"/>
              </m:rPr>
              <m:t>B</m:t>
            </m:r>
          </m:sub>
        </m:sSub>
        <m:r>
          <m:rPr>
            <m:sty m:val="p"/>
          </m:rPr>
          <m:t>(</m:t>
        </m:r>
        <m:r>
          <m:rPr>
            <m:sty m:val="i"/>
          </m:rPr>
          <m:t>R</m:t>
        </m:r>
        <m:r>
          <m:rPr>
            <m:sty m:val="p"/>
          </m:rPr>
          <m:t>)</m:t>
        </m:r>
      </m:oMath>
      <w:r>
        <w:rPr>
          <w:rFonts w:eastAsia="Georgia" w:cs="Georgia" w:ascii="Georgia" w:hAnsi="Georgia"/>
        </w:rPr>
        <w:t xml:space="preserve"> la quantité de matière du solide B comprise dans la boule de rayon </w:t>
      </w:r>
      <m:oMath>
        <m:r>
          <m:rPr>
            <m:sty m:val="i"/>
          </m:rPr>
          <m:t>R</m:t>
        </m:r>
      </m:oMath>
      <w:r>
        <w:rPr/>
        <w:t xml:space="preserve">. Exprimer </w:t>
      </w:r>
      <m:oMath>
        <m:sSub>
          <m:sSubPr/>
          <m:e>
            <m:r>
              <m:rPr>
                <m:sty m:val="i"/>
              </m:rPr>
              <m:t>N</m:t>
            </m:r>
          </m:e>
          <m:sub>
            <m:r>
              <m:rPr>
                <m:sty m:val="p"/>
              </m:rPr>
              <m:t>B</m:t>
            </m:r>
          </m:sub>
        </m:sSub>
        <m:r>
          <m:rPr>
            <m:sty m:val="p"/>
          </m:rPr>
          <m:t>(</m:t>
        </m:r>
        <m:r>
          <m:rPr>
            <m:sty m:val="i"/>
          </m:rPr>
          <m:t>R</m:t>
        </m:r>
        <m:r>
          <m:rPr>
            <m:sty m:val="p"/>
          </m:rPr>
          <m:t>)</m:t>
        </m:r>
      </m:oMath>
      <w:r>
        <w:rPr/>
        <w:t xml:space="preserve"> en fonction de </w:t>
      </w:r>
      <m:oMath>
        <m:sSub>
          <m:sSubPr/>
          <m:e>
            <m:r>
              <m:rPr>
                <m:sty m:val="i"/>
              </m:rPr>
              <m:t>ρ</m:t>
            </m:r>
          </m:e>
          <m:sub>
            <m:r>
              <m:rPr>
                <m:sty m:val="p"/>
              </m:rPr>
              <m:t>B</m:t>
            </m:r>
          </m:sub>
        </m:sSub>
        <m:r>
          <m:rPr>
            <m:sty m:val="p"/>
          </m:rPr>
          <m:t>,</m:t>
        </m:r>
        <m:sSub>
          <m:sSubPr/>
          <m:e>
            <m:r>
              <m:rPr>
                <m:sty m:val="i"/>
              </m:rPr>
              <m:t>M</m:t>
            </m:r>
          </m:e>
          <m:sub>
            <m:r>
              <m:rPr>
                <m:sty m:val="p"/>
              </m:rPr>
              <m:t>B</m:t>
            </m:r>
          </m:sub>
        </m:sSub>
      </m:oMath>
      <w:r>
        <w:rPr/>
        <w:t xml:space="preserve"> et </w:t>
      </w:r>
      <m:oMath>
        <m:r>
          <m:rPr>
            <m:sty m:val="i"/>
          </m:rPr>
          <m:t>R</m:t>
        </m:r>
      </m:oMath>
      <w:r>
        <w:rPr/>
        <w:t xml:space="preserve">, avec </w:t>
      </w:r>
      <m:oMath>
        <m:sSub>
          <m:sSubPr/>
          <m:e>
            <m:r>
              <m:rPr>
                <m:sty m:val="i"/>
              </m:rPr>
              <m:t>ρ</m:t>
            </m:r>
          </m:e>
          <m:sub>
            <m:r>
              <m:rPr>
                <m:sty m:val="p"/>
              </m:rPr>
              <m:t>B</m:t>
            </m:r>
          </m:sub>
        </m:sSub>
      </m:oMath>
      <w:r>
        <w:rPr/>
        <w:t xml:space="preserve"> la masse volumique de B et </w:t>
      </w:r>
      <m:oMath>
        <m:sSub>
          <m:sSubPr/>
          <m:e>
            <m:r>
              <m:rPr>
                <m:sty m:val="i"/>
              </m:rPr>
              <m:t>M</m:t>
            </m:r>
          </m:e>
          <m:sub>
            <m:r>
              <m:rPr>
                <m:sty m:val="p"/>
              </m:rPr>
              <m:t>B</m:t>
            </m:r>
          </m:sub>
        </m:sSub>
      </m:oMath>
      <w:r>
        <w:rPr/>
        <w:t xml:space="preserve"> sa masse molaire.</w:t>
      </w:r>
    </w:p>
    <w:p>
      <w:pPr>
        <w:spacing w:after="220" w:lineRule="auto"/>
      </w:pPr>
      <w:r>
        <w:rPr>
          <w:rFonts w:eastAsia="Georgia" w:cs="Georgia" w:ascii="Georgia" w:hAnsi="Georgia"/>
        </w:rPr>
        <w:t xml:space="preserve">Q23. Déduire des deux questions précédentes une équation différentielle à variables séparables portant sur l'évolution du rayon </w:t>
      </w:r>
      <m:oMath>
        <m:r>
          <m:rPr>
            <m:sty m:val="i"/>
          </m:rPr>
          <m:t>R</m:t>
        </m:r>
      </m:oMath>
      <w:r>
        <w:rPr>
          <w:rFonts w:eastAsia="Georgia" w:cs="Georgia" w:ascii="Georgia" w:hAnsi="Georgia"/>
        </w:rPr>
        <w:t xml:space="preserve"> de la sphère. Puis établir la relation suivante :</w:t>
      </w:r>
    </w:p>
    <w:p>
      <w:pPr>
        <w:spacing w:after="220" w:lineRule="auto"/>
      </w:pPr>
      <m:oMathPara>
        <m:oMath>
          <m:r>
            <m:rPr>
              <m:sty m:val="i"/>
            </m:rPr>
            <m:t>t</m:t>
          </m:r>
          <m:r>
            <m:rPr>
              <m:sty m:val="p"/>
            </m:rPr>
            <m:t>=</m:t>
          </m:r>
          <m:sSub>
            <m:sSubPr/>
            <m:e>
              <m:r>
                <m:rPr>
                  <m:sty m:val="i"/>
                </m:rPr>
                <m:t>τ</m:t>
              </m:r>
            </m:e>
            <m:sub>
              <m:r>
                <m:rPr>
                  <m:sty m:val="p"/>
                </m:rPr>
                <m:t>film</m:t>
              </m:r>
            </m:sub>
          </m:sSub>
          <m:d>
            <m:dPr>
              <m:begChr m:val="("/>
              <m:endChr m:val=")"/>
              <m:ctrlPr>
                <w:rPr>
                  <w:rFonts w:ascii="Cambria Math" w:hAnsi="Cambria Math"/>
                </w:rPr>
              </m:ctrlPr>
            </m:dPr>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R</m:t>
                          </m:r>
                        </m:num>
                        <m:den>
                          <m:sSub>
                            <m:sSubPr/>
                            <m:e>
                              <m:r>
                                <m:rPr>
                                  <m:sty m:val="i"/>
                                </m:rPr>
                                <m:t>R</m:t>
                              </m:r>
                            </m:e>
                            <m:sub>
                              <m:r>
                                <m:rPr>
                                  <m:sty m:val="p"/>
                                </m:rPr>
                                <m:t>0</m:t>
                              </m:r>
                            </m:sub>
                          </m:sSub>
                        </m:den>
                      </m:f>
                    </m:e>
                  </m:d>
                </m:e>
                <m:sup>
                  <m:r>
                    <m:rPr>
                      <m:sty m:val="p"/>
                    </m:rPr>
                    <m:t>2</m:t>
                  </m:r>
                </m:sup>
              </m:sSup>
            </m:e>
          </m:d>
          <m:r>
            <m:rPr>
              <m:sty m:val="p"/>
            </m:rPr>
            <m:t>+</m:t>
          </m:r>
          <m:sSub>
            <m:sSubPr/>
            <m:e>
              <m:r>
                <m:rPr>
                  <m:sty m:val="i"/>
                </m:rPr>
                <m:t>τ</m:t>
              </m:r>
            </m:e>
            <m:sub>
              <m:r>
                <m:rPr>
                  <m:sty m:val="p"/>
                </m:rPr>
                <m:t>cin</m:t>
              </m:r>
            </m:sub>
          </m:sSub>
          <m:d>
            <m:dPr>
              <m:begChr m:val="("/>
              <m:endChr m:val=")"/>
              <m:ctrlPr>
                <w:rPr>
                  <w:rFonts w:ascii="Cambria Math" w:hAnsi="Cambria Math"/>
                </w:rPr>
              </m:ctrlPr>
            </m:dPr>
            <m:e>
              <m:r>
                <m:rPr>
                  <m:sty m:val="p"/>
                </m:rPr>
                <m:t>1</m:t>
              </m:r>
              <m:r>
                <m:rPr>
                  <m:sty m:val="p"/>
                </m:rPr>
                <m:t>−</m:t>
              </m:r>
              <m:d>
                <m:dPr>
                  <m:begChr m:val="("/>
                  <m:endChr m:val=")"/>
                  <m:ctrlPr>
                    <w:rPr>
                      <w:rFonts w:ascii="Cambria Math" w:hAnsi="Cambria Math"/>
                    </w:rPr>
                  </m:ctrlPr>
                </m:dPr>
                <m:e>
                  <m:f>
                    <m:fPr>
                      <m:ctrlPr>
                        <w:rPr>
                          <w:rFonts w:ascii="Cambria Math" w:hAnsi="Cambria Math"/>
                        </w:rPr>
                      </m:ctrlPr>
                    </m:fPr>
                    <m:num>
                      <m:r>
                        <m:rPr>
                          <m:sty m:val="i"/>
                        </m:rPr>
                        <m:t>R</m:t>
                      </m:r>
                    </m:num>
                    <m:den>
                      <m:sSub>
                        <m:sSubPr/>
                        <m:e>
                          <m:r>
                            <m:rPr>
                              <m:sty m:val="i"/>
                            </m:rPr>
                            <m:t>R</m:t>
                          </m:r>
                        </m:e>
                        <m:sub>
                          <m:r>
                            <m:rPr>
                              <m:sty m:val="p"/>
                            </m:rPr>
                            <m:t>0</m:t>
                          </m:r>
                        </m:sub>
                      </m:sSub>
                    </m:den>
                  </m:f>
                </m:e>
              </m:d>
            </m:e>
          </m:d>
        </m:oMath>
      </m:oMathPara>
    </w:p>
    <w:p>
      <w:pPr>
        <w:spacing w:after="220" w:lineRule="auto"/>
      </w:pPr>
      <w:r>
        <w:rPr/>
        <w:t xml:space="preserve">On exprimera:</w:t>
      </w:r>
    </w:p>
    <w:p>
      <w:pPr>
        <w:numPr>
          <w:ilvl w:val="0"/>
          <w:numId w:val="8"/>
        </w:numPr>
        <w:spacing w:lineRule="auto"/>
      </w:pPr>
      <m:oMath>
        <m:sSub>
          <m:sSubPr/>
          <m:e>
            <m:r>
              <m:rPr>
                <m:sty m:val="i"/>
              </m:rPr>
              <m:t>τ</m:t>
            </m:r>
          </m:e>
          <m:sub>
            <m:r>
              <m:rPr>
                <m:nor/>
              </m:rPr>
              <m:t>film </m:t>
            </m:r>
          </m:sub>
        </m:sSub>
      </m:oMath>
      <w:r>
        <w:rPr>
          <w:rFonts w:eastAsia="Georgia" w:cs="Georgia" w:ascii="Georgia" w:hAnsi="Georgia"/>
        </w:rPr>
        <w:t xml:space="preserve"> le temps caractéristique de transport dans la couche externe limite;</w:t>
      </w:r>
    </w:p>
    <w:p>
      <w:pPr>
        <w:numPr>
          <w:ilvl w:val="0"/>
          <w:numId w:val="8"/>
        </w:numPr>
        <w:spacing w:lineRule="auto"/>
      </w:pPr>
      <m:oMath>
        <m:sSub>
          <m:sSubPr/>
          <m:e>
            <m:r>
              <m:rPr>
                <m:sty m:val="i"/>
              </m:rPr>
              <m:t>τ</m:t>
            </m:r>
          </m:e>
          <m:sub>
            <m:r>
              <m:rPr>
                <m:nor/>
              </m:rPr>
              <m:t>cin </m:t>
            </m:r>
          </m:sub>
        </m:sSub>
      </m:oMath>
      <w:r>
        <w:rPr>
          <w:rFonts w:eastAsia="Georgia" w:cs="Georgia" w:ascii="Georgia" w:hAnsi="Georgia"/>
        </w:rPr>
        <w:t xml:space="preserve"> le temps caractéristique de consommation par la réaction chimique; en fonction de </w:t>
      </w:r>
      <m:oMath>
        <m:sSub>
          <m:sSubPr/>
          <m:e>
            <m:r>
              <m:rPr>
                <m:sty m:val="i"/>
              </m:rPr>
              <m:t>ρ</m:t>
            </m:r>
          </m:e>
          <m:sub>
            <m:r>
              <m:rPr>
                <m:sty m:val="p"/>
              </m:rPr>
              <m:t>B</m:t>
            </m:r>
          </m:sub>
        </m:sSub>
        <m:r>
          <m:rPr>
            <m:sty m:val="p"/>
          </m:rPr>
          <m:t>,</m:t>
        </m:r>
        <m:sSub>
          <m:sSubPr/>
          <m:e>
            <m:r>
              <m:rPr>
                <m:sty m:val="i"/>
              </m:rPr>
              <m:t>M</m:t>
            </m:r>
          </m:e>
          <m:sub>
            <m:r>
              <m:rPr>
                <m:sty m:val="p"/>
              </m:rPr>
              <m:t>B</m:t>
            </m:r>
          </m:sub>
        </m:sSub>
        <m:r>
          <m:rPr>
            <m:sty m:val="p"/>
          </m:rPr>
          <m:t>,</m:t>
        </m:r>
        <m:sSub>
          <m:sSubPr/>
          <m:e>
            <m:r>
              <m:rPr>
                <m:sty m:val="i"/>
              </m:rPr>
              <m:t>R</m:t>
            </m:r>
          </m:e>
          <m:sub>
            <m:r>
              <m:rPr>
                <m:sty m:val="p"/>
              </m:rPr>
              <m:t>0</m:t>
            </m:r>
          </m:sub>
        </m:sSub>
        <m:r>
          <m:rPr>
            <m:sty m:val="p"/>
          </m:rPr>
          <m:t>,</m:t>
        </m:r>
        <m:sSub>
          <m:sSubPr/>
          <m:e>
            <m:r>
              <m:rPr>
                <m:sty m:val="i"/>
              </m:rPr>
              <m:t>C</m:t>
            </m:r>
          </m:e>
          <m:sub>
            <m:r>
              <m:rPr>
                <m:sty m:val="p"/>
              </m:rPr>
              <m:t>A</m:t>
            </m:r>
          </m:sub>
        </m:sSub>
        <m:r>
          <m:rPr>
            <m:sty m:val="p"/>
          </m:rPr>
          <m:t>,</m:t>
        </m:r>
        <m:r>
          <m:rPr>
            <m:sty m:val="i"/>
          </m:rPr>
          <m:t>D</m:t>
        </m:r>
        <m:r>
          <m:rPr>
            <m:sty m:val="p"/>
          </m:rPr>
          <m:t>,</m:t>
        </m:r>
        <m:r>
          <m:rPr>
            <m:sty m:val="i"/>
          </m:rPr>
          <m:t>ν</m:t>
        </m:r>
      </m:oMath>
      <w:r>
        <w:rPr/>
        <w:t xml:space="preserve"> et </w:t>
      </w:r>
      <m:oMath>
        <m:sSub>
          <m:sSubPr/>
          <m:e>
            <m:r>
              <m:rPr>
                <m:sty m:val="i"/>
              </m:rPr>
              <m:t>k</m:t>
            </m:r>
          </m:e>
          <m:sub>
            <m:r>
              <m:rPr>
                <m:sty m:val="p"/>
              </m:rPr>
              <m:t>C</m:t>
            </m:r>
          </m:sub>
        </m:sSub>
      </m:oMath>
      <w:r>
        <w:rPr/>
        <w:t xml:space="preserve">.</w:t>
      </w:r>
    </w:p>
    <w:p>
      <w:pPr>
        <w:spacing w:after="220" w:lineRule="auto"/>
      </w:pPr>
      <w:r>
        <w:rPr>
          <w:rFonts w:eastAsia="Georgia" w:cs="Georgia" w:ascii="Georgia" w:hAnsi="Georgia"/>
        </w:rPr>
        <w:t xml:space="preserve">Q24. Calculer numériquement le rapport </w:t>
      </w:r>
      <m:oMath>
        <m:f>
          <m:fPr>
            <m:ctrlPr>
              <w:rPr>
                <w:rFonts w:ascii="Cambria Math" w:hAnsi="Cambria Math"/>
              </w:rPr>
            </m:ctrlPr>
          </m:fPr>
          <m:num>
            <m:sSub>
              <m:sSubPr/>
              <m:e>
                <m:r>
                  <m:rPr>
                    <m:sty m:val="i"/>
                  </m:rPr>
                  <m:t>τ</m:t>
                </m:r>
              </m:e>
              <m:sub>
                <m:r>
                  <m:rPr>
                    <m:nor/>
                  </m:rPr>
                  <m:t>cin </m:t>
                </m:r>
              </m:sub>
            </m:sSub>
          </m:num>
          <m:den>
            <m:sSub>
              <m:sSubPr/>
              <m:e>
                <m:r>
                  <m:rPr>
                    <m:sty m:val="i"/>
                  </m:rPr>
                  <m:t>τ</m:t>
                </m:r>
              </m:e>
              <m:sub>
                <m:r>
                  <m:rPr>
                    <m:nor/>
                  </m:rPr>
                  <m:t>film </m:t>
                </m:r>
              </m:sub>
            </m:sSub>
          </m:den>
        </m:f>
      </m:oMath>
      <w:r>
        <w:rPr>
          <w:rFonts w:eastAsia="Georgia" w:cs="Georgia" w:ascii="Georgia" w:hAnsi="Georgia"/>
        </w:rPr>
        <w:t xml:space="preserve">. S'agit-il d'un contrôle cinétique ou convectif?</w:t>
      </w:r>
    </w:p>
    <w:p>
      <w:pPr>
        <w:spacing w:line="271" w:before="330" w:lineRule="auto"/>
      </w:pPr>
      <w:r>
        <w:rPr>
          <w:rFonts w:eastAsia="Georgia" w:cs="Georgia" w:ascii="Georgia" w:hAnsi="Georgia"/>
          <w:b/>
          <w:sz w:val="42"/>
        </w:rPr>
        <w:t xml:space="preserve">II. 2 - La précipitation sélective</w:t>
      </w:r>
    </w:p>
    <w:p>
      <w:pPr>
        <w:spacing w:after="220" w:lineRule="auto"/>
      </w:pPr>
      <w:r>
        <w:rPr>
          <w:rFonts w:eastAsia="Georgia" w:cs="Georgia" w:ascii="Georgia" w:hAnsi="Georgia"/>
        </w:rPr>
        <w:t xml:space="preserve">On souhaite séparer les ions cobalt(II) </w:t>
      </w:r>
      <m:oMath>
        <m:sSup>
          <m:sSupPr/>
          <m:e>
            <m:r>
              <m:rPr>
                <m:sty m:val="p"/>
              </m:rPr>
              <m:t>Co</m:t>
            </m:r>
          </m:e>
          <m:sup>
            <m:r>
              <m:rPr>
                <m:sty m:val="p"/>
              </m:rPr>
              <m:t>2</m:t>
            </m:r>
            <m:r>
              <m:rPr>
                <m:sty m:val="p"/>
              </m:rPr>
              <m:t>+</m:t>
            </m:r>
          </m:sup>
        </m:sSup>
      </m:oMath>
      <w:r>
        <w:rPr>
          <w:rFonts w:eastAsia="Georgia" w:cs="Georgia" w:ascii="Georgia" w:hAnsi="Georgia"/>
        </w:rPr>
        <w:t xml:space="preserve"> et manganèse(II) </w:t>
      </w:r>
      <m:oMath>
        <m:sSup>
          <m:sSupPr/>
          <m:e>
            <m:r>
              <m:rPr>
                <m:sty m:val="p"/>
              </m:rPr>
              <m:t>Mn</m:t>
            </m:r>
          </m:e>
          <m:sup>
            <m:r>
              <m:rPr>
                <m:sty m:val="p"/>
              </m:rPr>
              <m:t>2</m:t>
            </m:r>
            <m:r>
              <m:rPr>
                <m:sty m:val="p"/>
              </m:rPr>
              <m:t>+</m:t>
            </m:r>
          </m:sup>
        </m:sSup>
      </m:oMath>
      <w:r>
        <w:rPr>
          <w:rFonts w:eastAsia="Georgia" w:cs="Georgia" w:ascii="Georgia" w:hAnsi="Georgia"/>
        </w:rPr>
        <w:t xml:space="preserve"> en réalisant une précipitation sélective des hydroxydes métalliques.</w:t>
      </w:r>
    </w:p>
    <w:p>
      <w:pPr>
        <w:spacing w:after="220" w:lineRule="auto"/>
      </w:pPr>
      <w:r>
        <w:rPr>
          <w:rFonts w:eastAsia="Georgia" w:cs="Georgia" w:ascii="Georgia" w:hAnsi="Georgia"/>
        </w:rPr>
        <w:t xml:space="preserve">Q25. Lorsqu'on dissout dans l'eau de l'hydroxyde de manganèse(II) </w:t>
      </w:r>
      <m:oMath>
        <m:r>
          <m:rPr>
            <m:sty m:val="p"/>
          </m:rPr>
          <m:t>Mn</m:t>
        </m:r>
        <m:r>
          <m:rPr>
            <m:sty m:val="p"/>
          </m:rPr>
          <m:t>(</m:t>
        </m:r>
        <m:r>
          <m:rPr>
            <m:sty m:val="p"/>
          </m:rPr>
          <m:t>OH</m:t>
        </m:r>
        <m:sSub>
          <m:sSubPr/>
          <m:e>
            <m:r>
              <m:rPr>
                <m:sty m:val="p"/>
              </m:rPr>
              <m:t>)</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jusqu'à saturation, la solution possède un pH égal à 9,9 . Montrer que le produit de solubilité de l'hydroxyde de manganèse(II) est égal à </w:t>
      </w:r>
      <m:oMath>
        <m:sSub>
          <m:sSubPr/>
          <m:e>
            <m:r>
              <m:rPr>
                <m:sty m:val="p"/>
              </m:rPr>
              <m:t>pK</m:t>
            </m:r>
          </m:e>
          <m:sub>
            <m:r>
              <m:rPr>
                <m:sty m:val="p"/>
              </m:rPr>
              <m:t>s</m:t>
            </m:r>
          </m:sub>
        </m:sSub>
        <m:r>
          <m:rPr>
            <m:sty m:val="p"/>
          </m:rPr>
          <m:t>=</m:t>
        </m:r>
        <m:r>
          <m:rPr>
            <m:sty m:val="p"/>
          </m:rPr>
          <m:t>12</m:t>
        </m:r>
        <m:r>
          <m:rPr>
            <m:sty m:val="p"/>
          </m:rPr>
          <m:t>,</m:t>
        </m:r>
        <m:r>
          <m:rPr>
            <m:sty m:val="p"/>
          </m:rPr>
          <m:t>6</m:t>
        </m:r>
      </m:oMath>
      <w:r>
        <w:rPr/>
        <w:t xml:space="preserve">.</w:t>
      </w:r>
    </w:p>
    <w:p>
      <w:pPr>
        <w:spacing w:after="220" w:lineRule="auto"/>
      </w:pPr>
      <w:r>
        <w:rPr/>
        <w:t xml:space="preserve">On dispose d'une solution contenant initialement des ions cobalt(II) </w:t>
      </w:r>
      <m:oMath>
        <m:sSup>
          <m:sSupPr/>
          <m:e>
            <m:r>
              <m:rPr>
                <m:sty m:val="p"/>
              </m:rPr>
              <m:t>Co</m:t>
            </m:r>
          </m:e>
          <m:sup>
            <m:r>
              <m:rPr>
                <m:sty m:val="p"/>
              </m:rPr>
              <m:t>2</m:t>
            </m:r>
            <m:r>
              <m:rPr>
                <m:sty m:val="p"/>
              </m:rPr>
              <m:t>+</m:t>
            </m:r>
          </m:sup>
        </m:sSup>
      </m:oMath>
      <w:r>
        <w:rPr>
          <w:rFonts w:eastAsia="Georgia" w:cs="Georgia" w:ascii="Georgia" w:hAnsi="Georgia"/>
        </w:rPr>
        <w:t xml:space="preserve"> à la concentration </w:t>
      </w:r>
      <m:oMath>
        <m:sSub>
          <m:sSubPr/>
          <m:e>
            <m:r>
              <m:rPr>
                <m:sty m:val="i"/>
              </m:rPr>
              <m:t>C</m:t>
            </m:r>
          </m:e>
          <m:sub>
            <m:r>
              <m:rPr>
                <m:sty m:val="p"/>
              </m:rPr>
              <m:t>0</m:t>
            </m:r>
          </m:sub>
        </m:sSub>
        <m:r>
          <m:rPr>
            <m:sty m:val="p"/>
          </m:rPr>
          <m:t>=</m:t>
        </m:r>
        <m:r>
          <m:rPr>
            <m:sty m:val="p"/>
          </m:rPr>
          <m:t>0</m:t>
        </m:r>
        <m:r>
          <m:rPr>
            <m:sty m:val="p"/>
          </m:rPr>
          <m:t>,</m:t>
        </m:r>
        <m:r>
          <m:rPr>
            <m:sty m:val="p"/>
          </m:rPr>
          <m:t>069</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et des ions manganèse(II) </w:t>
      </w:r>
      <m:oMath>
        <m:sSup>
          <m:sSupPr/>
          <m:e>
            <m:r>
              <m:rPr>
                <m:sty m:val="p"/>
              </m:rPr>
              <m:t>Mn</m:t>
            </m:r>
          </m:e>
          <m:sup>
            <m:r>
              <m:rPr>
                <m:sty m:val="p"/>
              </m:rPr>
              <m:t>2</m:t>
            </m:r>
            <m:r>
              <m:rPr>
                <m:sty m:val="p"/>
              </m:rPr>
              <m:t>+</m:t>
            </m:r>
          </m:sup>
        </m:sSup>
      </m:oMath>
      <w:r>
        <w:rPr>
          <w:rFonts w:eastAsia="Georgia" w:cs="Georgia" w:ascii="Georgia" w:hAnsi="Georgia"/>
        </w:rPr>
        <w:t xml:space="preserve"> à la même concentration </w:t>
      </w:r>
      <m:oMath>
        <m:sSub>
          <m:sSubPr/>
          <m:e>
            <m:r>
              <m:rPr>
                <m:sty m:val="i"/>
              </m:rPr>
              <m:t>C</m:t>
            </m:r>
          </m:e>
          <m:sub>
            <m:r>
              <m:rPr>
                <m:sty m:val="p"/>
              </m:rPr>
              <m:t>0</m:t>
            </m:r>
          </m:sub>
        </m:sSub>
      </m:oMath>
      <w:r>
        <w:rPr>
          <w:rFonts w:eastAsia="Georgia" w:cs="Georgia" w:ascii="Georgia" w:hAnsi="Georgia"/>
        </w:rPr>
        <w:t xml:space="preserve">. On souhaite précipiter plus de </w:t>
      </w:r>
      <m:oMath>
        <m:r>
          <m:rPr>
            <m:sty m:val="p"/>
          </m:rPr>
          <m:t>99</m:t>
        </m:r>
        <m:r>
          <m:rPr>
            <m:sty m:val="p"/>
          </m:rPr>
          <m:t>%</m:t>
        </m:r>
      </m:oMath>
      <w:r>
        <w:rPr>
          <w:rFonts w:eastAsia="Georgia" w:cs="Georgia" w:ascii="Georgia" w:hAnsi="Georgia"/>
        </w:rPr>
        <w:t xml:space="preserve"> du cobalt sans précipiter plus de </w:t>
      </w:r>
      <m:oMath>
        <m:r>
          <m:rPr>
            <m:sty m:val="p"/>
          </m:rPr>
          <m:t>1</m:t>
        </m:r>
        <m:r>
          <m:rPr>
            <m:sty m:val="p"/>
          </m:rPr>
          <m:t>%</m:t>
        </m:r>
      </m:oMath>
      <w:r>
        <w:rPr>
          <w:rFonts w:eastAsia="Georgia" w:cs="Georgia" w:ascii="Georgia" w:hAnsi="Georgia"/>
        </w:rPr>
        <w:t xml:space="preserve"> du manganèse.</w:t>
      </w:r>
    </w:p>
    <w:p>
      <w:pPr>
        <w:spacing w:after="220" w:lineRule="auto"/>
      </w:pPr>
      <w:r>
        <w:rPr>
          <w:rFonts w:eastAsia="Georgia" w:cs="Georgia" w:ascii="Georgia" w:hAnsi="Georgia"/>
        </w:rPr>
        <w:t xml:space="preserve">Q26. Écrire la condition de précipitation de chacun de ces solides. Puis exprimer le pH de début de précipitation en fonction du </w:t>
      </w:r>
      <m:oMath>
        <m:sSub>
          <m:sSubPr/>
          <m:e>
            <m:r>
              <m:rPr>
                <m:sty m:val="p"/>
              </m:rPr>
              <m:t>pK</m:t>
            </m:r>
          </m:e>
          <m:sub>
            <m:r>
              <m:rPr>
                <m:sty m:val="p"/>
              </m:rPr>
              <m:t>s</m:t>
            </m:r>
          </m:sub>
        </m:sSub>
      </m:oMath>
      <w:r>
        <w:rPr>
          <w:rFonts w:eastAsia="Georgia" w:cs="Georgia" w:ascii="Georgia" w:hAnsi="Georgia"/>
        </w:rPr>
        <w:t xml:space="preserve"> pour chacun des hydroxydes métalliques.</w:t>
      </w:r>
    </w:p>
    <w:p>
      <w:pPr>
        <w:spacing w:after="220" w:lineRule="auto"/>
      </w:pPr>
      <w:r>
        <w:rPr>
          <w:rFonts w:eastAsia="Georgia" w:cs="Georgia" w:ascii="Georgia" w:hAnsi="Georgia"/>
        </w:rPr>
        <w:t xml:space="preserve">Q27. Effectuer l'application numérique pour chaque hydroxyde métallique et représenter les pH d'apparition des précipités sur un axe gradué.</w:t>
      </w:r>
    </w:p>
    <w:p>
      <w:pPr>
        <w:spacing w:after="220" w:lineRule="auto"/>
      </w:pPr>
      <w:r>
        <w:rPr>
          <w:rFonts w:eastAsia="Georgia" w:cs="Georgia" w:ascii="Georgia" w:hAnsi="Georgia"/>
        </w:rPr>
        <w:t xml:space="preserve">Q28. Dans quel domaine de pH doit-on se placer pour précipiter sélectivement au moins </w:t>
      </w:r>
      <m:oMath>
        <m:r>
          <m:rPr>
            <m:sty m:val="p"/>
          </m:rPr>
          <m:t>99</m:t>
        </m:r>
        <m:r>
          <m:rPr>
            <m:sty m:val="p"/>
          </m:rPr>
          <m:t>%</m:t>
        </m:r>
      </m:oMath>
      <w:r>
        <w:rPr>
          <w:rFonts w:eastAsia="Georgia" w:cs="Georgia" w:ascii="Georgia" w:hAnsi="Georgia"/>
        </w:rPr>
        <w:t xml:space="preserve"> de l'un des ions sans faire précipiter l'autre? En déduire une méthode de séparation des cations métalliques considérés. Est-il possible également de précipiter sélectivement les ions </w:t>
      </w:r>
      <m:oMath>
        <m:sSup>
          <m:sSupPr/>
          <m:e>
            <m:r>
              <m:rPr>
                <m:sty m:val="p"/>
              </m:rPr>
              <m:t>Ni</m:t>
            </m:r>
          </m:e>
          <m:sup>
            <m:r>
              <m:rPr>
                <m:sty m:val="p"/>
              </m:rPr>
              <m:t>2</m:t>
            </m:r>
            <m:r>
              <m:rPr>
                <m:sty m:val="p"/>
              </m:rPr>
              <m:t>+</m:t>
            </m:r>
          </m:sup>
        </m:sSup>
      </m:oMath>
      <w:r>
        <w:rPr/>
        <w:t xml:space="preserve"> ?</w:t>
      </w:r>
    </w:p>
    <w:p>
      <w:pPr>
        <w:spacing w:line="271" w:before="330" w:lineRule="auto"/>
      </w:pPr>
      <w:r>
        <w:rPr>
          <w:b/>
          <w:sz w:val="42"/>
        </w:rPr>
        <w:t xml:space="preserve">III - Le moteur roue synchrone et son pilotage</w:t>
      </w:r>
    </w:p>
    <w:p>
      <w:pPr>
        <w:spacing w:after="220" w:lineRule="auto"/>
      </w:pPr>
      <w:r>
        <w:rPr>
          <w:rFonts w:eastAsia="Georgia" w:cs="Georgia" w:ascii="Georgia" w:hAnsi="Georgia"/>
        </w:rPr>
        <w:t xml:space="preserve">Cette partie aborde l'élément central du vélo hybride. Il s'agit du moteur synchrone à aimants permanents. Il y a de nombreuses contraintes liées à l'utilisation de ce type de moteur pour cette application :</w:t>
      </w:r>
    </w:p>
    <w:p>
      <w:pPr>
        <w:numPr>
          <w:ilvl w:val="0"/>
          <w:numId w:val="9"/>
        </w:numPr>
        <w:spacing w:lineRule="auto"/>
      </w:pPr>
      <w:r>
        <w:rPr/>
        <w:t xml:space="preserve">faibles dimensions;</w:t>
      </w:r>
    </w:p>
    <w:p>
      <w:pPr>
        <w:numPr>
          <w:ilvl w:val="0"/>
          <w:numId w:val="9"/>
        </w:numPr>
        <w:spacing w:lineRule="auto"/>
      </w:pPr>
      <w:r>
        <w:rPr/>
        <w:t xml:space="preserve">faibles vitesses de rotation;</w:t>
      </w:r>
    </w:p>
    <w:p>
      <w:pPr>
        <w:numPr>
          <w:ilvl w:val="0"/>
          <w:numId w:val="9"/>
        </w:numPr>
        <w:spacing w:lineRule="auto"/>
      </w:pPr>
      <w:r>
        <w:rPr/>
        <w:t xml:space="preserve">couple important.</w:t>
      </w:r>
    </w:p>
    <w:p>
      <w:pPr>
        <w:spacing w:after="220" w:lineRule="auto"/>
      </w:pPr>
      <w:r>
        <w:rPr>
          <w:rFonts w:eastAsia="Georgia" w:cs="Georgia" w:ascii="Georgia" w:hAnsi="Georgia"/>
        </w:rPr>
        <w:t xml:space="preserve">La commande du moteur est également soumise à des contraintes. Elle doit permettre de piloter le couple délivré par le moteur en évitant les à-coups nuisibles au confort d'utilisation. Une étude mécanique montre que le moteur doit pouvoir délivrer un couple de </w:t>
      </w:r>
      <m:oMath>
        <m:r>
          <m:rPr>
            <m:sty m:val="p"/>
          </m:rPr>
          <m:t>50</m:t>
        </m:r>
        <m:r>
          <m:rPr>
            <m:nor/>
          </m:rPr>
          <m:t xml:space="preserve"> </m:t>
        </m:r>
        <m:r>
          <m:rPr>
            <m:sty m:val="p"/>
          </m:rPr>
          <m:t>N</m:t>
        </m:r>
        <m:r>
          <m:rPr>
            <m:sty m:val="p"/>
          </m:rPr>
          <m:t>⋅</m:t>
        </m:r>
        <m:r>
          <m:rPr>
            <m:nor/>
          </m:rPr>
          <m:t xml:space="preserve"> </m:t>
        </m:r>
        <m:r>
          <m:rPr>
            <m:sty m:val="p"/>
          </m:rPr>
          <m:t>m</m:t>
        </m:r>
      </m:oMath>
      <w:r>
        <w:rPr/>
        <w:t xml:space="preserve">.</w:t>
      </w:r>
    </w:p>
    <w:p>
      <w:pPr>
        <w:spacing w:line="271" w:before="330" w:lineRule="auto"/>
      </w:pPr>
      <w:r>
        <w:rPr>
          <w:rFonts w:eastAsia="Georgia" w:cs="Georgia" w:ascii="Georgia" w:hAnsi="Georgia"/>
          <w:b/>
          <w:sz w:val="42"/>
        </w:rPr>
        <w:t xml:space="preserve">III. 1 - Dimensionnement du moteur roue synchrone à aimants permanents</w:t>
      </w:r>
    </w:p>
    <w:p>
      <w:pPr>
        <w:spacing w:after="220" w:lineRule="auto"/>
      </w:pPr>
      <w:r>
        <w:rPr>
          <w:rFonts w:eastAsia="Georgia" w:cs="Georgia" w:ascii="Georgia" w:hAnsi="Georgia"/>
        </w:rPr>
        <w:t xml:space="preserve">Pour commencer, nous étudions un moteur dont le rotor comporte 2 paires d'aimants permanents. Les vecteurs aimantations de ces quatre aimants </w:t>
      </w:r>
      <m:oMath>
        <m:acc>
          <m:accPr>
            <m:chr m:val="⃗"/>
          </m:accPr>
          <m:e>
            <m:sSub>
              <m:sSubPr/>
              <m:e>
                <m:r>
                  <m:rPr>
                    <m:sty m:val="i"/>
                  </m:rPr>
                  <m:t>M</m:t>
                </m:r>
              </m:e>
              <m:sub>
                <m:r>
                  <m:rPr>
                    <m:sty m:val="i"/>
                  </m:rPr>
                  <m:t>i</m:t>
                </m:r>
              </m:sub>
            </m:sSub>
          </m:e>
        </m:acc>
      </m:oMath>
      <w:r>
        <w:rPr>
          <w:rFonts w:eastAsia="Georgia" w:cs="Georgia" w:ascii="Georgia" w:hAnsi="Georgia"/>
        </w:rPr>
        <w:t xml:space="preserve"> sont radiaux et ont la même norme </w:t>
      </w:r>
      <m:oMath>
        <m:sSub>
          <m:sSubPr/>
          <m:e>
            <m:r>
              <m:rPr>
                <m:sty m:val="i"/>
              </m:rPr>
              <m:t>M</m:t>
            </m:r>
          </m:e>
          <m:sub>
            <m:r>
              <m:rPr>
                <m:sty m:val="p"/>
              </m:rPr>
              <m:t>0</m:t>
            </m:r>
          </m:sub>
        </m:sSub>
      </m:oMath>
      <w:r>
        <w:rPr/>
        <w:t xml:space="preserve">.</w:t>
      </w:r>
      <w:r>
        <w:rPr/>
        <w:br w:type="textWrapping"/>
      </w:r>
      <w:r>
        <w:rPr/>
        <w:t xml:space="preserve">On rappelle que dans les aimants le lien entre </w:t>
      </w:r>
      <m:oMath>
        <m:acc>
          <m:accPr>
            <m:chr m:val="⃗"/>
          </m:accPr>
          <m:e>
            <m:r>
              <m:rPr>
                <m:sty m:val="i"/>
              </m:rPr>
              <m:t>B</m:t>
            </m:r>
          </m:e>
        </m:acc>
        <m:r>
          <m:rPr>
            <m:sty m:val="p"/>
          </m:rPr>
          <m:t>,</m:t>
        </m:r>
        <m:acc>
          <m:accPr>
            <m:chr m:val="⃗"/>
          </m:accPr>
          <m:e>
            <m:r>
              <m:rPr>
                <m:sty m:val="i"/>
              </m:rPr>
              <m:t>H</m:t>
            </m:r>
          </m:e>
        </m:acc>
      </m:oMath>
      <w:r>
        <w:rPr/>
        <w:t xml:space="preserve"> et </w:t>
      </w:r>
      <m:oMath>
        <m:acc>
          <m:accPr>
            <m:chr m:val="⃗"/>
          </m:accPr>
          <m:e>
            <m:r>
              <m:rPr>
                <m:sty m:val="i"/>
              </m:rPr>
              <m:t>M</m:t>
            </m:r>
          </m:e>
        </m:acc>
      </m:oMath>
      <w:r>
        <w:rPr/>
        <w:t xml:space="preserve"> est </w:t>
      </w:r>
      <m:oMath>
        <m:acc>
          <m:accPr>
            <m:chr m:val="⃗"/>
          </m:accPr>
          <m:e>
            <m:r>
              <m:rPr>
                <m:sty m:val="i"/>
              </m:rPr>
              <m:t>B</m:t>
            </m:r>
          </m:e>
        </m:acc>
        <m:r>
          <m:rPr>
            <m:sty m:val="p"/>
          </m:rPr>
          <m:t>=</m:t>
        </m:r>
        <m:sSub>
          <m:sSubPr/>
          <m:e>
            <m:r>
              <m:rPr>
                <m:sty m:val="i"/>
              </m:rPr>
              <m:t>μ</m:t>
            </m:r>
          </m:e>
          <m:sub>
            <m:r>
              <m:rPr>
                <m:sty m:val="p"/>
              </m:rPr>
              <m:t>0</m:t>
            </m:r>
          </m:sub>
        </m:sSub>
        <m:r>
          <m:rPr>
            <m:sty m:val="p"/>
          </m:rPr>
          <m:t>(</m:t>
        </m:r>
        <m:acc>
          <m:accPr>
            <m:chr m:val="⃗"/>
          </m:accPr>
          <m:e>
            <m:r>
              <m:rPr>
                <m:sty m:val="i"/>
              </m:rPr>
              <m:t>H</m:t>
            </m:r>
          </m:e>
        </m:acc>
        <m:r>
          <m:rPr>
            <m:sty m:val="p"/>
          </m:rPr>
          <m:t>+</m:t>
        </m:r>
        <m:acc>
          <m:accPr>
            <m:chr m:val="⃗"/>
          </m:accPr>
          <m:e>
            <m:r>
              <m:rPr>
                <m:sty m:val="i"/>
              </m:rPr>
              <m:t>M</m:t>
            </m:r>
          </m:e>
        </m:acc>
        <m:r>
          <m:rPr>
            <m:sty m:val="p"/>
          </m:rPr>
          <m:t>)</m:t>
        </m:r>
      </m:oMath>
      <w:r>
        <w:rPr/>
        <w:t xml:space="preserve">.</w:t>
      </w:r>
      <w:r>
        <w:rPr/>
        <w:br w:type="textWrapping"/>
      </w:r>
      <w:r>
        <w:rPr>
          <w:rFonts w:eastAsia="Georgia" w:cs="Georgia" w:ascii="Georgia" w:hAnsi="Georgia"/>
        </w:rPr>
        <w:t xml:space="preserve">En dehors des zones aimantées, le rotor et le stator (zones hachurées de la figure 14) sont réalisés dans un matériau ferromagnétique linéaire de perméabilité magnétique relative </w:t>
      </w:r>
      <m:oMath>
        <m:sSub>
          <m:sSubPr/>
          <m:e>
            <m:r>
              <m:rPr>
                <m:sty m:val="i"/>
              </m:rPr>
              <m:t>μ</m:t>
            </m:r>
          </m:e>
          <m:sub>
            <m:r>
              <m:rPr>
                <m:sty m:val="p"/>
              </m:rPr>
              <m:t>r</m:t>
            </m:r>
          </m:sub>
        </m:sSub>
      </m:oMath>
      <w:r>
        <w:rPr>
          <w:rFonts w:eastAsia="Georgia" w:cs="Georgia" w:ascii="Georgia" w:hAnsi="Georgia"/>
        </w:rPr>
        <w:t xml:space="preserve"> infinie. Ils sont séparés par un entrefer d'épaisseur </w:t>
      </w:r>
      <m:oMath>
        <m:sSub>
          <m:sSubPr/>
          <m:e>
            <m:r>
              <m:rPr>
                <m:sty m:val="i"/>
              </m:rPr>
              <m:t>l</m:t>
            </m:r>
          </m:e>
          <m:sub>
            <m:r>
              <m:rPr>
                <m:sty m:val="p"/>
              </m:rPr>
              <m:t>e</m:t>
            </m:r>
          </m:sub>
        </m:sSub>
      </m:oMath>
      <w:r>
        <w:rPr>
          <w:rFonts w:eastAsia="Georgia" w:cs="Georgia" w:ascii="Georgia" w:hAnsi="Georgia"/>
        </w:rPr>
        <w:t xml:space="preserve"> constante et de perméabilité magnétique relative égale à 1 . Le rotor, le stator et l'entrefer ont une hauteur </w:t>
      </w:r>
      <m:oMath>
        <m:r>
          <m:rPr>
            <m:sty m:val="i"/>
          </m:rPr>
          <m:t>h</m:t>
        </m:r>
      </m:oMath>
      <w:r>
        <w:rPr>
          <w:rFonts w:eastAsia="Georgia" w:cs="Georgia" w:ascii="Georgia" w:hAnsi="Georgia"/>
        </w:rPr>
        <w:t xml:space="preserve">. Cette dimension transversale est considérée suffisamment grande pour négliger les effets de bords, c'est-à-dire que dans toute la suite on considèrera une invariance par translation selon l'axe ( </w:t>
      </w:r>
      <m:oMath>
        <m:r>
          <m:rPr>
            <m:sty m:val="i"/>
          </m:rPr>
          <m:t>O</m:t>
        </m:r>
        <m:r>
          <m:rPr>
            <m:sty m:val="i"/>
          </m:rPr>
          <m:t>z</m:t>
        </m:r>
      </m:oMath>
      <w:r>
        <w:rPr/>
        <w:t xml:space="preserve"> ).</w:t>
      </w:r>
      <w:r>
        <w:rPr/>
        <w:br w:type="textWrapping"/>
      </w:r>
      <w:r>
        <w:rPr>
          <w:rFonts w:eastAsia="Georgia" w:cs="Georgia" w:ascii="Georgia" w:hAnsi="Georgia"/>
        </w:rPr>
        <w:t xml:space="preserve">On considère tout d'abord que le rotor est fixe.</w:t>
      </w:r>
    </w:p>
    <w:p>
      <w:pPr>
        <w:spacing w:lineRule="auto"/>
        <w:jc w:val="center"/>
      </w:pPr>
      <w:r>
        <w:rPr/>
        <w:drawing>
          <wp:inline distB="0" distL="0" distR="0" distT="0">
            <wp:extent cx="5486400" cy="3934838"/>
            <wp:effectExtent b="0" l="0" r="0" t="0"/>
            <wp:docPr id="14" name="image-8cd7a8e937ec68633203a79cd3fb31c5f0a8846b.jpg"/>
            <a:graphic>
              <a:graphicData uri="http://schemas.openxmlformats.org/drawingml/2006/picture">
                <pic:pic>
                  <pic:nvPicPr>
                    <pic:cNvPr id="14" name="image-8cd7a8e937ec68633203a79cd3fb31c5f0a8846b.jpg" descr=""/>
                    <pic:cNvPicPr/>
                  </pic:nvPicPr>
                  <pic:blipFill>
                    <a:blip r:embed="rId18" cstate="print"/>
                    <a:srcRect b="0" l="0" r="0" t="0"/>
                    <a:stretch>
                      <a:fillRect/>
                    </a:stretch>
                  </pic:blipFill>
                  <pic:spPr>
                    <a:xfrm>
                      <a:off x="0" y="0"/>
                      <a:ext cx="5486400" cy="3934838"/>
                    </a:xfrm>
                    <a:prstGeom prst="rect"/>
                  </pic:spPr>
                </pic:pic>
              </a:graphicData>
            </a:graphic>
          </wp:inline>
        </w:drawing>
      </w:r>
    </w:p>
    <w:p>
      <w:pPr>
        <w:spacing w:lineRule="auto"/>
      </w:pPr>
      <w:r>
        <w:rPr>
          <w:rFonts w:eastAsia="Georgia" w:cs="Georgia" w:ascii="Georgia" w:hAnsi="Georgia"/>
        </w:rPr>
        <w:t xml:space="preserve">Figure 14 - Moteur synchrone outrunner à 2 paires d'aimants permanents.</w:t>
      </w:r>
    </w:p>
    <w:p>
      <w:pPr>
        <w:spacing w:after="220" w:lineRule="auto"/>
      </w:pPr>
      <w:r>
        <w:rPr>
          <w:rFonts w:eastAsia="Georgia" w:cs="Georgia" w:ascii="Georgia" w:hAnsi="Georgia"/>
        </w:rPr>
        <w:t xml:space="preserve">Q29. On s'intéresse dans un premier temps au champ magnétique créé par le rotor. Recopier, sur la copie, le schéma du rotor et du stator. Tracer l'allure de la carte du champ magnétique, en justifiant. On orientera les lignes de champ. Pour s'aider, on pourra remplacer les quatre aimants par quatre spires de courant.</w:t>
      </w:r>
    </w:p>
    <w:p>
      <w:pPr>
        <w:spacing w:after="220" w:lineRule="auto"/>
      </w:pPr>
      <w:r>
        <w:rPr/>
        <w:t xml:space="preserve">Q30. On note </w:t>
      </w:r>
      <m:oMath>
        <m:sSub>
          <m:sSubPr/>
          <m:e>
            <m:r>
              <m:rPr>
                <m:sty m:val="i"/>
              </m:rPr>
              <m:t>B</m:t>
            </m:r>
          </m:e>
          <m:sub>
            <m:r>
              <m:rPr>
                <m:sty m:val="i"/>
              </m:rPr>
              <m:t>r</m:t>
            </m:r>
          </m:sub>
        </m:sSub>
        <m:r>
          <m:rPr>
            <m:sty m:val="p"/>
          </m:rPr>
          <m:t>(</m:t>
        </m:r>
        <m:r>
          <m:rPr>
            <m:sty m:val="i"/>
          </m:rPr>
          <m:t>θ</m:t>
        </m:r>
        <m:r>
          <m:rPr>
            <m:sty m:val="p"/>
          </m:rPr>
          <m:t>)</m:t>
        </m:r>
        <m:r>
          <m:rPr>
            <m:sty m:val="p"/>
          </m:rPr>
          <m:t>=</m:t>
        </m:r>
        <m:acc>
          <m:accPr>
            <m:chr m:val="⃗"/>
          </m:accPr>
          <m:e>
            <m:r>
              <m:rPr>
                <m:sty m:val="i"/>
              </m:rPr>
              <m:t>B</m:t>
            </m:r>
          </m:e>
        </m:acc>
        <m:r>
          <m:rPr>
            <m:sty m:val="p"/>
          </m:rPr>
          <m:t>⋅</m:t>
        </m:r>
        <m:sSub>
          <m:sSubPr/>
          <m:e>
            <m:acc>
              <m:accPr>
                <m:chr m:val="⃗"/>
              </m:accPr>
              <m:e>
                <m:r>
                  <m:rPr>
                    <m:sty m:val="i"/>
                  </m:rPr>
                  <m:t>e</m:t>
                </m:r>
              </m:e>
            </m:acc>
          </m:e>
          <m:sub>
            <m:r>
              <m:rPr>
                <m:sty m:val="p"/>
              </m:rPr>
              <m:t>r</m:t>
            </m:r>
          </m:sub>
        </m:sSub>
      </m:oMath>
      <w:r>
        <w:rPr>
          <w:rFonts w:eastAsia="Georgia" w:cs="Georgia" w:ascii="Georgia" w:hAnsi="Georgia"/>
        </w:rPr>
        <w:t xml:space="preserve"> la composante radiale du champ magnétique (où </w:t>
      </w:r>
      <m:oMath>
        <m:sSub>
          <m:sSubPr/>
          <m:e>
            <m:acc>
              <m:accPr>
                <m:chr m:val="⃗"/>
              </m:accPr>
              <m:e>
                <m:r>
                  <m:rPr>
                    <m:sty m:val="i"/>
                  </m:rPr>
                  <m:t>e</m:t>
                </m:r>
              </m:e>
            </m:acc>
          </m:e>
          <m:sub>
            <m:r>
              <m:rPr>
                <m:sty m:val="p"/>
              </m:rPr>
              <m:t>r</m:t>
            </m:r>
          </m:sub>
        </m:sSub>
      </m:oMath>
      <w:r>
        <w:rPr>
          <w:rFonts w:eastAsia="Georgia" w:cs="Georgia" w:ascii="Georgia" w:hAnsi="Georgia"/>
        </w:rPr>
        <w:t xml:space="preserve"> est le vecteur unitaire radial des coordonnées cylindriques d'axe </w:t>
      </w:r>
      <m:oMath>
        <m:r>
          <m:rPr>
            <m:sty m:val="p"/>
          </m:rPr>
          <m:t>(</m:t>
        </m:r>
        <m:r>
          <m:rPr>
            <m:sty m:val="i"/>
          </m:rPr>
          <m:t>O</m:t>
        </m:r>
        <m:r>
          <m:rPr>
            <m:sty m:val="i"/>
          </m:rPr>
          <m:t>z</m:t>
        </m:r>
        <m:r>
          <m:rPr>
            <m:sty m:val="p"/>
          </m:rPr>
          <m:t>)</m:t>
        </m:r>
        <m:r>
          <m:rPr>
            <m:sty m:val="p"/>
          </m:rPr>
          <m:t>)</m:t>
        </m:r>
      </m:oMath>
      <w:r>
        <w:rPr>
          <w:rFonts w:eastAsia="Georgia" w:cs="Georgia" w:ascii="Georgia" w:hAnsi="Georgia"/>
        </w:rPr>
        <w:t xml:space="preserve"> dans l'entrefer. Quelle est sa parité? Quelle est sa période ? Tracer </w:t>
      </w:r>
      <m:oMath>
        <m:sSub>
          <m:sSubPr/>
          <m:e>
            <m:r>
              <m:rPr>
                <m:sty m:val="i"/>
              </m:rPr>
              <m:t>B</m:t>
            </m:r>
          </m:e>
          <m:sub>
            <m:r>
              <m:rPr>
                <m:sty m:val="i"/>
              </m:rPr>
              <m:t>r</m:t>
            </m:r>
          </m:sub>
        </m:sSub>
        <m:r>
          <m:rPr>
            <m:sty m:val="p"/>
          </m:rPr>
          <m:t>(</m:t>
        </m:r>
        <m:r>
          <m:rPr>
            <m:sty m:val="i"/>
          </m:rPr>
          <m:t>θ</m:t>
        </m:r>
        <m:r>
          <m:rPr>
            <m:sty m:val="p"/>
          </m:rPr>
          <m:t>)</m:t>
        </m:r>
      </m:oMath>
      <w:r>
        <w:rPr/>
        <w:t xml:space="preserve"> sur le domaine </w:t>
      </w:r>
      <m:oMath>
        <m:r>
          <m:rPr>
            <m:sty m:val="p"/>
          </m:rPr>
          <m:t>[</m:t>
        </m:r>
        <m:r>
          <m:rPr>
            <m:sty m:val="p"/>
          </m:rPr>
          <m:t>−</m:t>
        </m:r>
        <m:r>
          <m:rPr>
            <m:sty m:val="i"/>
          </m:rPr>
          <m:t>π</m:t>
        </m:r>
        <m:r>
          <m:rPr>
            <m:sty m:val="p"/>
          </m:rPr>
          <m:t>,</m:t>
        </m:r>
        <m:r>
          <m:rPr>
            <m:sty m:val="i"/>
          </m:rPr>
          <m:t>π</m:t>
        </m:r>
        <m:r>
          <m:rPr>
            <m:sty m:val="p"/>
          </m:rPr>
          <m:t>]</m:t>
        </m:r>
      </m:oMath>
      <w:r>
        <w:rPr/>
        <w:t xml:space="preserve">. On note </w:t>
      </w:r>
      <m:oMath>
        <m:sSub>
          <m:sSubPr/>
          <m:e>
            <m:r>
              <m:rPr>
                <m:sty m:val="i"/>
              </m:rPr>
              <m:t>B</m:t>
            </m:r>
          </m:e>
          <m:sub>
            <m:r>
              <m:rPr>
                <m:sty m:val="p"/>
              </m:rPr>
              <m:t>M</m:t>
            </m:r>
          </m:sub>
        </m:sSub>
      </m:oMath>
      <w:r>
        <w:rPr/>
        <w:t xml:space="preserve"> la norme de </w:t>
      </w:r>
      <m:oMath>
        <m:sSub>
          <m:sSubPr/>
          <m:e>
            <m:r>
              <m:rPr>
                <m:sty m:val="i"/>
              </m:rPr>
              <m:t>B</m:t>
            </m:r>
          </m:e>
          <m:sub>
            <m:r>
              <m:rPr>
                <m:sty m:val="i"/>
              </m:rPr>
              <m:t>r</m:t>
            </m:r>
          </m:sub>
        </m:sSub>
        <m:r>
          <m:rPr>
            <m:sty m:val="p"/>
          </m:rPr>
          <m:t>(</m:t>
        </m:r>
        <m:r>
          <m:rPr>
            <m:sty m:val="i"/>
          </m:rPr>
          <m:t>θ</m:t>
        </m:r>
        <m:r>
          <m:rPr>
            <m:sty m:val="p"/>
          </m:rPr>
          <m:t>)</m:t>
        </m:r>
      </m:oMath>
      <w:r>
        <w:rPr>
          <w:rFonts w:eastAsia="Georgia" w:cs="Georgia" w:ascii="Georgia" w:hAnsi="Georgia"/>
        </w:rPr>
        <w:t xml:space="preserve">, considérée partout la même dans l'entrefer.</w:t>
      </w:r>
    </w:p>
    <w:p>
      <w:pPr>
        <w:spacing w:after="220" w:lineRule="auto"/>
      </w:pPr>
      <w:r>
        <w:rPr>
          <w:rFonts w:eastAsia="Georgia" w:cs="Georgia" w:ascii="Georgia" w:hAnsi="Georgia"/>
        </w:rPr>
        <w:t xml:space="preserve">On crée un champ magnétique dans l'entrefer de norme </w:t>
      </w:r>
      <m:oMath>
        <m:sSub>
          <m:sSubPr/>
          <m:e>
            <m:r>
              <m:rPr>
                <m:sty m:val="i"/>
              </m:rPr>
              <m:t>B</m:t>
            </m:r>
          </m:e>
          <m:sub>
            <m:r>
              <m:rPr>
                <m:sty m:val="p"/>
              </m:rPr>
              <m:t>M</m:t>
            </m:r>
          </m:sub>
        </m:sSub>
        <m:r>
          <m:rPr>
            <m:sty m:val="p"/>
          </m:rPr>
          <m:t>=</m:t>
        </m:r>
        <m:r>
          <m:rPr>
            <m:sty m:val="p"/>
          </m:rPr>
          <m:t>1</m:t>
        </m:r>
        <m:r>
          <m:rPr>
            <m:sty m:val="p"/>
          </m:rPr>
          <m:t>,</m:t>
        </m:r>
        <m:r>
          <m:rPr>
            <m:sty m:val="p"/>
          </m:rPr>
          <m:t>0</m:t>
        </m:r>
        <m:r>
          <m:rPr>
            <m:nor/>
          </m:rPr>
          <m:t xml:space="preserve"> </m:t>
        </m:r>
        <m:r>
          <m:rPr>
            <m:sty m:val="p"/>
          </m:rPr>
          <m:t>T</m:t>
        </m:r>
      </m:oMath>
      <w:r>
        <w:rPr/>
        <w:t xml:space="preserve">.</w:t>
      </w:r>
      <w:r>
        <w:rPr/>
        <w:br w:type="textWrapping"/>
      </w:r>
      <w:r>
        <w:rPr>
          <w:rFonts w:eastAsia="Georgia" w:cs="Georgia" w:ascii="Georgia" w:hAnsi="Georgia"/>
        </w:rPr>
        <w:t xml:space="preserve">La géométrie exacte des aimants fait que l'on peut confondre </w:t>
      </w:r>
      <m:oMath>
        <m:sSub>
          <m:sSubPr/>
          <m:e>
            <m:r>
              <m:rPr>
                <m:sty m:val="i"/>
              </m:rPr>
              <m:t>B</m:t>
            </m:r>
          </m:e>
          <m:sub>
            <m:r>
              <m:rPr>
                <m:sty m:val="p"/>
              </m:rPr>
              <m:t>r</m:t>
            </m:r>
          </m:sub>
        </m:sSub>
        <m:r>
          <m:rPr>
            <m:sty m:val="p"/>
          </m:rPr>
          <m:t>(</m:t>
        </m:r>
        <m:r>
          <m:rPr>
            <m:sty m:val="i"/>
          </m:rPr>
          <m:t>θ</m:t>
        </m:r>
        <m:r>
          <m:rPr>
            <m:sty m:val="p"/>
          </m:rPr>
          <m:t>)</m:t>
        </m:r>
      </m:oMath>
      <w:r>
        <w:rPr>
          <w:rFonts w:eastAsia="Georgia" w:cs="Georgia" w:ascii="Georgia" w:hAnsi="Georgia"/>
        </w:rPr>
        <w:t xml:space="preserve"> avec le terme fondamental de son développement en série de Fourier, supposé d'amplitude égale à </w:t>
      </w:r>
      <m:oMath>
        <m:sSub>
          <m:sSubPr/>
          <m:e>
            <m:r>
              <m:rPr>
                <m:sty m:val="i"/>
              </m:rPr>
              <m:t>B</m:t>
            </m:r>
          </m:e>
          <m:sub>
            <m:r>
              <m:rPr>
                <m:sty m:val="p"/>
              </m:rPr>
              <m:t>1</m:t>
            </m:r>
          </m:sub>
        </m:sSub>
        <m:r>
          <m:rPr>
            <m:sty m:val="p"/>
          </m:rPr>
          <m:t>=</m:t>
        </m:r>
        <m:f>
          <m:fPr>
            <m:ctrlPr>
              <w:rPr>
                <w:rFonts w:ascii="Cambria Math" w:hAnsi="Cambria Math"/>
              </w:rPr>
            </m:ctrlPr>
          </m:fPr>
          <m:num>
            <m:r>
              <m:rPr>
                <m:sty m:val="p"/>
              </m:rPr>
              <m:t>4</m:t>
            </m:r>
          </m:num>
          <m:den>
            <m:r>
              <m:rPr>
                <m:sty m:val="i"/>
              </m:rPr>
              <m:t>π</m:t>
            </m:r>
          </m:den>
        </m:f>
        <m:sSub>
          <m:sSubPr/>
          <m:e>
            <m:r>
              <m:rPr>
                <m:sty m:val="i"/>
              </m:rPr>
              <m:t>B</m:t>
            </m:r>
          </m:e>
          <m:sub>
            <m:r>
              <m:rPr>
                <m:sty m:val="p"/>
              </m:rPr>
              <m:t>M</m:t>
            </m:r>
          </m:sub>
        </m:sSub>
      </m:oMath>
      <w:r>
        <w:rPr/>
        <w:t xml:space="preserve">. Le rotor tourne maintenant autour de l'axe ( </w:t>
      </w:r>
      <m:oMath>
        <m:r>
          <m:rPr>
            <m:sty m:val="i"/>
          </m:rPr>
          <m:t>O</m:t>
        </m:r>
        <m:r>
          <m:rPr>
            <m:sty m:val="i"/>
          </m:rPr>
          <m:t>z</m:t>
        </m:r>
      </m:oMath>
      <w:r>
        <w:rPr>
          <w:rFonts w:eastAsia="Georgia" w:cs="Georgia" w:ascii="Georgia" w:hAnsi="Georgia"/>
        </w:rPr>
        <w:t xml:space="preserve"> ). Sa rotation est repérée par l'angle </w:t>
      </w:r>
      <m:oMath>
        <m:sSub>
          <m:sSubPr/>
          <m:e>
            <m:r>
              <m:rPr>
                <m:sty m:val="i"/>
              </m:rPr>
              <m:t>θ</m:t>
            </m:r>
          </m:e>
          <m:sub>
            <m:r>
              <m:rPr>
                <m:sty m:val="p"/>
              </m:rPr>
              <m:t>r</m:t>
            </m:r>
          </m:sub>
        </m:sSub>
        <m:r>
          <m:rPr>
            <m:sty m:val="p"/>
          </m:rPr>
          <m:t>(</m:t>
        </m:r>
        <m:r>
          <m:rPr>
            <m:sty m:val="i"/>
          </m:rPr>
          <m:t>t</m:t>
        </m:r>
        <m:r>
          <m:rPr>
            <m:sty m:val="p"/>
          </m:rPr>
          <m:t>)</m:t>
        </m:r>
      </m:oMath>
      <w:r>
        <w:rPr/>
        <w:t xml:space="preserve"> ( </w:t>
      </w:r>
      <m:oMath>
        <m:sSub>
          <m:sSubPr/>
          <m:e>
            <m:r>
              <m:rPr>
                <m:sty m:val="i"/>
              </m:rPr>
              <m:t>θ</m:t>
            </m:r>
          </m:e>
          <m:sub>
            <m:r>
              <m:rPr>
                <m:sty m:val="p"/>
              </m:rPr>
              <m:t>r</m:t>
            </m:r>
          </m:sub>
        </m:sSub>
        <m:r>
          <m:rPr>
            <m:sty m:val="p"/>
          </m:rPr>
          <m:t>=</m:t>
        </m:r>
        <m:r>
          <m:rPr>
            <m:sty m:val="p"/>
          </m:rPr>
          <m:t>0</m:t>
        </m:r>
      </m:oMath>
      <w:r>
        <w:rPr/>
        <w:t xml:space="preserve"> sur la figure 14).</w:t>
      </w:r>
    </w:p>
    <w:p>
      <w:pPr>
        <w:spacing w:after="220" w:lineRule="auto"/>
      </w:pPr>
      <w:r>
        <w:rPr/>
        <w:t xml:space="preserve">Q31. Montrer que la valeur du champ rotorique </w:t>
      </w:r>
      <m:oMath>
        <m:acc>
          <m:accPr>
            <m:chr m:val="⃗"/>
          </m:accPr>
          <m:e>
            <m:sSub>
              <m:sSubPr/>
              <m:e>
                <m:r>
                  <m:rPr>
                    <m:sty m:val="i"/>
                  </m:rPr>
                  <m:t>B</m:t>
                </m:r>
              </m:e>
              <m:sub>
                <m:r>
                  <m:rPr>
                    <m:sty m:val="p"/>
                  </m:rPr>
                  <m:t>r</m:t>
                </m:r>
              </m:sub>
            </m:sSub>
          </m:e>
        </m:acc>
      </m:oMath>
      <w:r>
        <w:rPr>
          <w:rFonts w:eastAsia="Georgia" w:cs="Georgia" w:ascii="Georgia" w:hAnsi="Georgia"/>
        </w:rPr>
        <w:t xml:space="preserve"> en tout point fixe de l'entrefer repéré par l'angle </w:t>
      </w:r>
      <m:oMath>
        <m:r>
          <m:rPr>
            <m:sty m:val="i"/>
          </m:rPr>
          <m:t>θ</m:t>
        </m:r>
      </m:oMath>
      <w:r>
        <w:rPr>
          <w:rFonts w:eastAsia="Georgia" w:cs="Georgia" w:ascii="Georgia" w:hAnsi="Georgia"/>
        </w:rPr>
        <w:t xml:space="preserve"> est donnée par </w:t>
      </w:r>
      <m:oMath>
        <m:acc>
          <m:accPr>
            <m:chr m:val="⃗"/>
          </m:accPr>
          <m:e>
            <m:sSub>
              <m:sSubPr/>
              <m:e>
                <m:r>
                  <m:rPr>
                    <m:sty m:val="i"/>
                  </m:rPr>
                  <m:t>B</m:t>
                </m:r>
              </m:e>
              <m:sub>
                <m:r>
                  <m:rPr>
                    <m:sty m:val="p"/>
                  </m:rPr>
                  <m:t>r</m:t>
                </m:r>
              </m:sub>
            </m:sSub>
          </m:e>
        </m:acc>
        <m:r>
          <m:rPr>
            <m:sty m:val="p"/>
          </m:rPr>
          <m:t>(</m:t>
        </m:r>
        <m:r>
          <m:rPr>
            <m:sty m:val="i"/>
          </m:rPr>
          <m:t>θ</m:t>
        </m:r>
        <m:r>
          <m:rPr>
            <m:sty m:val="p"/>
          </m:rPr>
          <m:t>,</m:t>
        </m:r>
        <m:r>
          <m:rPr>
            <m:sty m:val="i"/>
          </m:rPr>
          <m:t>t</m:t>
        </m:r>
        <m:r>
          <m:rPr>
            <m:sty m:val="p"/>
          </m:rPr>
          <m:t>)</m:t>
        </m:r>
        <m:r>
          <m:rPr>
            <m:sty m:val="p"/>
          </m:rPr>
          <m:t>=</m:t>
        </m:r>
        <m:sSub>
          <m:sSubPr/>
          <m:e>
            <m:r>
              <m:rPr>
                <m:sty m:val="i"/>
              </m:rPr>
              <m:t>B</m:t>
            </m:r>
          </m:e>
          <m:sub>
            <m:r>
              <m:rPr>
                <m:sty m:val="p"/>
              </m:rPr>
              <m:t>1</m:t>
            </m:r>
          </m:sub>
        </m:sSub>
        <m:r>
          <m:rPr>
            <m:sty m:val="p"/>
          </m:rPr>
          <m:t>cos</m:t>
        </m:r>
        <m:r>
          <m:rPr>
            <m:sty m:val="p"/>
          </m:rPr>
          <m:t>⁡</m:t>
        </m:r>
        <m:d>
          <m:dPr>
            <m:begChr m:val="["/>
            <m:endChr m:val="]"/>
            <m:ctrlPr>
              <w:rPr>
                <w:rFonts w:ascii="Cambria Math" w:hAnsi="Cambria Math"/>
              </w:rPr>
            </m:ctrlPr>
          </m:dPr>
          <m:e>
            <m:r>
              <m:rPr>
                <m:sty m:val="p"/>
              </m:rPr>
              <m:t>2</m:t>
            </m:r>
            <m:d>
              <m:dPr>
                <m:begChr m:val="("/>
                <m:endChr m:val=")"/>
                <m:ctrlPr>
                  <w:rPr>
                    <w:rFonts w:ascii="Cambria Math" w:hAnsi="Cambria Math"/>
                  </w:rPr>
                </m:ctrlPr>
              </m:dPr>
              <m:e>
                <m:r>
                  <m:rPr>
                    <m:sty m:val="i"/>
                  </m:rPr>
                  <m:t>θ</m:t>
                </m:r>
                <m:r>
                  <m:rPr>
                    <m:sty m:val="p"/>
                  </m:rPr>
                  <m:t>−</m:t>
                </m:r>
                <m:sSub>
                  <m:sSubPr/>
                  <m:e>
                    <m:r>
                      <m:rPr>
                        <m:sty m:val="i"/>
                      </m:rPr>
                      <m:t>θ</m:t>
                    </m:r>
                  </m:e>
                  <m:sub>
                    <m:r>
                      <m:rPr>
                        <m:sty m:val="p"/>
                      </m:rPr>
                      <m:t>r</m:t>
                    </m:r>
                  </m:sub>
                </m:sSub>
                <m:r>
                  <m:rPr>
                    <m:sty m:val="p"/>
                  </m:rPr>
                  <m:t>(</m:t>
                </m:r>
                <m:r>
                  <m:rPr>
                    <m:sty m:val="i"/>
                  </m:rPr>
                  <m:t>t</m:t>
                </m:r>
                <m:r>
                  <m:rPr>
                    <m:sty m:val="p"/>
                  </m:rPr>
                  <m:t>)</m:t>
                </m:r>
              </m:e>
            </m:d>
          </m:e>
        </m:d>
        <m:sSub>
          <m:sSubPr/>
          <m:e>
            <m:acc>
              <m:accPr>
                <m:chr m:val="⃗"/>
              </m:accPr>
              <m:e>
                <m:r>
                  <m:rPr>
                    <m:sty m:val="i"/>
                  </m:rPr>
                  <m:t>e</m:t>
                </m:r>
              </m:e>
            </m:acc>
          </m:e>
          <m:sub>
            <m:r>
              <m:rPr>
                <m:sty m:val="p"/>
              </m:rPr>
              <m:t>r</m:t>
            </m:r>
          </m:sub>
        </m:sSub>
      </m:oMath>
      <w:r>
        <w:rPr/>
        <w:t xml:space="preserve">.</w:t>
      </w:r>
    </w:p>
    <w:p>
      <w:pPr>
        <w:spacing w:after="220" w:lineRule="auto"/>
      </w:pPr>
      <w:r>
        <w:rPr/>
        <w:t xml:space="preserve">Les enroulements statoriques comportent </w:t>
      </w:r>
      <m:oMath>
        <m:r>
          <m:rPr>
            <m:sty m:val="i"/>
          </m:rPr>
          <m:t>p</m:t>
        </m:r>
      </m:oMath>
      <w:r>
        <w:rPr>
          <w:rFonts w:eastAsia="Georgia" w:cs="Georgia" w:ascii="Georgia" w:hAnsi="Georgia"/>
        </w:rPr>
        <w:t xml:space="preserve"> paires de bobines alimentées par des courants sinusoïdaux de pulsation </w:t>
      </w:r>
      <m:oMath>
        <m:r>
          <m:rPr>
            <m:sty m:val="i"/>
          </m:rPr>
          <m:t>ω</m:t>
        </m:r>
      </m:oMath>
      <w:r>
        <w:rPr>
          <w:rFonts w:eastAsia="Georgia" w:cs="Georgia" w:ascii="Georgia" w:hAnsi="Georgia"/>
        </w:rPr>
        <w:t xml:space="preserve"> et créent dans l'entrefer un champ statorique tournant de la forme </w:t>
      </w:r>
      <m:oMath>
        <m:acc>
          <m:accPr>
            <m:chr m:val="⃗"/>
          </m:accPr>
          <m:e>
            <m:sSub>
              <m:sSubPr/>
              <m:e>
                <m:r>
                  <m:rPr>
                    <m:sty m:val="i"/>
                  </m:rPr>
                  <m:t>B</m:t>
                </m:r>
              </m:e>
              <m:sub>
                <m:r>
                  <m:rPr>
                    <m:sty m:val="p"/>
                  </m:rPr>
                  <m:t>s</m:t>
                </m:r>
              </m:sub>
            </m:sSub>
          </m:e>
        </m:acc>
        <m:r>
          <m:rPr>
            <m:sty m:val="p"/>
          </m:rPr>
          <m:t>(</m:t>
        </m:r>
        <m:r>
          <m:rPr>
            <m:sty m:val="i"/>
          </m:rPr>
          <m:t>θ</m:t>
        </m:r>
        <m:r>
          <m:rPr>
            <m:sty m:val="p"/>
          </m:rPr>
          <m:t>,</m:t>
        </m:r>
        <m:r>
          <m:rPr>
            <m:sty m:val="i"/>
          </m:rPr>
          <m:t>t</m:t>
        </m:r>
        <m:r>
          <m:rPr>
            <m:sty m:val="p"/>
          </m:rPr>
          <m:t>)</m:t>
        </m:r>
        <m:r>
          <m:rPr>
            <m:sty m:val="p"/>
          </m:rPr>
          <m:t>=</m:t>
        </m:r>
        <m:sSub>
          <m:sSubPr/>
          <m:e>
            <m:r>
              <m:rPr>
                <m:sty m:val="i"/>
              </m:rPr>
              <m:t>B</m:t>
            </m:r>
          </m:e>
          <m:sub>
            <m:r>
              <m:rPr>
                <m:sty m:val="p"/>
              </m:rPr>
              <m:t>0</m:t>
            </m:r>
          </m:sub>
        </m:sSub>
        <m:r>
          <m:rPr>
            <m:sty m:val="p"/>
          </m:rPr>
          <m:t>cos</m:t>
        </m:r>
        <m:r>
          <m:rPr>
            <m:sty m:val="p"/>
          </m:rPr>
          <m:t>⁡</m:t>
        </m:r>
        <m:r>
          <m:rPr>
            <m:sty m:val="p"/>
          </m:rPr>
          <m:t>(</m:t>
        </m:r>
        <m:r>
          <m:rPr>
            <m:sty m:val="i"/>
          </m:rPr>
          <m:t>p</m:t>
        </m:r>
        <m:r>
          <m:rPr>
            <m:sty m:val="i"/>
          </m:rPr>
          <m:t>θ</m:t>
        </m:r>
        <m:r>
          <m:rPr>
            <m:sty m:val="p"/>
          </m:rPr>
          <m:t>−</m:t>
        </m:r>
        <m:r>
          <m:rPr>
            <m:sty m:val="i"/>
          </m:rPr>
          <m:t>ω</m:t>
        </m:r>
        <m:r>
          <m:rPr>
            <m:sty m:val="i"/>
          </m:rPr>
          <m:t>t</m:t>
        </m:r>
        <m:r>
          <m:rPr>
            <m:sty m:val="p"/>
          </m:rPr>
          <m:t>)</m:t>
        </m:r>
        <m:sSub>
          <m:sSubPr/>
          <m:e>
            <m:acc>
              <m:accPr>
                <m:chr m:val="⃗"/>
              </m:accPr>
              <m:e>
                <m:r>
                  <m:rPr>
                    <m:sty m:val="i"/>
                  </m:rPr>
                  <m:t>e</m:t>
                </m:r>
              </m:e>
            </m:acc>
          </m:e>
          <m:sub>
            <m:r>
              <m:rPr>
                <m:sty m:val="p"/>
              </m:rPr>
              <m:t>r</m:t>
            </m:r>
          </m:sub>
        </m:sSub>
      </m:oMath>
      <w:r>
        <w:rPr/>
        <w:t xml:space="preserve">, avec </w:t>
      </w:r>
      <m:oMath>
        <m:sSub>
          <m:sSubPr/>
          <m:e>
            <m:r>
              <m:rPr>
                <m:sty m:val="i"/>
              </m:rPr>
              <m:t>B</m:t>
            </m:r>
          </m:e>
          <m:sub>
            <m:r>
              <m:rPr>
                <m:sty m:val="p"/>
              </m:rPr>
              <m:t>0</m:t>
            </m:r>
          </m:sub>
        </m:sSub>
        <m:r>
          <m:rPr>
            <m:sty m:val="p"/>
          </m:rPr>
          <m:t>=</m:t>
        </m:r>
        <m:r>
          <m:rPr>
            <m:sty m:val="p"/>
          </m:rPr>
          <m:t>1</m:t>
        </m:r>
        <m:r>
          <m:rPr>
            <m:sty m:val="p"/>
          </m:rPr>
          <m:t>,</m:t>
        </m:r>
        <m:r>
          <m:rPr>
            <m:sty m:val="p"/>
          </m:rPr>
          <m:t>0</m:t>
        </m:r>
        <m:r>
          <m:rPr>
            <m:nor/>
          </m:rPr>
          <m:t xml:space="preserve"> </m:t>
        </m:r>
        <m:r>
          <m:rPr>
            <m:sty m:val="p"/>
          </m:rPr>
          <m:t>T</m:t>
        </m:r>
      </m:oMath>
      <w:r>
        <w:rPr/>
        <w:t xml:space="preserve">.</w:t>
      </w:r>
      <w:r>
        <w:rPr/>
        <w:br w:type="textWrapping"/>
      </w:r>
      <w:r>
        <w:rPr/>
        <w:t xml:space="preserve">On note </w:t>
      </w:r>
      <m:oMath>
        <m:sSub>
          <m:sSubPr/>
          <m:e>
            <m:r>
              <m:rPr>
                <m:sty m:val="i"/>
              </m:rPr>
              <m:t>V</m:t>
            </m:r>
          </m:e>
          <m:sub>
            <m:r>
              <m:rPr>
                <m:sty m:val="i"/>
              </m:rPr>
              <m:t>e</m:t>
            </m:r>
          </m:sub>
        </m:sSub>
        <m:r>
          <m:rPr>
            <m:sty m:val="p"/>
          </m:rPr>
          <m:t>=</m:t>
        </m:r>
        <m:r>
          <m:rPr>
            <m:sty m:val="p"/>
          </m:rPr>
          <m:t>2</m:t>
        </m:r>
        <m:r>
          <m:rPr>
            <m:sty m:val="i"/>
          </m:rPr>
          <m:t>π</m:t>
        </m:r>
        <m:sSub>
          <m:sSubPr/>
          <m:e>
            <m:r>
              <m:rPr>
                <m:sty m:val="i"/>
              </m:rPr>
              <m:t>R</m:t>
            </m:r>
          </m:e>
          <m:sub>
            <m:r>
              <m:rPr>
                <m:sty m:val="p"/>
              </m:rPr>
              <m:t>s</m:t>
            </m:r>
          </m:sub>
        </m:sSub>
        <m:r>
          <m:rPr>
            <m:sty m:val="i"/>
          </m:rPr>
          <m:t>h</m:t>
        </m:r>
        <m:sSub>
          <m:sSubPr/>
          <m:e>
            <m:r>
              <m:rPr>
                <m:sty m:val="i"/>
              </m:rPr>
              <m:t>l</m:t>
            </m:r>
          </m:e>
          <m:sub>
            <m:r>
              <m:rPr>
                <m:sty m:val="p"/>
              </m:rPr>
              <m:t>e</m:t>
            </m:r>
          </m:sub>
        </m:sSub>
      </m:oMath>
      <w:r>
        <w:rPr/>
        <w:t xml:space="preserve"> le volume de l'entrefer.</w:t>
      </w:r>
      <w:r>
        <w:rPr/>
        <w:br w:type="textWrapping"/>
      </w:r>
      <w:r>
        <w:rPr>
          <w:rFonts w:eastAsia="Georgia" w:cs="Georgia" w:ascii="Georgia" w:hAnsi="Georgia"/>
        </w:rPr>
        <w:t xml:space="preserve">Q32. Calculer l'énergie magnétique </w:t>
      </w:r>
      <m:oMath>
        <m:sSub>
          <m:sSubPr/>
          <m:e>
            <m:r>
              <m:rPr>
                <m:scr m:val="script"/>
              </m:rPr>
              <m:t>E</m:t>
            </m:r>
          </m:e>
          <m:sub>
            <m:r>
              <m:rPr>
                <m:nor/>
              </m:rPr>
              <m:t>em </m:t>
            </m:r>
          </m:sub>
        </m:sSub>
      </m:oMath>
      <w:r>
        <w:rPr/>
        <w:t xml:space="preserve"> contenue dans l'entrefer. Pour quelle valeur de </w:t>
      </w:r>
      <m:oMath>
        <m:r>
          <m:rPr>
            <m:sty m:val="i"/>
          </m:rPr>
          <m:t>p</m:t>
        </m:r>
      </m:oMath>
      <w:r>
        <w:rPr>
          <w:rFonts w:eastAsia="Georgia" w:cs="Georgia" w:ascii="Georgia" w:hAnsi="Georgia"/>
        </w:rPr>
        <w:t xml:space="preserve"> cette énergie est-elle fonction de l'angle </w:t>
      </w:r>
      <m:oMath>
        <m:sSub>
          <m:sSubPr/>
          <m:e>
            <m:r>
              <m:rPr>
                <m:sty m:val="i"/>
              </m:rPr>
              <m:t>θ</m:t>
            </m:r>
          </m:e>
          <m:sub>
            <m:r>
              <m:rPr>
                <m:sty m:val="p"/>
              </m:rPr>
              <m:t>r</m:t>
            </m:r>
          </m:sub>
        </m:sSub>
      </m:oMath>
      <w:r>
        <w:rPr/>
        <w:t xml:space="preserve"> ? On suppose que </w:t>
      </w:r>
      <m:oMath>
        <m:r>
          <m:rPr>
            <m:sty m:val="i"/>
          </m:rPr>
          <m:t>p</m:t>
        </m:r>
      </m:oMath>
      <w:r>
        <w:rPr/>
        <w:t xml:space="preserve"> garde cette valeur par la suite.</w:t>
      </w:r>
    </w:p>
    <w:p>
      <w:pPr>
        <w:spacing w:after="220" w:lineRule="auto"/>
      </w:pPr>
      <w:r>
        <w:rPr>
          <w:rFonts w:eastAsia="Georgia" w:cs="Georgia" w:ascii="Georgia" w:hAnsi="Georgia"/>
        </w:rPr>
        <w:t xml:space="preserve">Q33. Calculer le couple des actions électromagnétiques appliquées au rotor </w:t>
      </w:r>
      <m:oMath>
        <m:r>
          <m:rPr>
            <m:sty m:val="p"/>
          </m:rPr>
          <m:t>Γ</m:t>
        </m:r>
        <m:r>
          <m:rPr>
            <m:sty m:val="p"/>
          </m:rPr>
          <m:t>=</m:t>
        </m:r>
        <m:acc>
          <m:accPr>
            <m:chr m:val="⃗"/>
          </m:accPr>
          <m:e>
            <m:r>
              <m:rPr>
                <m:sty m:val="p"/>
              </m:rPr>
              <m:t>Γ</m:t>
            </m:r>
          </m:e>
        </m:acc>
        <m:r>
          <m:rPr>
            <m:sty m:val="p"/>
          </m:rPr>
          <m:t>⋅</m:t>
        </m:r>
        <m:sSub>
          <m:sSubPr/>
          <m:e>
            <m:acc>
              <m:accPr>
                <m:chr m:val="⃗"/>
              </m:accPr>
              <m:e>
                <m:r>
                  <m:rPr>
                    <m:sty m:val="i"/>
                  </m:rPr>
                  <m:t>e</m:t>
                </m:r>
              </m:e>
            </m:acc>
          </m:e>
          <m:sub>
            <m:r>
              <m:rPr>
                <m:sty m:val="i"/>
              </m:rPr>
              <m:t>z</m:t>
            </m:r>
          </m:sub>
        </m:sSub>
        <m:r>
          <m:rPr>
            <m:sty m:val="p"/>
          </m:rPr>
          <m:t>=</m:t>
        </m:r>
        <m:f>
          <m:fPr>
            <m:ctrlPr>
              <w:rPr>
                <w:rFonts w:ascii="Cambria Math" w:hAnsi="Cambria Math"/>
              </w:rPr>
            </m:ctrlPr>
          </m:fPr>
          <m:num>
            <m:r>
              <m:rPr>
                <m:sty m:val="i"/>
              </m:rPr>
              <m:t>∂</m:t>
            </m:r>
            <m:sSub>
              <m:sSubPr/>
              <m:e>
                <m:r>
                  <m:rPr>
                    <m:scr m:val="script"/>
                  </m:rPr>
                  <m:t>E</m:t>
                </m:r>
              </m:e>
              <m:sub>
                <m:r>
                  <m:rPr>
                    <m:sty m:val="p"/>
                  </m:rPr>
                  <m:t>em</m:t>
                </m:r>
              </m:sub>
            </m:sSub>
          </m:num>
          <m:den>
            <m:r>
              <m:rPr>
                <m:sty m:val="i"/>
              </m:rPr>
              <m:t>∂</m:t>
            </m:r>
            <m:sSub>
              <m:sSubPr/>
              <m:e>
                <m:r>
                  <m:rPr>
                    <m:sty m:val="i"/>
                  </m:rPr>
                  <m:t>θ</m:t>
                </m:r>
              </m:e>
              <m:sub>
                <m:r>
                  <m:rPr>
                    <m:sty m:val="p"/>
                  </m:rPr>
                  <m:t>r</m:t>
                </m:r>
              </m:sub>
            </m:sSub>
          </m:den>
        </m:f>
      </m:oMath>
      <w:r>
        <w:rPr/>
        <w:t xml:space="preserve">.</w:t>
      </w:r>
      <w:r>
        <w:rPr/>
        <w:br w:type="textWrapping"/>
      </w:r>
      <w:r>
        <w:rPr>
          <w:rFonts w:eastAsia="Georgia" w:cs="Georgia" w:ascii="Georgia" w:hAnsi="Georgia"/>
        </w:rPr>
        <w:t xml:space="preserve">Q34. On suppose que le rotor tourne à la vitesse angulaire </w:t>
      </w:r>
      <m:oMath>
        <m:r>
          <m:rPr>
            <m:sty m:val="p"/>
          </m:rPr>
          <m:t>Ω</m:t>
        </m:r>
      </m:oMath>
      <w:r>
        <w:rPr>
          <w:rFonts w:eastAsia="Georgia" w:cs="Georgia" w:ascii="Georgia" w:hAnsi="Georgia"/>
        </w:rPr>
        <w:t xml:space="preserve">, c'est à dire que </w:t>
      </w:r>
      <m:oMath>
        <m:sSub>
          <m:sSubPr/>
          <m:e>
            <m:r>
              <m:rPr>
                <m:sty m:val="i"/>
              </m:rPr>
              <m:t>θ</m:t>
            </m:r>
          </m:e>
          <m:sub>
            <m:r>
              <m:rPr>
                <m:sty m:val="p"/>
              </m:rPr>
              <m:t>r</m:t>
            </m:r>
          </m:sub>
        </m:sSub>
        <m:r>
          <m:rPr>
            <m:sty m:val="p"/>
          </m:rPr>
          <m:t>(</m:t>
        </m:r>
        <m:r>
          <m:rPr>
            <m:sty m:val="i"/>
          </m:rPr>
          <m:t>t</m:t>
        </m:r>
        <m:r>
          <m:rPr>
            <m:sty m:val="p"/>
          </m:rPr>
          <m:t>)</m:t>
        </m:r>
        <m:r>
          <m:rPr>
            <m:sty m:val="p"/>
          </m:rPr>
          <m:t>=</m:t>
        </m:r>
        <m:r>
          <m:rPr>
            <m:sty m:val="p"/>
          </m:rPr>
          <m:t>Ω</m:t>
        </m:r>
        <m:r>
          <m:rPr>
            <m:sty m:val="i"/>
          </m:rPr>
          <m:t>t</m:t>
        </m:r>
        <m:r>
          <m:rPr>
            <m:sty m:val="p"/>
          </m:rPr>
          <m:t>−</m:t>
        </m:r>
        <m:r>
          <m:rPr>
            <m:sty m:val="i"/>
          </m:rPr>
          <m:t>α</m:t>
        </m:r>
      </m:oMath>
      <w:r>
        <w:rPr/>
        <w:t xml:space="preserve">. Pour quelle valeur de </w:t>
      </w:r>
      <m:oMath>
        <m:r>
          <m:rPr>
            <m:sty m:val="p"/>
          </m:rPr>
          <m:t>Ω</m:t>
        </m:r>
      </m:oMath>
      <w:r>
        <w:rPr/>
        <w:t xml:space="preserve"> la valeur moyenne du couple est-elle non nulle?</w:t>
      </w:r>
    </w:p>
    <w:p>
      <w:pPr>
        <w:spacing w:after="220" w:lineRule="auto"/>
      </w:pPr>
      <w:r>
        <w:rPr>
          <w:rFonts w:eastAsia="Georgia" w:cs="Georgia" w:ascii="Georgia" w:hAnsi="Georgia"/>
        </w:rPr>
        <w:t xml:space="preserve">Q35. Calculer le couple maximal. Faire l'application numérique. Comment atteindre le couple maximal, </w:t>
      </w:r>
      <m:oMath>
        <m:sSub>
          <m:sSubPr/>
          <m:e>
            <m:r>
              <m:rPr>
                <m:sty m:val="p"/>
              </m:rPr>
              <m:t>Γ</m:t>
            </m:r>
          </m:e>
          <m:sub>
            <m:r>
              <m:rPr>
                <m:sty m:val="p"/>
              </m:rPr>
              <m:t>max</m:t>
            </m:r>
          </m:sub>
        </m:sSub>
        <m:r>
          <m:rPr>
            <m:sty m:val="p"/>
          </m:rPr>
          <m:t>=</m:t>
        </m:r>
        <m:r>
          <m:rPr>
            <m:sty m:val="p"/>
          </m:rPr>
          <m:t>50</m:t>
        </m:r>
        <m:r>
          <m:rPr>
            <m:nor/>
          </m:rPr>
          <m:t xml:space="preserve"> </m:t>
        </m:r>
        <m:r>
          <m:rPr>
            <m:sty m:val="p"/>
          </m:rPr>
          <m:t>N</m:t>
        </m:r>
        <m:r>
          <m:rPr>
            <m:sty m:val="p"/>
          </m:rPr>
          <m:t>⋅</m:t>
        </m:r>
        <m:r>
          <m:rPr>
            <m:nor/>
          </m:rPr>
          <m:t xml:space="preserve"> </m:t>
        </m:r>
        <m:r>
          <m:rPr>
            <m:sty m:val="p"/>
          </m:rPr>
          <m:t>m</m:t>
        </m:r>
      </m:oMath>
      <w:r>
        <w:rPr>
          <w:rFonts w:eastAsia="Georgia" w:cs="Georgia" w:ascii="Georgia" w:hAnsi="Georgia"/>
        </w:rPr>
        <w:t xml:space="preserve">, qui est la valeur nécessaire pour atteindre les performances visées? Pour ces dimensions du moteur, on peut installer au maximum 8 paires de pôles.</w:t>
      </w:r>
    </w:p>
    <w:p>
      <w:pPr>
        <w:spacing w:lineRule="auto"/>
        <w:jc w:val="center"/>
      </w:pPr>
      <w:r>
        <w:rPr/>
        <w:drawing>
          <wp:inline distB="0" distL="0" distR="0" distT="0">
            <wp:extent cx="5486400" cy="2165806"/>
            <wp:effectExtent b="0" l="0" r="0" t="0"/>
            <wp:docPr id="15" name="image-3fa3cbe296645a6b62a66bc1287035a00df1663d.jpg"/>
            <a:graphic>
              <a:graphicData uri="http://schemas.openxmlformats.org/drawingml/2006/picture">
                <pic:pic>
                  <pic:nvPicPr>
                    <pic:cNvPr id="15" name="image-3fa3cbe296645a6b62a66bc1287035a00df1663d.jpg" descr=""/>
                    <pic:cNvPicPr/>
                  </pic:nvPicPr>
                  <pic:blipFill>
                    <a:blip r:embed="rId19" cstate="print"/>
                    <a:srcRect b="0" l="0" r="0" t="0"/>
                    <a:stretch>
                      <a:fillRect/>
                    </a:stretch>
                  </pic:blipFill>
                  <pic:spPr>
                    <a:xfrm>
                      <a:off x="0" y="0"/>
                      <a:ext cx="5486400" cy="2165806"/>
                    </a:xfrm>
                    <a:prstGeom prst="rect"/>
                  </pic:spPr>
                </pic:pic>
              </a:graphicData>
            </a:graphic>
          </wp:inline>
        </w:drawing>
      </w:r>
    </w:p>
    <w:p>
      <w:pPr>
        <w:spacing w:lineRule="auto"/>
      </w:pPr>
      <w:r>
        <w:rPr>
          <w:rFonts w:eastAsia="Georgia" w:cs="Georgia" w:ascii="Georgia" w:hAnsi="Georgia"/>
        </w:rPr>
        <w:t xml:space="preserve">Figure 15 - Vue éclatée du moteur.</w:t>
      </w:r>
    </w:p>
    <w:p>
      <w:pPr>
        <w:spacing w:line="271" w:before="330" w:lineRule="auto"/>
      </w:pPr>
      <w:r>
        <w:rPr>
          <w:b/>
          <w:sz w:val="42"/>
        </w:rPr>
        <w:t xml:space="preserve">III. 2 - L'onduleur MLI</w:t>
      </w:r>
    </w:p>
    <w:p>
      <w:pPr>
        <w:spacing w:after="220" w:lineRule="auto"/>
      </w:pPr>
      <w:r>
        <w:rPr>
          <w:rFonts w:eastAsia="Georgia" w:cs="Georgia" w:ascii="Georgia" w:hAnsi="Georgia"/>
        </w:rPr>
        <w:t xml:space="preserve">Le moteur est alimenté par un onduleur à commande MLI (Modulation de Largeur d'Impulsion). Nous simplifierons l'étude de l'onduleur par le schéma monophasé de la figure 16. La charge est constituée d'une des phases du stator.</w:t>
      </w:r>
    </w:p>
    <w:p>
      <w:pPr>
        <w:spacing w:lineRule="auto"/>
        <w:jc w:val="center"/>
      </w:pPr>
      <w:r>
        <w:rPr/>
        <w:drawing>
          <wp:inline distB="0" distL="0" distR="0" distT="0">
            <wp:extent cx="5486400" cy="2286939"/>
            <wp:effectExtent b="0" l="0" r="0" t="0"/>
            <wp:docPr id="16" name="image-181839f1fed609552135bdcfd1ffdfcd2acad380.jpg"/>
            <a:graphic>
              <a:graphicData uri="http://schemas.openxmlformats.org/drawingml/2006/picture">
                <pic:pic>
                  <pic:nvPicPr>
                    <pic:cNvPr id="16" name="image-181839f1fed609552135bdcfd1ffdfcd2acad380.jpg" descr=""/>
                    <pic:cNvPicPr/>
                  </pic:nvPicPr>
                  <pic:blipFill>
                    <a:blip r:embed="rId20" cstate="print"/>
                    <a:srcRect b="0" l="0" r="0" t="0"/>
                    <a:stretch>
                      <a:fillRect/>
                    </a:stretch>
                  </pic:blipFill>
                  <pic:spPr>
                    <a:xfrm>
                      <a:off x="0" y="0"/>
                      <a:ext cx="5486400" cy="2286939"/>
                    </a:xfrm>
                    <a:prstGeom prst="rect"/>
                  </pic:spPr>
                </pic:pic>
              </a:graphicData>
            </a:graphic>
          </wp:inline>
        </w:drawing>
      </w:r>
    </w:p>
    <w:p>
      <w:pPr>
        <w:spacing w:lineRule="auto"/>
      </w:pPr>
      <w:r>
        <w:rPr/>
        <w:t xml:space="preserve">Figure 16 - Onduleur MLI.</w:t>
      </w:r>
    </w:p>
    <w:p>
      <w:pPr>
        <w:spacing w:after="220" w:lineRule="auto"/>
      </w:pPr>
      <w:r>
        <w:rPr/>
        <w:t xml:space="preserve">Le fonctionnement des interrupteurs permet d'obtenir, aux bornes de la charge, la tension </w:t>
      </w:r>
      <m:oMath>
        <m:sSub>
          <m:sSubPr/>
          <m:e>
            <m:r>
              <m:rPr>
                <m:sty m:val="i"/>
              </m:rPr>
              <m:t>v</m:t>
            </m:r>
          </m:e>
          <m:sub>
            <m:r>
              <m:rPr>
                <m:sty m:val="p"/>
              </m:rPr>
              <m:t>ch</m:t>
            </m:r>
          </m:sub>
        </m:sSub>
        <m:r>
          <m:rPr>
            <m:sty m:val="p"/>
          </m:rPr>
          <m:t>(</m:t>
        </m:r>
        <m:r>
          <m:rPr>
            <m:sty m:val="i"/>
          </m:rPr>
          <m:t>t</m:t>
        </m:r>
        <m:r>
          <m:rPr>
            <m:sty m:val="p"/>
          </m:rPr>
          <m:t>)</m:t>
        </m:r>
        <m:r>
          <m:rPr>
            <m:sty m:val="p"/>
          </m:rPr>
          <m:t>=</m:t>
        </m:r>
        <m:sSub>
          <m:sSubPr/>
          <m:e>
            <m:r>
              <m:rPr>
                <m:sty m:val="i"/>
              </m:rPr>
              <m:t>v</m:t>
            </m:r>
          </m:e>
          <m:sub>
            <m:r>
              <m:rPr>
                <m:sty m:val="p"/>
              </m:rPr>
              <m:t>ch</m:t>
            </m:r>
            <m:r>
              <m:rPr>
                <m:sty m:val="p"/>
              </m:rPr>
              <m:t>,</m:t>
            </m:r>
            <m:sSub>
              <m:sSubPr/>
              <m:e>
                <m:r>
                  <m:rPr>
                    <m:sty m:val="i"/>
                  </m:rPr>
                  <m:t>γ</m:t>
                </m:r>
              </m:e>
              <m:sub>
                <m:r>
                  <m:rPr>
                    <m:sty m:val="p"/>
                  </m:rPr>
                  <m:t>0</m:t>
                </m:r>
              </m:sub>
            </m:sSub>
          </m:sub>
        </m:sSub>
        <m:r>
          <m:rPr>
            <m:sty m:val="p"/>
          </m:rPr>
          <m:t>(</m:t>
        </m:r>
        <m:r>
          <m:rPr>
            <m:sty m:val="i"/>
          </m:rPr>
          <m:t>t</m:t>
        </m:r>
        <m:r>
          <m:rPr>
            <m:sty m:val="p"/>
          </m:rPr>
          <m:t>)</m:t>
        </m:r>
      </m:oMath>
      <w:r>
        <w:rPr>
          <w:rFonts w:eastAsia="Georgia" w:cs="Georgia" w:ascii="Georgia" w:hAnsi="Georgia"/>
        </w:rPr>
        <w:t xml:space="preserve"> en forme de créneaux à paliers nuls, représentée sur la figure 17. Ici, le but est que le signal </w:t>
      </w:r>
      <m:oMath>
        <m:sSub>
          <m:sSubPr/>
          <m:e>
            <m:r>
              <m:rPr>
                <m:sty m:val="i"/>
              </m:rPr>
              <m:t>v</m:t>
            </m:r>
          </m:e>
          <m:sub>
            <m:r>
              <m:rPr>
                <m:sty m:val="p"/>
              </m:rPr>
              <m:t>ch</m:t>
            </m:r>
          </m:sub>
        </m:sSub>
        <m:r>
          <m:rPr>
            <m:sty m:val="p"/>
          </m:rPr>
          <m:t>(</m:t>
        </m:r>
        <m:r>
          <m:rPr>
            <m:sty m:val="i"/>
          </m:rPr>
          <m:t>t</m:t>
        </m:r>
        <m:r>
          <m:rPr>
            <m:sty m:val="p"/>
          </m:rPr>
          <m:t>)</m:t>
        </m:r>
      </m:oMath>
      <w:r>
        <w:rPr>
          <w:rFonts w:eastAsia="Georgia" w:cs="Georgia" w:ascii="Georgia" w:hAnsi="Georgia"/>
        </w:rPr>
        <w:t xml:space="preserve"> s'approche au mieux d'un signal sinusoïdal.</w:t>
      </w:r>
    </w:p>
    <w:p>
      <w:pPr>
        <w:spacing w:lineRule="auto"/>
        <w:jc w:val="center"/>
      </w:pPr>
      <w:r>
        <w:rPr/>
        <w:drawing>
          <wp:inline distB="0" distL="0" distR="0" distT="0">
            <wp:extent cx="5486400" cy="2389615"/>
            <wp:effectExtent b="0" l="0" r="0" t="0"/>
            <wp:docPr id="17" name="image-3874d251332b1ab7563a66c2fe3d6fa0ae1b0702.jpg"/>
            <a:graphic>
              <a:graphicData uri="http://schemas.openxmlformats.org/drawingml/2006/picture">
                <pic:pic>
                  <pic:nvPicPr>
                    <pic:cNvPr id="17" name="image-3874d251332b1ab7563a66c2fe3d6fa0ae1b0702.jpg" descr=""/>
                    <pic:cNvPicPr/>
                  </pic:nvPicPr>
                  <pic:blipFill>
                    <a:blip r:embed="rId21" cstate="print"/>
                    <a:srcRect b="0" l="0" r="0" t="0"/>
                    <a:stretch>
                      <a:fillRect/>
                    </a:stretch>
                  </pic:blipFill>
                  <pic:spPr>
                    <a:xfrm>
                      <a:off x="0" y="0"/>
                      <a:ext cx="5486400" cy="2389615"/>
                    </a:xfrm>
                    <a:prstGeom prst="rect"/>
                  </pic:spPr>
                </pic:pic>
              </a:graphicData>
            </a:graphic>
          </wp:inline>
        </w:drawing>
      </w:r>
    </w:p>
    <w:p>
      <w:pPr>
        <w:spacing w:lineRule="auto"/>
      </w:pPr>
      <w:r>
        <w:rPr/>
        <w:t xml:space="preserve">Figure 17 - Signal de base.</w:t>
      </w:r>
    </w:p>
    <w:p>
      <w:pPr>
        <w:spacing w:after="220" w:lineRule="auto"/>
      </w:pPr>
      <w:r>
        <w:rPr>
          <w:rFonts w:eastAsia="Georgia" w:cs="Georgia" w:ascii="Georgia" w:hAnsi="Georgia"/>
        </w:rPr>
        <w:t xml:space="preserve">Le développement en série de Fourier du signal </w:t>
      </w:r>
      <m:oMath>
        <m:sSub>
          <m:sSubPr/>
          <m:e>
            <m:r>
              <m:rPr>
                <m:sty m:val="i"/>
              </m:rPr>
              <m:t>v</m:t>
            </m:r>
          </m:e>
          <m:sub>
            <m:r>
              <m:rPr>
                <m:sty m:val="p"/>
              </m:rPr>
              <m:t>ch</m:t>
            </m:r>
            <m:r>
              <m:rPr>
                <m:sty m:val="p"/>
              </m:rPr>
              <m:t>,</m:t>
            </m:r>
            <m:sSub>
              <m:sSubPr/>
              <m:e>
                <m:r>
                  <m:rPr>
                    <m:sty m:val="i"/>
                  </m:rPr>
                  <m:t>γ</m:t>
                </m:r>
              </m:e>
              <m:sub>
                <m:r>
                  <m:rPr>
                    <m:sty m:val="p"/>
                  </m:rPr>
                  <m:t>0</m:t>
                </m:r>
              </m:sub>
            </m:sSub>
          </m:sub>
        </m:sSub>
        <m:r>
          <m:rPr>
            <m:sty m:val="p"/>
          </m:rPr>
          <m:t>(</m:t>
        </m:r>
        <m:r>
          <m:rPr>
            <m:sty m:val="i"/>
          </m:rPr>
          <m:t>t</m:t>
        </m:r>
        <m:r>
          <m:rPr>
            <m:sty m:val="p"/>
          </m:rPr>
          <m:t>)</m:t>
        </m:r>
      </m:oMath>
      <w:r>
        <w:rPr>
          <w:rFonts w:eastAsia="Georgia" w:cs="Georgia" w:ascii="Georgia" w:hAnsi="Georgia"/>
        </w:rPr>
        <w:t xml:space="preserve">, de période </w:t>
      </w:r>
      <m:oMath>
        <m:r>
          <m:rPr>
            <m:sty m:val="i"/>
          </m:rPr>
          <m:t>T</m:t>
        </m:r>
        <m:r>
          <m:rPr>
            <m:sty m:val="p"/>
          </m:rPr>
          <m:t>=</m:t>
        </m:r>
        <m:f>
          <m:fPr>
            <m:ctrlPr>
              <w:rPr>
                <w:rFonts w:ascii="Cambria Math" w:hAnsi="Cambria Math"/>
              </w:rPr>
            </m:ctrlPr>
          </m:fPr>
          <m:num>
            <m:r>
              <m:rPr>
                <m:sty m:val="p"/>
              </m:rPr>
              <m:t>2</m:t>
            </m:r>
            <m:r>
              <m:rPr>
                <m:sty m:val="i"/>
              </m:rPr>
              <m:t>π</m:t>
            </m:r>
          </m:num>
          <m:den>
            <m:r>
              <m:rPr>
                <m:sty m:val="i"/>
              </m:rPr>
              <m:t>ω</m:t>
            </m:r>
          </m:den>
        </m:f>
      </m:oMath>
      <w:r>
        <w:rPr>
          <w:rFonts w:eastAsia="Georgia" w:cs="Georgia" w:ascii="Georgia" w:hAnsi="Georgia"/>
        </w:rPr>
        <w:t xml:space="preserve">, est donné par</w:t>
      </w:r>
    </w:p>
    <w:p>
      <w:pPr>
        <w:spacing w:after="220" w:lineRule="auto"/>
      </w:pPr>
      <m:oMathPara>
        <m:oMath>
          <m:sSub>
            <m:sSubPr/>
            <m:e>
              <m:r>
                <m:rPr>
                  <m:sty m:val="i"/>
                </m:rPr>
                <m:t>v</m:t>
              </m:r>
            </m:e>
            <m:sub>
              <m:r>
                <m:rPr>
                  <m:sty m:val="p"/>
                </m:rPr>
                <m:t>ch</m:t>
              </m:r>
              <m:r>
                <m:rPr>
                  <m:sty m:val="p"/>
                </m:rPr>
                <m:t>,</m:t>
              </m:r>
              <m:sSub>
                <m:sSubPr/>
                <m:e>
                  <m:r>
                    <m:rPr>
                      <m:sty m:val="i"/>
                    </m:rPr>
                    <m:t>γ</m:t>
                  </m:r>
                </m:e>
                <m:sub>
                  <m:r>
                    <m:rPr>
                      <m:sty m:val="p"/>
                    </m:rPr>
                    <m:t>0</m:t>
                  </m:r>
                </m:sub>
              </m:sSub>
            </m:sub>
          </m:sSub>
          <m:r>
            <m:rPr>
              <m:sty m:val="p"/>
            </m:rPr>
            <m:t>(</m:t>
          </m:r>
          <m:r>
            <m:rPr>
              <m:sty m:val="i"/>
            </m:rPr>
            <m:t>t</m:t>
          </m:r>
          <m:r>
            <m:rPr>
              <m:sty m:val="p"/>
            </m:rPr>
            <m:t>)</m:t>
          </m:r>
          <m:r>
            <m:rPr>
              <m:sty m:val="p"/>
            </m:rPr>
            <m:t>=</m:t>
          </m:r>
          <m:f>
            <m:fPr>
              <m:ctrlPr>
                <w:rPr>
                  <w:rFonts w:ascii="Cambria Math" w:hAnsi="Cambria Math"/>
                </w:rPr>
              </m:ctrlPr>
            </m:fPr>
            <m:num>
              <m:r>
                <m:rPr>
                  <m:sty m:val="p"/>
                </m:rPr>
                <m:t>4</m:t>
              </m:r>
              <m:r>
                <m:rPr>
                  <m:sty m:val="i"/>
                </m:rPr>
                <m:t>E</m:t>
              </m:r>
            </m:num>
            <m:den>
              <m:r>
                <m:rPr>
                  <m:sty m:val="i"/>
                </m:rPr>
                <m:t>π</m:t>
              </m:r>
            </m:den>
          </m:f>
          <m:nary>
            <m:naryPr>
              <m:chr m:val="∑"/>
              <m:limLoc m:val="undOvr"/>
              <m:grow m:val="1"/>
            </m:naryPr>
            <m:sub>
              <m:r>
                <m:rPr>
                  <m:sty m:val="i"/>
                </m:rPr>
                <m:t>p</m:t>
              </m:r>
              <m:r>
                <m:rPr>
                  <m:sty m:val="p"/>
                </m:rPr>
                <m:t>=</m:t>
              </m:r>
              <m:r>
                <m:rPr>
                  <m:sty m:val="p"/>
                </m:rPr>
                <m:t>0</m:t>
              </m:r>
            </m:sub>
            <m:sup>
              <m:r>
                <m:rPr>
                  <m:sty m:val="p"/>
                </m:rPr>
                <m:t>+</m:t>
              </m:r>
              <m:r>
                <m:rPr>
                  <m:sty m:val="p"/>
                </m:rPr>
                <m:t>∞</m:t>
              </m:r>
            </m:sup>
            <m:e>
              <m:r>
                <m:rPr>
                  <m:sty m:val="p"/>
                </m:rPr>
                <m:t xml:space="preserve"> </m:t>
              </m:r>
            </m:e>
          </m:nary>
          <m:sSub>
            <m:sSubPr/>
            <m:e>
              <m:r>
                <m:rPr>
                  <m:sty m:val="i"/>
                </m:rPr>
                <m:t>b</m:t>
              </m:r>
            </m:e>
            <m:sub>
              <m:r>
                <m:rPr>
                  <m:sty m:val="p"/>
                </m:rPr>
                <m:t>2</m:t>
              </m:r>
              <m:r>
                <m:rPr>
                  <m:sty m:val="i"/>
                </m:rPr>
                <m:t>p</m:t>
              </m:r>
              <m:r>
                <m:rPr>
                  <m:sty m:val="p"/>
                </m:rPr>
                <m:t>+</m:t>
              </m:r>
              <m:r>
                <m:rPr>
                  <m:sty m:val="p"/>
                </m:rPr>
                <m:t>1</m:t>
              </m:r>
            </m:sub>
          </m:sSub>
          <m:r>
            <m:rPr>
              <m:sty m:val="p"/>
            </m:rPr>
            <m:t>sin</m:t>
          </m:r>
          <m:r>
            <m:rPr>
              <m:sty m:val="p"/>
            </m:rPr>
            <m:t>⁡</m:t>
          </m:r>
          <m:r>
            <m:rPr>
              <m:sty m:val="p"/>
            </m:rPr>
            <m:t>[</m:t>
          </m:r>
          <m:r>
            <m:rPr>
              <m:sty m:val="p"/>
            </m:rPr>
            <m:t>(</m:t>
          </m:r>
          <m:r>
            <m:rPr>
              <m:sty m:val="p"/>
            </m:rPr>
            <m:t>2</m:t>
          </m:r>
          <m:r>
            <m:rPr>
              <m:sty m:val="i"/>
            </m:rPr>
            <m:t>p</m:t>
          </m:r>
          <m:r>
            <m:rPr>
              <m:sty m:val="p"/>
            </m:rPr>
            <m:t>+</m:t>
          </m:r>
          <m:r>
            <m:rPr>
              <m:sty m:val="p"/>
            </m:rPr>
            <m:t>1</m:t>
          </m:r>
          <m:r>
            <m:rPr>
              <m:sty m:val="p"/>
            </m:rPr>
            <m:t>)</m:t>
          </m:r>
          <m:r>
            <m:rPr>
              <m:sty m:val="i"/>
            </m:rPr>
            <m:t>ω</m:t>
          </m:r>
          <m:r>
            <m:rPr>
              <m:sty m:val="i"/>
            </m:rPr>
            <m:t>t</m:t>
          </m:r>
          <m:r>
            <m:rPr>
              <m:sty m:val="p"/>
            </m:rPr>
            <m:t>]</m:t>
          </m:r>
          <m:r>
            <m:rPr>
              <m:sty m:val="p"/>
            </m:rPr>
            <m:t xml:space="preserve"> </m:t>
          </m:r>
          <m:r>
            <m:rPr>
              <m:nor/>
            </m:rPr>
            <m:t> avec </m:t>
          </m:r>
          <m:r>
            <m:rPr>
              <m:sty m:val="p"/>
            </m:rPr>
            <m:t xml:space="preserve"> </m:t>
          </m:r>
          <m:sSub>
            <m:sSubPr/>
            <m:e>
              <m:r>
                <m:rPr>
                  <m:sty m:val="i"/>
                </m:rPr>
                <m:t>b</m:t>
              </m:r>
            </m:e>
            <m:sub>
              <m:r>
                <m:rPr>
                  <m:sty m:val="p"/>
                </m:rPr>
                <m:t>2</m:t>
              </m:r>
              <m:r>
                <m:rPr>
                  <m:sty m:val="i"/>
                </m:rPr>
                <m:t>p</m:t>
              </m:r>
              <m:r>
                <m:rPr>
                  <m:sty m:val="p"/>
                </m:rPr>
                <m:t>+</m:t>
              </m:r>
              <m:r>
                <m:rPr>
                  <m:sty m:val="p"/>
                </m:rPr>
                <m:t>1</m:t>
              </m:r>
            </m:sub>
          </m:sSub>
          <m:r>
            <m:rPr>
              <m:sty m:val="p"/>
            </m:rPr>
            <m:t>=</m:t>
          </m:r>
          <m:f>
            <m:fPr>
              <m:ctrlPr>
                <w:rPr>
                  <w:rFonts w:ascii="Cambria Math" w:hAnsi="Cambria Math"/>
                </w:rPr>
              </m:ctrlPr>
            </m:fPr>
            <m:num>
              <m:r>
                <m:rPr>
                  <m:sty m:val="p"/>
                </m:rPr>
                <m:t>1</m:t>
              </m:r>
            </m:num>
            <m:den>
              <m:r>
                <m:rPr>
                  <m:sty m:val="p"/>
                </m:rPr>
                <m:t>2</m:t>
              </m:r>
              <m:r>
                <m:rPr>
                  <m:sty m:val="i"/>
                </m:rPr>
                <m:t>p</m:t>
              </m:r>
              <m:r>
                <m:rPr>
                  <m:sty m:val="p"/>
                </m:rPr>
                <m:t>+</m:t>
              </m:r>
              <m:r>
                <m:rPr>
                  <m:sty m:val="p"/>
                </m:rPr>
                <m:t>1</m:t>
              </m:r>
            </m:den>
          </m:f>
          <m:r>
            <m:rPr>
              <m:sty m:val="p"/>
            </m:rPr>
            <m:t>cos</m:t>
          </m:r>
          <m:r>
            <m:rPr>
              <m:sty m:val="p"/>
            </m:rPr>
            <m:t>⁡</m:t>
          </m:r>
          <m:d>
            <m:dPr>
              <m:begChr m:val="["/>
              <m:endChr m:val="]"/>
              <m:ctrlPr>
                <w:rPr>
                  <w:rFonts w:ascii="Cambria Math" w:hAnsi="Cambria Math"/>
                </w:rPr>
              </m:ctrlPr>
            </m:dPr>
            <m:e>
              <m:r>
                <m:rPr>
                  <m:sty m:val="p"/>
                </m:rPr>
                <m:t>(</m:t>
              </m:r>
              <m:r>
                <m:rPr>
                  <m:sty m:val="p"/>
                </m:rPr>
                <m:t>2</m:t>
              </m:r>
              <m:r>
                <m:rPr>
                  <m:sty m:val="i"/>
                </m:rPr>
                <m:t>p</m:t>
              </m:r>
              <m:r>
                <m:rPr>
                  <m:sty m:val="p"/>
                </m:rPr>
                <m:t>+</m:t>
              </m:r>
              <m:r>
                <m:rPr>
                  <m:sty m:val="p"/>
                </m:rPr>
                <m:t>1</m:t>
              </m:r>
              <m:r>
                <m:rPr>
                  <m:sty m:val="p"/>
                </m:rPr>
                <m:t>)</m:t>
              </m:r>
              <m:sSub>
                <m:sSubPr/>
                <m:e>
                  <m:r>
                    <m:rPr>
                      <m:sty m:val="i"/>
                    </m:rPr>
                    <m:t>γ</m:t>
                  </m:r>
                </m:e>
                <m:sub>
                  <m:r>
                    <m:rPr>
                      <m:sty m:val="p"/>
                    </m:rPr>
                    <m:t>0</m:t>
                  </m:r>
                </m:sub>
              </m:sSub>
            </m:e>
          </m:d>
          <m:r>
            <m:rPr>
              <m:sty m:val="p"/>
            </m:rPr>
            <m:t xml:space="preserve"> </m:t>
          </m:r>
          <m:r>
            <m:rPr>
              <m:nor/>
            </m:rPr>
            <m:t> et </m:t>
          </m:r>
          <m:r>
            <m:rPr>
              <m:sty m:val="p"/>
            </m:rPr>
            <m:t xml:space="preserve"> </m:t>
          </m:r>
          <m:sSub>
            <m:sSubPr/>
            <m:e>
              <m:r>
                <m:rPr>
                  <m:sty m:val="i"/>
                </m:rPr>
                <m:t>γ</m:t>
              </m:r>
            </m:e>
            <m:sub>
              <m:r>
                <m:rPr>
                  <m:sty m:val="p"/>
                </m:rPr>
                <m:t>0</m:t>
              </m:r>
            </m:sub>
          </m:sSub>
          <m:r>
            <m:rPr>
              <m:sty m:val="p"/>
            </m:rPr>
            <m:t>=</m:t>
          </m:r>
          <m:r>
            <m:rPr>
              <m:sty m:val="p"/>
            </m:rPr>
            <m:t>2</m:t>
          </m:r>
          <m:r>
            <m:rPr>
              <m:sty m:val="i"/>
            </m:rPr>
            <m:t>π</m:t>
          </m:r>
          <m:f>
            <m:fPr>
              <m:ctrlPr>
                <w:rPr>
                  <w:rFonts w:ascii="Cambria Math" w:hAnsi="Cambria Math"/>
                </w:rPr>
              </m:ctrlPr>
            </m:fPr>
            <m:num>
              <m:sSub>
                <m:sSubPr/>
                <m:e>
                  <m:r>
                    <m:rPr>
                      <m:sty m:val="i"/>
                    </m:rPr>
                    <m:t>t</m:t>
                  </m:r>
                </m:e>
                <m:sub>
                  <m:r>
                    <m:rPr>
                      <m:sty m:val="p"/>
                    </m:rPr>
                    <m:t>0</m:t>
                  </m:r>
                </m:sub>
              </m:sSub>
            </m:num>
            <m:den>
              <m:r>
                <m:rPr>
                  <m:sty m:val="i"/>
                </m:rPr>
                <m:t>T</m:t>
              </m:r>
            </m:den>
          </m:f>
          <m:r>
            <m:rPr>
              <m:sty m:val="p"/>
            </m:rPr>
            <m:t>.</m:t>
          </m:r>
        </m:oMath>
      </m:oMathPara>
    </w:p>
    <w:p>
      <w:pPr>
        <w:spacing w:after="220" w:lineRule="auto"/>
      </w:pPr>
      <w:r>
        <w:rPr>
          <w:rFonts w:eastAsia="Georgia" w:cs="Georgia" w:ascii="Georgia" w:hAnsi="Georgia"/>
        </w:rPr>
        <w:t xml:space="preserve">Q36. Présenter sous la forme d'un tableau, les séquences possibles des états des interrupteurs </w:t>
      </w:r>
      <m:oMath>
        <m:sSub>
          <m:sSubPr/>
          <m:e>
            <m:r>
              <m:rPr>
                <m:sty m:val="i"/>
              </m:rPr>
              <m:t>K</m:t>
            </m:r>
          </m:e>
          <m:sub>
            <m:r>
              <m:rPr>
                <m:sty m:val="p"/>
              </m:rPr>
              <m:t>1</m:t>
            </m:r>
          </m:sub>
        </m:sSub>
        <m:r>
          <m:rPr>
            <m:sty m:val="p"/>
          </m:rPr>
          <m:t>,</m:t>
        </m:r>
        <m:sSub>
          <m:sSubPr/>
          <m:e>
            <m:r>
              <m:rPr>
                <m:sty m:val="i"/>
              </m:rPr>
              <m:t>K</m:t>
            </m:r>
          </m:e>
          <m:sub>
            <m:r>
              <m:rPr>
                <m:sty m:val="p"/>
              </m:rPr>
              <m:t>2</m:t>
            </m:r>
          </m:sub>
        </m:sSub>
        <m:r>
          <m:rPr>
            <m:sty m:val="p"/>
          </m:rPr>
          <m:t>,</m:t>
        </m:r>
        <m:sSubSup>
          <m:sSubSupPr/>
          <m:e>
            <m:r>
              <m:rPr>
                <m:sty m:val="i"/>
              </m:rPr>
              <m:t>K</m:t>
            </m:r>
          </m:e>
          <m:sub>
            <m:r>
              <m:rPr>
                <m:sty m:val="p"/>
              </m:rPr>
              <m:t>1</m:t>
            </m:r>
          </m:sub>
          <m:sup>
            <m:r>
              <m:rPr>
                <m:sty m:val="i"/>
              </m:rPr>
              <m:t>′</m:t>
            </m:r>
          </m:sup>
        </m:sSubSup>
      </m:oMath>
      <w:r>
        <w:rPr/>
        <w:t xml:space="preserve"> et </w:t>
      </w:r>
      <m:oMath>
        <m:sSubSup>
          <m:sSubSupPr/>
          <m:e>
            <m:r>
              <m:rPr>
                <m:sty m:val="i"/>
              </m:rPr>
              <m:t>K</m:t>
            </m:r>
          </m:e>
          <m:sub>
            <m:r>
              <m:rPr>
                <m:sty m:val="p"/>
              </m:rPr>
              <m:t>2</m:t>
            </m:r>
          </m:sub>
          <m:sup>
            <m:r>
              <m:rPr>
                <m:sty m:val="i"/>
              </m:rPr>
              <m:t>′</m:t>
            </m:r>
          </m:sup>
        </m:sSubSup>
      </m:oMath>
      <w:r>
        <w:rPr/>
        <w:t xml:space="preserve"> dans cet ordre, permettant d'obtenir </w:t>
      </w:r>
      <m:oMath>
        <m:sSub>
          <m:sSubPr/>
          <m:e>
            <m:r>
              <m:rPr>
                <m:sty m:val="i"/>
              </m:rPr>
              <m:t>v</m:t>
            </m:r>
          </m:e>
          <m:sub>
            <m:r>
              <m:rPr>
                <m:sty m:val="p"/>
              </m:rPr>
              <m:t>ch</m:t>
            </m:r>
          </m:sub>
        </m:sSub>
        <m:r>
          <m:rPr>
            <m:sty m:val="p"/>
          </m:rPr>
          <m:t>(</m:t>
        </m:r>
        <m:r>
          <m:rPr>
            <m:sty m:val="i"/>
          </m:rPr>
          <m:t>t</m:t>
        </m:r>
        <m:r>
          <m:rPr>
            <m:sty m:val="p"/>
          </m:rPr>
          <m:t>)</m:t>
        </m:r>
      </m:oMath>
      <w:r>
        <w:rPr>
          <w:rFonts w:eastAsia="Georgia" w:cs="Georgia" w:ascii="Georgia" w:hAnsi="Georgia"/>
        </w:rPr>
        <w:t xml:space="preserve">. Les états ouverts ou fermés seront systématiquement notés 0 ou 1 . Sur une période </w:t>
      </w:r>
      <m:oMath>
        <m:r>
          <m:rPr>
            <m:sty m:val="i"/>
          </m:rPr>
          <m:t>T</m:t>
        </m:r>
      </m:oMath>
      <w:r>
        <w:rPr>
          <w:rFonts w:eastAsia="Georgia" w:cs="Georgia" w:ascii="Georgia" w:hAnsi="Georgia"/>
        </w:rPr>
        <w:t xml:space="preserve">, la durée totale de fermeture, ou d'ouverture, de chacun des interrupteurs est </w:t>
      </w:r>
      <m:oMath>
        <m:f>
          <m:fPr>
            <m:ctrlPr>
              <w:rPr>
                <w:rFonts w:ascii="Cambria Math" w:hAnsi="Cambria Math"/>
              </w:rPr>
            </m:ctrlPr>
          </m:fPr>
          <m:num>
            <m:r>
              <m:rPr>
                <m:sty m:val="i"/>
              </m:rPr>
              <m:t>T</m:t>
            </m:r>
          </m:num>
          <m:den>
            <m:r>
              <m:rPr>
                <m:sty m:val="p"/>
              </m:rPr>
              <m:t>2</m:t>
            </m:r>
          </m:den>
        </m:f>
      </m:oMath>
      <w:r>
        <w:rPr/>
        <w:t xml:space="preserve">.</w:t>
      </w:r>
    </w:p>
    <w:p>
      <w:pPr>
        <w:spacing w:after="220" w:lineRule="auto"/>
      </w:pPr>
      <w:r>
        <w:rPr>
          <w:rFonts w:eastAsia="Georgia" w:cs="Georgia" w:ascii="Georgia" w:hAnsi="Georgia"/>
        </w:rPr>
        <w:t xml:space="preserve">On définit le taux global de distorsion harmonique par</w:t>
      </w:r>
    </w:p>
    <w:p>
      <w:pPr>
        <w:spacing w:after="220" w:lineRule="auto"/>
      </w:pPr>
      <m:oMathPara>
        <m:oMath>
          <m:sSub>
            <m:sSubPr/>
            <m:e>
              <m:r>
                <m:rPr>
                  <m:sty m:val="i"/>
                </m:rPr>
                <m:t>τ</m:t>
              </m:r>
            </m:e>
            <m:sub>
              <m:r>
                <m:rPr>
                  <m:sty m:val="p"/>
                </m:rPr>
                <m:t>H</m:t>
              </m:r>
            </m:sub>
          </m:sSub>
          <m:r>
            <m:rPr>
              <m:sty m:val="p"/>
            </m:rPr>
            <m:t>=</m:t>
          </m:r>
          <m:f>
            <m:fPr>
              <m:ctrlPr>
                <w:rPr>
                  <w:rFonts w:ascii="Cambria Math" w:hAnsi="Cambria Math"/>
                </w:rPr>
              </m:ctrlPr>
            </m:fPr>
            <m:num>
              <m:rad>
                <m:radPr>
                  <m:degHide m:val="1"/>
                  <m:ctrlPr>
                    <w:rPr>
                      <w:rFonts w:ascii="Cambria Math" w:hAnsi="Cambria Math"/>
                    </w:rPr>
                  </m:ctrlPr>
                </m:radPr>
                <m:deg/>
                <m:e>
                  <m:sSup>
                    <m:sSupPr/>
                    <m:e>
                      <m:r>
                        <m:rPr>
                          <m:sty m:val="i"/>
                        </m:rPr>
                        <m:t>V</m:t>
                      </m:r>
                    </m:e>
                    <m:sup>
                      <m:r>
                        <m:rPr>
                          <m:sty m:val="p"/>
                        </m:rPr>
                        <m:t>2</m:t>
                      </m:r>
                    </m:sup>
                  </m:sSup>
                  <m:r>
                    <m:rPr>
                      <m:sty m:val="p"/>
                    </m:rPr>
                    <m:t>−</m:t>
                  </m:r>
                  <m:sSubSup>
                    <m:sSubSupPr/>
                    <m:e>
                      <m:r>
                        <m:rPr>
                          <m:sty m:val="i"/>
                        </m:rPr>
                        <m:t>V</m:t>
                      </m:r>
                    </m:e>
                    <m:sub>
                      <m:r>
                        <m:rPr>
                          <m:sty m:val="p"/>
                        </m:rPr>
                        <m:t>f</m:t>
                      </m:r>
                    </m:sub>
                    <m:sup>
                      <m:r>
                        <m:rPr>
                          <m:sty m:val="p"/>
                        </m:rPr>
                        <m:t>2</m:t>
                      </m:r>
                    </m:sup>
                  </m:sSubSup>
                </m:e>
              </m:rad>
            </m:num>
            <m:den>
              <m:sSub>
                <m:sSubPr/>
                <m:e>
                  <m:r>
                    <m:rPr>
                      <m:sty m:val="i"/>
                    </m:rPr>
                    <m:t>V</m:t>
                  </m:r>
                </m:e>
                <m:sub>
                  <m:r>
                    <m:rPr>
                      <m:sty m:val="p"/>
                    </m:rPr>
                    <m:t>f</m:t>
                  </m:r>
                </m:sub>
              </m:sSub>
            </m:den>
          </m:f>
        </m:oMath>
      </m:oMathPara>
    </w:p>
    <w:p>
      <w:pPr>
        <w:spacing w:after="220" w:lineRule="auto"/>
      </w:pPr>
      <w:r>
        <w:rPr>
          <w:rFonts w:eastAsia="Georgia" w:cs="Georgia" w:ascii="Georgia" w:hAnsi="Georgia"/>
        </w:rPr>
        <w:t xml:space="preserve">où </w:t>
      </w:r>
      <m:oMath>
        <m:r>
          <m:rPr>
            <m:sty m:val="i"/>
          </m:rPr>
          <m:t>V</m:t>
        </m:r>
      </m:oMath>
      <w:r>
        <w:rPr/>
        <w:t xml:space="preserve"> est la valeur efficace du signal </w:t>
      </w:r>
      <m:oMath>
        <m:sSub>
          <m:sSubPr/>
          <m:e>
            <m:r>
              <m:rPr>
                <m:sty m:val="i"/>
              </m:rPr>
              <m:t>v</m:t>
            </m:r>
          </m:e>
          <m:sub>
            <m:r>
              <m:rPr>
                <m:sty m:val="p"/>
              </m:rPr>
              <m:t>ch</m:t>
            </m:r>
          </m:sub>
        </m:sSub>
        <m:r>
          <m:rPr>
            <m:sty m:val="p"/>
          </m:rPr>
          <m:t>(</m:t>
        </m:r>
        <m:r>
          <m:rPr>
            <m:sty m:val="i"/>
          </m:rPr>
          <m:t>t</m:t>
        </m:r>
        <m:r>
          <m:rPr>
            <m:sty m:val="p"/>
          </m:rPr>
          <m:t>)</m:t>
        </m:r>
      </m:oMath>
      <w:r>
        <w:rPr/>
        <w:t xml:space="preserve"> et </w:t>
      </w:r>
      <m:oMath>
        <m:sSub>
          <m:sSubPr/>
          <m:e>
            <m:r>
              <m:rPr>
                <m:sty m:val="i"/>
              </m:rPr>
              <m:t>V</m:t>
            </m:r>
          </m:e>
          <m:sub>
            <m:r>
              <m:rPr>
                <m:sty m:val="p"/>
              </m:rPr>
              <m:t>f</m:t>
            </m:r>
          </m:sub>
        </m:sSub>
      </m:oMath>
      <w:r>
        <w:rPr/>
        <w:t xml:space="preserve"> celle du fondamental.</w:t>
      </w:r>
      <w:r>
        <w:rPr/>
        <w:br w:type="textWrapping"/>
      </w:r>
      <w:r>
        <w:rPr/>
        <w:t xml:space="preserve">Q37. Quelle valeur de </w:t>
      </w:r>
      <m:oMath>
        <m:sSub>
          <m:sSubPr/>
          <m:e>
            <m:r>
              <m:rPr>
                <m:sty m:val="i"/>
              </m:rPr>
              <m:t>t</m:t>
            </m:r>
          </m:e>
          <m:sub>
            <m:r>
              <m:rPr>
                <m:sty m:val="p"/>
              </m:rPr>
              <m:t>0</m:t>
            </m:r>
          </m:sub>
        </m:sSub>
      </m:oMath>
      <w:r>
        <w:rPr>
          <w:rFonts w:eastAsia="Georgia" w:cs="Georgia" w:ascii="Georgia" w:hAnsi="Georgia"/>
        </w:rPr>
        <w:t xml:space="preserve"> permet d'éliminer l'harmonique de rang </w:t>
      </w:r>
      <m:oMath>
        <m:r>
          <m:rPr>
            <m:sty m:val="p"/>
          </m:rPr>
          <m:t>3</m:t>
        </m:r>
        <m:r>
          <m:rPr>
            <m:sty m:val="p"/>
          </m:rPr>
          <m:t>(</m:t>
        </m:r>
        <m:r>
          <m:rPr>
            <m:sty m:val="i"/>
          </m:rPr>
          <m:t>p</m:t>
        </m:r>
        <m:r>
          <m:rPr>
            <m:sty m:val="p"/>
          </m:rPr>
          <m:t>=</m:t>
        </m:r>
        <m:r>
          <m:rPr>
            <m:sty m:val="p"/>
          </m:rPr>
          <m:t>1</m:t>
        </m:r>
        <m:r>
          <m:rPr>
            <m:sty m:val="p"/>
          </m:rPr>
          <m:t>)</m:t>
        </m:r>
      </m:oMath>
      <w:r>
        <w:rPr/>
        <w:t xml:space="preserve">. Exprimer alors </w:t>
      </w:r>
      <m:oMath>
        <m:r>
          <m:rPr>
            <m:sty m:val="i"/>
          </m:rPr>
          <m:t>V</m:t>
        </m:r>
      </m:oMath>
      <w:r>
        <w:rPr/>
        <w:t xml:space="preserve"> et </w:t>
      </w:r>
      <m:oMath>
        <m:sSub>
          <m:sSubPr/>
          <m:e>
            <m:r>
              <m:rPr>
                <m:sty m:val="i"/>
              </m:rPr>
              <m:t>V</m:t>
            </m:r>
          </m:e>
          <m:sub>
            <m:r>
              <m:rPr>
                <m:sty m:val="p"/>
              </m:rPr>
              <m:t>f</m:t>
            </m:r>
          </m:sub>
        </m:sSub>
      </m:oMath>
      <w:r>
        <w:rPr/>
        <w:t xml:space="preserve"> en fonction de </w:t>
      </w:r>
      <m:oMath>
        <m:r>
          <m:rPr>
            <m:sty m:val="i"/>
          </m:rPr>
          <m:t>E</m:t>
        </m:r>
      </m:oMath>
      <w:r>
        <w:rPr/>
        <w:t xml:space="preserve"> et </w:t>
      </w:r>
      <m:oMath>
        <m:sSub>
          <m:sSubPr/>
          <m:e>
            <m:r>
              <m:rPr>
                <m:sty m:val="i"/>
              </m:rPr>
              <m:t>γ</m:t>
            </m:r>
          </m:e>
          <m:sub>
            <m:r>
              <m:rPr>
                <m:sty m:val="p"/>
              </m:rPr>
              <m:t>0</m:t>
            </m:r>
          </m:sub>
        </m:sSub>
      </m:oMath>
      <w:r>
        <w:rPr>
          <w:rFonts w:eastAsia="Georgia" w:cs="Georgia" w:ascii="Georgia" w:hAnsi="Georgia"/>
        </w:rPr>
        <w:t xml:space="preserve"> puis calculer numériquement le taux de distorsion.</w:t>
      </w:r>
    </w:p>
    <w:p>
      <w:pPr>
        <w:spacing w:after="220" w:lineRule="auto"/>
      </w:pPr>
      <w:r>
        <w:rPr>
          <w:rFonts w:eastAsia="Georgia" w:cs="Georgia" w:ascii="Georgia" w:hAnsi="Georgia"/>
        </w:rPr>
        <w:t xml:space="preserve">Ce taux de distorsion est trop important pour éliminer les à-coups dans le pédalier du vélo. Il est nécessaire d'éliminer davantage d'harmoniques du signal </w:t>
      </w:r>
      <m:oMath>
        <m:sSub>
          <m:sSubPr/>
          <m:e>
            <m:r>
              <m:rPr>
                <m:sty m:val="i"/>
              </m:rPr>
              <m:t>v</m:t>
            </m:r>
          </m:e>
          <m:sub>
            <m:r>
              <m:rPr>
                <m:sty m:val="p"/>
              </m:rPr>
              <m:t>ch</m:t>
            </m:r>
          </m:sub>
        </m:sSub>
        <m:r>
          <m:rPr>
            <m:sty m:val="p"/>
          </m:rPr>
          <m:t>(</m:t>
        </m:r>
        <m:r>
          <m:rPr>
            <m:sty m:val="i"/>
          </m:rPr>
          <m:t>t</m:t>
        </m:r>
        <m:r>
          <m:rPr>
            <m:sty m:val="p"/>
          </m:rPr>
          <m:t>)</m:t>
        </m:r>
      </m:oMath>
      <w:r>
        <w:rPr>
          <w:rFonts w:eastAsia="Georgia" w:cs="Georgia" w:ascii="Georgia" w:hAnsi="Georgia"/>
        </w:rPr>
        <w:t xml:space="preserve">. On adopte la commande représentée sur la figure 18 .</w:t>
      </w:r>
    </w:p>
    <w:p>
      <w:pPr>
        <w:spacing w:lineRule="auto"/>
        <w:jc w:val="center"/>
      </w:pPr>
      <w:r>
        <w:rPr/>
        <w:drawing>
          <wp:inline distB="0" distL="0" distR="0" distT="0">
            <wp:extent cx="5486400" cy="2407812"/>
            <wp:effectExtent b="0" l="0" r="0" t="0"/>
            <wp:docPr id="18" name="image-127c11c9bc64076211f5032dfddba2f39ad23cce.jpg"/>
            <a:graphic>
              <a:graphicData uri="http://schemas.openxmlformats.org/drawingml/2006/picture">
                <pic:pic>
                  <pic:nvPicPr>
                    <pic:cNvPr id="18" name="image-127c11c9bc64076211f5032dfddba2f39ad23cce.jpg" descr=""/>
                    <pic:cNvPicPr/>
                  </pic:nvPicPr>
                  <pic:blipFill>
                    <a:blip r:embed="rId22" cstate="print"/>
                    <a:srcRect b="0" l="0" r="0" t="0"/>
                    <a:stretch>
                      <a:fillRect/>
                    </a:stretch>
                  </pic:blipFill>
                  <pic:spPr>
                    <a:xfrm>
                      <a:off x="0" y="0"/>
                      <a:ext cx="5486400" cy="2407812"/>
                    </a:xfrm>
                    <a:prstGeom prst="rect"/>
                  </pic:spPr>
                </pic:pic>
              </a:graphicData>
            </a:graphic>
          </wp:inline>
        </w:drawing>
      </w:r>
    </w:p>
    <w:p>
      <w:pPr>
        <w:spacing w:lineRule="auto"/>
      </w:pPr>
      <w:r>
        <w:rPr>
          <w:rFonts w:eastAsia="Georgia" w:cs="Georgia" w:ascii="Georgia" w:hAnsi="Georgia"/>
        </w:rPr>
        <w:t xml:space="preserve">Figure 18 - Commande optimisée d'alimentation.</w:t>
      </w:r>
    </w:p>
    <w:p>
      <w:pPr>
        <w:spacing w:after="220" w:lineRule="auto"/>
      </w:pPr>
      <w:r>
        <w:rPr/>
        <w:t xml:space="preserve">On souhaite fixer la valeur efficace de </w:t>
      </w:r>
      <m:oMath>
        <m:sSub>
          <m:sSubPr/>
          <m:e>
            <m:r>
              <m:rPr>
                <m:sty m:val="i"/>
              </m:rPr>
              <m:t>v</m:t>
            </m:r>
          </m:e>
          <m:sub>
            <m:r>
              <m:rPr>
                <m:sty m:val="p"/>
              </m:rPr>
              <m:t>ch</m:t>
            </m:r>
          </m:sub>
        </m:sSub>
        <m:r>
          <m:rPr>
            <m:sty m:val="p"/>
          </m:rPr>
          <m:t>(</m:t>
        </m:r>
        <m:r>
          <m:rPr>
            <m:sty m:val="i"/>
          </m:rPr>
          <m:t>t</m:t>
        </m:r>
        <m:r>
          <m:rPr>
            <m:sty m:val="p"/>
          </m:rPr>
          <m:t>)</m:t>
        </m:r>
      </m:oMath>
      <w:r>
        <w:rPr>
          <w:rFonts w:eastAsia="Georgia" w:cs="Georgia" w:ascii="Georgia" w:hAnsi="Georgia"/>
        </w:rPr>
        <w:t xml:space="preserve"> à </w:t>
      </w:r>
      <m:oMath>
        <m:r>
          <m:rPr>
            <m:sty m:val="i"/>
          </m:rPr>
          <m:t>V</m:t>
        </m:r>
        <m:r>
          <m:rPr>
            <m:sty m:val="p"/>
          </m:rPr>
          <m:t>=</m:t>
        </m:r>
        <m:f>
          <m:fPr>
            <m:ctrlPr>
              <w:rPr>
                <w:rFonts w:ascii="Cambria Math" w:hAnsi="Cambria Math"/>
              </w:rPr>
            </m:ctrlPr>
          </m:fPr>
          <m:num>
            <m:r>
              <m:rPr>
                <m:sty m:val="i"/>
              </m:rPr>
              <m:t>E</m:t>
            </m:r>
          </m:num>
          <m:den>
            <m:rad>
              <m:radPr>
                <m:degHide m:val="1"/>
                <m:ctrlPr>
                  <w:rPr>
                    <w:rFonts w:ascii="Cambria Math" w:hAnsi="Cambria Math"/>
                  </w:rPr>
                </m:ctrlPr>
              </m:radPr>
              <m:deg/>
              <m:e>
                <m:r>
                  <m:rPr>
                    <m:sty m:val="p"/>
                  </m:rPr>
                  <m:t>2</m:t>
                </m:r>
              </m:e>
            </m:rad>
          </m:den>
        </m:f>
      </m:oMath>
      <w:r>
        <w:rPr>
          <w:rFonts w:eastAsia="Georgia" w:cs="Georgia" w:ascii="Georgia" w:hAnsi="Georgia"/>
        </w:rPr>
        <w:t xml:space="preserve"> et faire en sorte que le premier harmonique non nul après le fondamental ( </w:t>
      </w:r>
      <m:oMath>
        <m:r>
          <m:rPr>
            <m:sty m:val="i"/>
          </m:rPr>
          <m:t>p</m:t>
        </m:r>
        <m:r>
          <m:rPr>
            <m:sty m:val="p"/>
          </m:rPr>
          <m:t>=</m:t>
        </m:r>
        <m:r>
          <m:rPr>
            <m:sty m:val="p"/>
          </m:rPr>
          <m:t>0</m:t>
        </m:r>
      </m:oMath>
      <w:r>
        <w:rPr/>
        <w:t xml:space="preserve"> ) soit celui de rang </w:t>
      </w:r>
      <m:oMath>
        <m:r>
          <m:rPr>
            <m:sty m:val="p"/>
          </m:rPr>
          <m:t>13</m:t>
        </m:r>
        <m:r>
          <m:rPr>
            <m:sty m:val="p"/>
          </m:rPr>
          <m:t>(</m:t>
        </m:r>
        <m:r>
          <m:rPr>
            <m:sty m:val="i"/>
          </m:rPr>
          <m:t>p</m:t>
        </m:r>
        <m:r>
          <m:rPr>
            <m:sty m:val="p"/>
          </m:rPr>
          <m:t>=</m:t>
        </m:r>
        <m:r>
          <m:rPr>
            <m:sty m:val="p"/>
          </m:rPr>
          <m:t>6</m:t>
        </m:r>
        <m:r>
          <m:rPr>
            <m:sty m:val="p"/>
          </m:rPr>
          <m:t>)</m:t>
        </m:r>
      </m:oMath>
      <w:r>
        <w:rPr/>
        <w:t xml:space="preserve">.</w:t>
      </w:r>
    </w:p>
    <w:p>
      <w:pPr>
        <w:spacing w:after="220" w:lineRule="auto"/>
      </w:pPr>
      <w:r>
        <w:rPr/>
        <w:t xml:space="preserve">Q38. Exprimer </w:t>
      </w:r>
      <m:oMath>
        <m:sSub>
          <m:sSubPr/>
          <m:e>
            <m:r>
              <m:rPr>
                <m:sty m:val="i"/>
              </m:rPr>
              <m:t>v</m:t>
            </m:r>
          </m:e>
          <m:sub>
            <m:r>
              <m:rPr>
                <m:sty m:val="p"/>
              </m:rPr>
              <m:t>ch</m:t>
            </m:r>
          </m:sub>
        </m:sSub>
        <m:r>
          <m:rPr>
            <m:sty m:val="p"/>
          </m:rPr>
          <m:t>(</m:t>
        </m:r>
        <m:r>
          <m:rPr>
            <m:sty m:val="i"/>
          </m:rPr>
          <m:t>t</m:t>
        </m:r>
        <m:r>
          <m:rPr>
            <m:sty m:val="p"/>
          </m:rPr>
          <m:t>)</m:t>
        </m:r>
      </m:oMath>
      <w:r>
        <w:rPr>
          <w:rFonts w:eastAsia="Georgia" w:cs="Georgia" w:ascii="Georgia" w:hAnsi="Georgia"/>
        </w:rPr>
        <w:t xml:space="preserve"> comme une combinaison linéaire des </w:t>
      </w:r>
      <m:oMath>
        <m:sSub>
          <m:sSubPr/>
          <m:e>
            <m:r>
              <m:rPr>
                <m:sty m:val="i"/>
              </m:rPr>
              <m:t>v</m:t>
            </m:r>
          </m:e>
          <m:sub>
            <m:r>
              <m:rPr>
                <m:sty m:val="p"/>
              </m:rPr>
              <m:t>ch</m:t>
            </m:r>
            <m:r>
              <m:rPr>
                <m:sty m:val="p"/>
              </m:rPr>
              <m:t>,</m:t>
            </m:r>
            <m:sSub>
              <m:sSubPr/>
              <m:e>
                <m:r>
                  <m:rPr>
                    <m:sty m:val="i"/>
                  </m:rPr>
                  <m:t>γ</m:t>
                </m:r>
              </m:e>
              <m:sub>
                <m:r>
                  <m:rPr>
                    <m:sty m:val="i"/>
                  </m:rPr>
                  <m:t>i</m:t>
                </m:r>
              </m:sub>
            </m:sSub>
          </m:sub>
        </m:sSub>
        <m:r>
          <m:rPr>
            <m:sty m:val="p"/>
          </m:rPr>
          <m:t>(</m:t>
        </m:r>
        <m:r>
          <m:rPr>
            <m:sty m:val="i"/>
          </m:rPr>
          <m:t>t</m:t>
        </m:r>
        <m:r>
          <m:rPr>
            <m:sty m:val="p"/>
          </m:rPr>
          <m:t>)</m:t>
        </m:r>
      </m:oMath>
      <w:r>
        <w:rPr>
          <w:rFonts w:eastAsia="Georgia" w:cs="Georgia" w:ascii="Georgia" w:hAnsi="Georgia"/>
        </w:rPr>
        <w:t xml:space="preserve">, i allant de 1 à 6 .</w:t>
      </w:r>
    </w:p>
    <w:p>
      <w:pPr>
        <w:spacing w:lineRule="auto"/>
        <w:jc w:val="center"/>
      </w:pPr>
      <w:r>
        <w:rPr/>
        <w:drawing>
          <wp:inline distB="0" distL="0" distR="0" distT="0">
            <wp:extent cx="5486400" cy="2412928"/>
            <wp:effectExtent b="0" l="0" r="0" t="0"/>
            <wp:docPr id="19" name="image-cf551469b02a1a9719681df17a1d948a19b9ff03.jpg"/>
            <a:graphic>
              <a:graphicData uri="http://schemas.openxmlformats.org/drawingml/2006/picture">
                <pic:pic>
                  <pic:nvPicPr>
                    <pic:cNvPr id="19" name="image-cf551469b02a1a9719681df17a1d948a19b9ff03.jpg" descr=""/>
                    <pic:cNvPicPr/>
                  </pic:nvPicPr>
                  <pic:blipFill>
                    <a:blip r:embed="rId23" cstate="print"/>
                    <a:srcRect b="0" l="0" r="0" t="0"/>
                    <a:stretch>
                      <a:fillRect/>
                    </a:stretch>
                  </pic:blipFill>
                  <pic:spPr>
                    <a:xfrm>
                      <a:off x="0" y="0"/>
                      <a:ext cx="5486400" cy="2412928"/>
                    </a:xfrm>
                    <a:prstGeom prst="rect"/>
                  </pic:spPr>
                </pic:pic>
              </a:graphicData>
            </a:graphic>
          </wp:inline>
        </w:drawing>
      </w:r>
    </w:p>
    <w:p>
      <w:pPr>
        <w:spacing w:lineRule="auto"/>
      </w:pPr>
      <w:r>
        <w:rPr/>
        <w:t xml:space="preserve">Figure 19 - Signal </w:t>
      </w:r>
      <m:oMath>
        <m:sSub>
          <m:sSubPr/>
          <m:e>
            <m:r>
              <m:rPr>
                <m:sty m:val="i"/>
              </m:rPr>
              <m:t>v</m:t>
            </m:r>
          </m:e>
          <m:sub>
            <m:r>
              <m:rPr>
                <m:sty m:val="p"/>
              </m:rPr>
              <m:t>ch</m:t>
            </m:r>
            <m:r>
              <m:rPr>
                <m:sty m:val="p"/>
              </m:rPr>
              <m:t>,</m:t>
            </m:r>
            <m:sSub>
              <m:sSubPr/>
              <m:e>
                <m:r>
                  <m:rPr>
                    <m:sty m:val="i"/>
                  </m:rPr>
                  <m:t>γ</m:t>
                </m:r>
              </m:e>
              <m:sub>
                <m:r>
                  <m:rPr>
                    <m:sty m:val="i"/>
                  </m:rPr>
                  <m:t>i</m:t>
                </m:r>
              </m:sub>
            </m:sSub>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Q39. Montrer qualitativement que l'on peut choisir les 6 paramètres </w:t>
      </w:r>
      <m:oMath>
        <m:sSub>
          <m:sSubPr/>
          <m:e>
            <m:r>
              <m:rPr>
                <m:sty m:val="i"/>
              </m:rPr>
              <m:t>γ</m:t>
            </m:r>
          </m:e>
          <m:sub>
            <m:r>
              <m:rPr>
                <m:sty m:val="p"/>
              </m:rPr>
              <m:t>i</m:t>
            </m:r>
            <m:r>
              <m:rPr>
                <m:sty m:val="p"/>
              </m:rPr>
              <m:t>=</m:t>
            </m:r>
            <m:r>
              <m:rPr>
                <m:sty m:val="p"/>
              </m:rPr>
              <m:t>1</m:t>
            </m:r>
            <m:r>
              <m:rPr>
                <m:sty m:val="p"/>
              </m:rPr>
              <m:t>,</m:t>
            </m:r>
            <m:r>
              <m:rPr>
                <m:sty m:val="p"/>
              </m:rPr>
              <m:t>…</m:t>
            </m:r>
            <m:r>
              <m:rPr>
                <m:sty m:val="p"/>
              </m:rPr>
              <m:t>,</m:t>
            </m:r>
            <m:r>
              <m:rPr>
                <m:sty m:val="p"/>
              </m:rPr>
              <m:t>6</m:t>
            </m:r>
          </m:sub>
        </m:sSub>
      </m:oMath>
      <w:r>
        <w:rPr/>
        <w:t xml:space="preserve"> pour que l'harmonique de rang 13 soit le premier non nul et que </w:t>
      </w:r>
      <m:oMath>
        <m:r>
          <m:rPr>
            <m:sty m:val="i"/>
          </m:rPr>
          <m:t>V</m:t>
        </m:r>
        <m:r>
          <m:rPr>
            <m:sty m:val="p"/>
          </m:rPr>
          <m:t>=</m:t>
        </m:r>
        <m:f>
          <m:fPr>
            <m:ctrlPr>
              <w:rPr>
                <w:rFonts w:ascii="Cambria Math" w:hAnsi="Cambria Math"/>
              </w:rPr>
            </m:ctrlPr>
          </m:fPr>
          <m:num>
            <m:r>
              <m:rPr>
                <m:sty m:val="i"/>
              </m:rPr>
              <m:t>E</m:t>
            </m:r>
          </m:num>
          <m:den>
            <m:rad>
              <m:radPr>
                <m:degHide m:val="1"/>
                <m:ctrlPr>
                  <w:rPr>
                    <w:rFonts w:ascii="Cambria Math" w:hAnsi="Cambria Math"/>
                  </w:rPr>
                </m:ctrlPr>
              </m:radPr>
              <m:deg/>
              <m:e>
                <m:r>
                  <m:rPr>
                    <m:sty m:val="p"/>
                  </m:rPr>
                  <m:t>2</m:t>
                </m:r>
              </m:e>
            </m:rad>
          </m:den>
        </m:f>
      </m:oMath>
      <w:r>
        <w:rPr>
          <w:rFonts w:eastAsia="Georgia" w:cs="Georgia" w:ascii="Georgia" w:hAnsi="Georgia"/>
        </w:rPr>
        <w:t xml:space="preserve">. Écrire explicitement le système vérifié par les </w:t>
      </w:r>
      <m:oMath>
        <m:sSub>
          <m:sSubPr/>
          <m:e>
            <m:r>
              <m:rPr>
                <m:sty m:val="i"/>
              </m:rPr>
              <m:t>γ</m:t>
            </m:r>
          </m:e>
          <m:sub>
            <m:r>
              <m:rPr>
                <m:sty m:val="p"/>
              </m:rPr>
              <m:t>i</m:t>
            </m:r>
          </m:sub>
        </m:sSub>
      </m:oMath>
      <w:r>
        <w:rPr>
          <w:rFonts w:eastAsia="Georgia" w:cs="Georgia" w:ascii="Georgia" w:hAnsi="Georgia"/>
        </w:rPr>
        <w:t xml:space="preserve"> sans chercher à le résoudre.</w:t>
      </w:r>
    </w:p>
    <w:p>
      <w:pPr>
        <w:spacing w:line="271" w:before="330" w:lineRule="auto"/>
      </w:pPr>
      <w:r>
        <w:rPr>
          <w:rFonts w:eastAsia="Georgia" w:cs="Georgia" w:ascii="Georgia" w:hAnsi="Georgia"/>
          <w:b/>
          <w:sz w:val="42"/>
        </w:rPr>
        <w:t xml:space="preserve">Données et formulaire</w:t>
      </w:r>
    </w:p>
    <w:p>
      <w:pPr>
        <w:spacing w:line="271" w:before="330" w:lineRule="auto"/>
      </w:pPr>
      <w:r>
        <w:rPr>
          <w:rFonts w:eastAsia="Georgia" w:cs="Georgia" w:ascii="Georgia" w:hAnsi="Georgia"/>
          <w:b/>
          <w:sz w:val="42"/>
        </w:rPr>
        <w:t xml:space="preserve">Données numériques partie I</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Masse du vélo</w:t>
            </w:r>
          </w:p>
        </w:tc>
        <w:tc>
          <w:tcPr>
            <w:tcBorders/>
            <w:vAlign w:val="center"/>
          </w:tcPr>
          <w:p>
            <w:pPr>
              <w:spacing w:lineRule="auto"/>
              <w:jc w:val="left"/>
            </w:pPr>
            <m:oMathPara>
              <m:oMathParaPr>
                <m:jc m:val="left"/>
              </m:oMathParaPr>
              <m:oMath>
                <m:sSub>
                  <m:sSubPr/>
                  <m:e>
                    <m:r>
                      <m:rPr>
                        <m:sty m:val="i"/>
                      </m:rPr>
                      <m:t>M</m:t>
                    </m:r>
                  </m:e>
                  <m:sub>
                    <m:r>
                      <m:rPr>
                        <m:nor/>
                      </m:rPr>
                      <m:t>vélo </m:t>
                    </m:r>
                  </m:sub>
                </m:sSub>
                <m:r>
                  <m:rPr>
                    <m:sty m:val="p"/>
                  </m:rPr>
                  <m:t>=</m:t>
                </m:r>
                <m:r>
                  <m:rPr>
                    <m:sty m:val="p"/>
                  </m:rPr>
                  <m:t>20</m:t>
                </m:r>
                <m:r>
                  <m:rPr>
                    <m:nor/>
                  </m:rPr>
                  <m:t xml:space="preserve"> </m:t>
                </m:r>
                <m:r>
                  <m:rPr>
                    <m:sty m:val="p"/>
                  </m:rPr>
                  <m:t>kg</m:t>
                </m:r>
              </m:oMath>
            </m:oMathPara>
          </w:p>
        </w:tc>
      </w:tr>
      <w:tr>
        <w:trPr>
          <w:cantSplit/>
        </w:trPr>
        <w:tc>
          <w:tcPr>
            <w:tcBorders/>
            <w:vAlign w:val="center"/>
          </w:tcPr>
          <w:p>
            <w:pPr>
              <w:spacing w:lineRule="auto"/>
              <w:jc w:val="left"/>
            </w:pPr>
            <w:r>
              <w:rPr/>
              <w:t xml:space="preserve">Masse du cycliste</w:t>
            </w:r>
          </w:p>
        </w:tc>
        <w:tc>
          <w:tcPr>
            <w:tcBorders/>
            <w:vAlign w:val="center"/>
          </w:tcPr>
          <w:p>
            <w:pPr>
              <w:spacing w:lineRule="auto"/>
              <w:jc w:val="left"/>
            </w:pPr>
            <m:oMathPara>
              <m:oMathParaPr>
                <m:jc m:val="left"/>
              </m:oMathParaPr>
              <m:oMath>
                <m:sSub>
                  <m:sSubPr/>
                  <m:e>
                    <m:r>
                      <m:rPr>
                        <m:sty m:val="i"/>
                      </m:rPr>
                      <m:t>M</m:t>
                    </m:r>
                  </m:e>
                  <m:sub>
                    <m:r>
                      <m:rPr>
                        <m:nor/>
                      </m:rPr>
                      <m:t>cycliste </m:t>
                    </m:r>
                  </m:sub>
                </m:sSub>
                <m:r>
                  <m:rPr>
                    <m:sty m:val="p"/>
                  </m:rPr>
                  <m:t>=</m:t>
                </m:r>
                <m:r>
                  <m:rPr>
                    <m:sty m:val="p"/>
                  </m:rPr>
                  <m:t>80</m:t>
                </m:r>
                <m:r>
                  <m:rPr>
                    <m:nor/>
                  </m:rPr>
                  <m:t xml:space="preserve"> </m:t>
                </m:r>
                <m:r>
                  <m:rPr>
                    <m:sty m:val="p"/>
                  </m:rPr>
                  <m:t>kg</m:t>
                </m:r>
              </m:oMath>
            </m:oMathPara>
          </w:p>
        </w:tc>
      </w:tr>
      <w:tr>
        <w:trPr>
          <w:cantSplit/>
        </w:trPr>
        <w:tc>
          <w:tcPr>
            <w:tcBorders/>
            <w:vAlign w:val="center"/>
          </w:tcPr>
          <w:p>
            <w:pPr>
              <w:spacing w:lineRule="auto"/>
              <w:jc w:val="left"/>
            </w:pPr>
            <w:r>
              <w:rPr>
                <w:rFonts w:eastAsia="Georgia" w:cs="Georgia" w:ascii="Georgia" w:hAnsi="Georgia"/>
              </w:rPr>
              <w:t xml:space="preserve">Accélération de la pesanteur</w:t>
            </w:r>
          </w:p>
        </w:tc>
        <w:tc>
          <w:tcPr>
            <w:tcBorders/>
            <w:vAlign w:val="center"/>
          </w:tcPr>
          <w:p>
            <w:pPr>
              <w:spacing w:lineRule="auto"/>
              <w:jc w:val="left"/>
            </w:pPr>
            <m:oMathPara>
              <m:oMathParaPr>
                <m:jc m:val="left"/>
              </m:oMathParaP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p>
        </w:tc>
      </w:tr>
    </w:tbl>
    <w:p>
      <w:pPr>
        <w:spacing w:lineRule="auto"/>
      </w:pPr>
    </w:p>
    <w:p>
      <w:pPr>
        <w:spacing w:line="271" w:before="330" w:lineRule="auto"/>
      </w:pPr>
      <w:r>
        <w:rPr>
          <w:rFonts w:eastAsia="Georgia" w:cs="Georgia" w:ascii="Georgia" w:hAnsi="Georgia"/>
          <w:b/>
          <w:sz w:val="42"/>
        </w:rPr>
        <w:t xml:space="preserve">Données numériques partie II</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Constante d'Avogadro</w:t>
            </w:r>
          </w:p>
        </w:tc>
        <w:tc>
          <w:tcPr>
            <w:tcBorders/>
            <w:vAlign w:val="center"/>
          </w:tcPr>
          <w:p>
            <w:pPr>
              <w:spacing w:lineRule="auto"/>
              <w:jc w:val="left"/>
            </w:pPr>
            <m:oMathPara>
              <m:oMathParaPr>
                <m:jc m:val="left"/>
              </m:oMathParaPr>
              <m:oMath>
                <m:sSub>
                  <m:sSubPr/>
                  <m:e>
                    <m:r>
                      <m:rPr>
                        <m:scr m:val="script"/>
                      </m:rPr>
                      <m:t>N</m:t>
                    </m:r>
                  </m:e>
                  <m:sub>
                    <m:r>
                      <m:rPr>
                        <m:sty m:val="p"/>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des gaz parfaits</w:t>
            </w:r>
          </w:p>
        </w:tc>
        <w:tc>
          <w:tcPr>
            <w:tcBorders/>
            <w:vAlign w:val="center"/>
          </w:tcPr>
          <w:p>
            <w:pPr>
              <w:spacing w:lineRule="auto"/>
              <w:jc w:val="left"/>
            </w:pPr>
            <m:oMathPara>
              <m:oMathParaPr>
                <m:jc m:val="left"/>
              </m:oMathParaP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Produit ionique de l'eau</w:t>
            </w:r>
          </w:p>
        </w:tc>
        <w:tc>
          <w:tcPr>
            <w:tcBorders/>
            <w:vAlign w:val="center"/>
          </w:tcPr>
          <w:p>
            <w:pPr>
              <w:spacing w:lineRule="auto"/>
              <w:jc w:val="left"/>
            </w:pPr>
            <m:oMathPara>
              <m:oMathParaPr>
                <m:jc m:val="left"/>
              </m:oMathParaPr>
              <m:oMath>
                <m:sSub>
                  <m:sSubPr/>
                  <m:e>
                    <m:r>
                      <m:rPr>
                        <m:sty m:val="i"/>
                      </m:rPr>
                      <m:t>K</m:t>
                    </m:r>
                  </m:e>
                  <m:sub>
                    <m:r>
                      <m:rPr>
                        <m:sty m:val="i"/>
                      </m:rPr>
                      <m:t>e</m:t>
                    </m:r>
                  </m:sub>
                </m:sSub>
                <m:r>
                  <m:rPr>
                    <m:sty m:val="p"/>
                  </m:rPr>
                  <m:t>=</m:t>
                </m:r>
                <m:sSup>
                  <m:sSupPr/>
                  <m:e>
                    <m:r>
                      <m:rPr>
                        <m:sty m:val="p"/>
                      </m:rPr>
                      <m:t>10</m:t>
                    </m:r>
                  </m:e>
                  <m:sup>
                    <m:r>
                      <m:rPr>
                        <m:sty m:val="p"/>
                      </m:rPr>
                      <m:t>−</m:t>
                    </m:r>
                    <m:r>
                      <m:rPr>
                        <m:sty m:val="p"/>
                      </m:rPr>
                      <m:t>14</m:t>
                    </m:r>
                  </m:sup>
                </m:sSup>
              </m:oMath>
            </m:oMathPara>
          </w:p>
        </w:tc>
      </w:tr>
      <w:tr>
        <w:trPr>
          <w:cantSplit/>
        </w:trPr>
        <w:tc>
          <w:tcPr>
            <w:tcBorders/>
            <w:vAlign w:val="center"/>
          </w:tcPr>
          <w:p>
            <w:pPr>
              <w:spacing w:lineRule="auto"/>
              <w:jc w:val="left"/>
            </w:pPr>
            <w:r>
              <w:rPr/>
              <w:t xml:space="preserve">Masse molaire du NMC111</w:t>
            </w:r>
          </w:p>
        </w:tc>
        <w:tc>
          <w:tcPr>
            <w:tcBorders/>
            <w:vAlign w:val="center"/>
          </w:tcPr>
          <w:p>
            <w:pPr>
              <w:spacing w:lineRule="auto"/>
              <w:jc w:val="left"/>
            </w:pPr>
            <m:oMathPara>
              <m:oMathParaPr>
                <m:jc m:val="left"/>
              </m:oMathParaPr>
              <m:oMath>
                <m:sSub>
                  <m:sSubPr/>
                  <m:e>
                    <m:r>
                      <m:rPr>
                        <m:sty m:val="i"/>
                      </m:rPr>
                      <m:t>M</m:t>
                    </m:r>
                  </m:e>
                  <m:sub>
                    <m:r>
                      <m:rPr>
                        <m:sty m:val="p"/>
                      </m:rPr>
                      <m:t>NMC</m:t>
                    </m:r>
                    <m:r>
                      <m:rPr>
                        <m:sty m:val="p"/>
                      </m:rPr>
                      <m:t>111</m:t>
                    </m:r>
                  </m:sub>
                </m:sSub>
                <m:r>
                  <m:rPr>
                    <m:sty m:val="p"/>
                  </m:rPr>
                  <m:t>=</m:t>
                </m:r>
                <m:r>
                  <m:rPr>
                    <m:sty m:val="p"/>
                  </m:rPr>
                  <m:t>97</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Données thermodynamiques à 298 K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m:oMathPara>
              <m:oMathParaPr>
                <m:jc m:val="left"/>
              </m:oMathParaPr>
              <m:oMath>
                <m:r>
                  <m:rPr>
                    <m:sty m:val="p"/>
                  </m:rPr>
                  <m:t>Co</m:t>
                </m:r>
                <m:r>
                  <m:rPr>
                    <m:sty m:val="p"/>
                  </m:rPr>
                  <m:t>(</m:t>
                </m:r>
                <m:r>
                  <m:rPr>
                    <m:sty m:val="p"/>
                  </m:rPr>
                  <m:t>OH</m:t>
                </m:r>
                <m:sSub>
                  <m:sSubPr/>
                  <m:e>
                    <m:r>
                      <m:rPr>
                        <m:sty m:val="p"/>
                      </m:rPr>
                      <m:t>)</m:t>
                    </m:r>
                  </m:e>
                  <m:sub>
                    <m:r>
                      <m:rPr>
                        <m:sty m:val="p"/>
                      </m:rPr>
                      <m:t>2</m:t>
                    </m:r>
                  </m:sub>
                </m:sSub>
                <m:r>
                  <m:rPr>
                    <m:sty m:val="p"/>
                  </m:rPr>
                  <m:t>(</m:t>
                </m:r>
                <m:r>
                  <m:rPr>
                    <m:nor/>
                  </m:rPr>
                  <m:t xml:space="preserve"> </m:t>
                </m:r>
                <m:r>
                  <m:rPr>
                    <m:sty m:val="p"/>
                  </m:rPr>
                  <m:t>s</m:t>
                </m:r>
                <m:r>
                  <m:rPr>
                    <m:sty m:val="p"/>
                  </m:rPr>
                  <m:t>)</m:t>
                </m:r>
              </m:oMath>
            </m:oMathPara>
          </w:p>
        </w:tc>
        <w:tc>
          <w:tcPr>
            <w:tcBorders/>
            <w:vAlign w:val="center"/>
          </w:tcPr>
          <w:p>
            <w:pPr>
              <w:spacing w:lineRule="auto"/>
              <w:jc w:val="left"/>
            </w:pPr>
            <m:oMathPara>
              <m:oMathParaPr>
                <m:jc m:val="left"/>
              </m:oMathParaPr>
              <m:oMath>
                <m:sSub>
                  <m:sSubPr/>
                  <m:e>
                    <m:r>
                      <m:rPr>
                        <m:sty m:val="p"/>
                      </m:rPr>
                      <m:t>pK</m:t>
                    </m:r>
                  </m:e>
                  <m:sub>
                    <m:sSub>
                      <m:sSubPr/>
                      <m:e>
                        <m:r>
                          <m:rPr>
                            <m:sty m:val="p"/>
                          </m:rPr>
                          <m:t>s</m:t>
                        </m:r>
                      </m:e>
                      <m:sub>
                        <m:r>
                          <m:rPr>
                            <m:sty m:val="p"/>
                          </m:rPr>
                          <m:t>2</m:t>
                        </m:r>
                      </m:sub>
                    </m:sSub>
                  </m:sub>
                </m:sSub>
                <m:r>
                  <m:rPr>
                    <m:sty m:val="p"/>
                  </m:rPr>
                  <m:t>=</m:t>
                </m:r>
                <m:r>
                  <m:rPr>
                    <m:sty m:val="p"/>
                  </m:rPr>
                  <m:t>16</m:t>
                </m:r>
              </m:oMath>
            </m:oMathPara>
          </w:p>
        </w:tc>
      </w:tr>
      <w:tr>
        <w:trPr>
          <w:cantSplit/>
        </w:trPr>
        <w:tc>
          <w:tcPr>
            <w:tcBorders/>
            <w:vAlign w:val="center"/>
          </w:tcPr>
          <w:p>
            <w:pPr>
              <w:spacing w:lineRule="auto"/>
              <w:jc w:val="left"/>
            </w:pPr>
            <m:oMathPara>
              <m:oMathParaPr>
                <m:jc m:val="left"/>
              </m:oMathParaPr>
              <m:oMath>
                <m:r>
                  <m:rPr>
                    <m:sty m:val="p"/>
                  </m:rPr>
                  <m:t>Ni</m:t>
                </m:r>
                <m:r>
                  <m:rPr>
                    <m:sty m:val="p"/>
                  </m:rPr>
                  <m:t>(</m:t>
                </m:r>
                <m:r>
                  <m:rPr>
                    <m:sty m:val="p"/>
                  </m:rPr>
                  <m:t>OH</m:t>
                </m:r>
                <m:sSub>
                  <m:sSubPr/>
                  <m:e>
                    <m:r>
                      <m:rPr>
                        <m:sty m:val="p"/>
                      </m:rPr>
                      <m:t>)</m:t>
                    </m:r>
                  </m:e>
                  <m:sub>
                    <m:r>
                      <m:rPr>
                        <m:sty m:val="p"/>
                      </m:rPr>
                      <m:t>2</m:t>
                    </m:r>
                  </m:sub>
                </m:sSub>
                <m:r>
                  <m:rPr>
                    <m:sty m:val="p"/>
                  </m:rPr>
                  <m:t>(</m:t>
                </m:r>
                <m:r>
                  <m:rPr>
                    <m:nor/>
                  </m:rPr>
                  <m:t xml:space="preserve"> </m:t>
                </m:r>
                <m:r>
                  <m:rPr>
                    <m:sty m:val="p"/>
                  </m:rPr>
                  <m:t>s</m:t>
                </m:r>
                <m:r>
                  <m:rPr>
                    <m:sty m:val="p"/>
                  </m:rPr>
                  <m:t>)</m:t>
                </m:r>
              </m:oMath>
            </m:oMathPara>
          </w:p>
        </w:tc>
        <w:tc>
          <w:tcPr>
            <w:tcBorders/>
            <w:vAlign w:val="center"/>
          </w:tcPr>
          <w:p>
            <w:pPr>
              <w:spacing w:lineRule="auto"/>
              <w:jc w:val="left"/>
            </w:pPr>
            <m:oMathPara>
              <m:oMathParaPr>
                <m:jc m:val="left"/>
              </m:oMathParaPr>
              <m:oMath>
                <m:sSub>
                  <m:sSubPr/>
                  <m:e>
                    <m:r>
                      <m:rPr>
                        <m:sty m:val="p"/>
                      </m:rPr>
                      <m:t>pK</m:t>
                    </m:r>
                  </m:e>
                  <m:sub>
                    <m:sSub>
                      <m:sSubPr/>
                      <m:e>
                        <m:r>
                          <m:rPr>
                            <m:sty m:val="p"/>
                          </m:rPr>
                          <m:t>s</m:t>
                        </m:r>
                      </m:e>
                      <m:sub>
                        <m:r>
                          <m:rPr>
                            <m:sty m:val="p"/>
                          </m:rPr>
                          <m:t>3</m:t>
                        </m:r>
                      </m:sub>
                    </m:sSub>
                  </m:sub>
                </m:sSub>
                <m:r>
                  <m:rPr>
                    <m:sty m:val="p"/>
                  </m:rPr>
                  <m:t>=</m:t>
                </m:r>
                <m:r>
                  <m:rPr>
                    <m:sty m:val="p"/>
                  </m:rPr>
                  <m:t>16</m:t>
                </m:r>
              </m:oMath>
            </m:oMathPara>
          </w:p>
        </w:tc>
      </w:tr>
      <w:tr>
        <w:trPr>
          <w:cantSplit/>
        </w:trPr>
        <w:tc>
          <w:tcPr>
            <w:tcBorders/>
            <w:vAlign w:val="center"/>
          </w:tcPr>
          <w:p>
            <w:pPr>
              <w:spacing w:lineRule="auto"/>
              <w:jc w:val="left"/>
            </w:pPr>
            <m:oMathPara>
              <m:oMathParaPr>
                <m:jc m:val="left"/>
              </m:oMathParaPr>
              <m:oMath>
                <m:r>
                  <m:rPr>
                    <m:sty m:val="p"/>
                  </m:rPr>
                  <m:t>Li</m:t>
                </m:r>
                <m:r>
                  <m:rPr>
                    <m:sty m:val="p"/>
                  </m:rPr>
                  <m:t>(</m:t>
                </m:r>
                <m:r>
                  <m:rPr>
                    <m:sty m:val="p"/>
                  </m:rPr>
                  <m:t>OH</m:t>
                </m:r>
                <m:r>
                  <m:rPr>
                    <m:sty m:val="p"/>
                  </m:rPr>
                  <m:t>)</m:t>
                </m:r>
                <m:r>
                  <m:rPr>
                    <m:sty m:val="p"/>
                  </m:rPr>
                  <m:t>(</m:t>
                </m:r>
                <m:r>
                  <m:rPr>
                    <m:sty m:val="p"/>
                  </m:rPr>
                  <m:t>s</m:t>
                </m:r>
                <m:r>
                  <m:rPr>
                    <m:sty m:val="p"/>
                  </m:rPr>
                  <m:t>)</m:t>
                </m:r>
              </m:oMath>
            </m:oMathPara>
          </w:p>
        </w:tc>
        <w:tc>
          <w:tcPr>
            <w:tcBorders/>
            <w:vAlign w:val="center"/>
          </w:tcPr>
          <w:p>
            <w:pPr>
              <w:spacing w:lineRule="auto"/>
              <w:jc w:val="left"/>
            </w:pPr>
            <w:r>
              <w:rPr>
                <w:rFonts w:eastAsia="Georgia" w:cs="Georgia" w:ascii="Georgia" w:hAnsi="Georgia"/>
              </w:rPr>
              <w:t xml:space="preserve">très soluble</w:t>
            </w:r>
          </w:p>
        </w:tc>
      </w:tr>
      <w:tr>
        <w:trPr>
          <w:cantSplit/>
        </w:trPr>
        <w:tc>
          <w:tcPr>
            <w:tcBorders/>
            <w:vAlign w:val="center"/>
          </w:tcPr>
          <w:p>
            <w:pPr>
              <w:spacing w:lineRule="auto"/>
              <w:jc w:val="left"/>
            </w:pPr>
            <w:r>
              <w:rPr/>
              <w:t xml:space="preserve">Produit ionique de l'eau</w:t>
            </w:r>
          </w:p>
        </w:tc>
        <w:tc>
          <w:tcPr>
            <w:tcBorders/>
            <w:vAlign w:val="center"/>
          </w:tcPr>
          <w:p>
            <w:pPr>
              <w:spacing w:lineRule="auto"/>
              <w:jc w:val="left"/>
            </w:pPr>
            <m:oMathPara>
              <m:oMathParaPr>
                <m:jc m:val="left"/>
              </m:oMathParaPr>
              <m:oMath>
                <m:sSub>
                  <m:sSubPr/>
                  <m:e>
                    <m:r>
                      <m:rPr>
                        <m:sty m:val="p"/>
                      </m:rPr>
                      <m:t>pK</m:t>
                    </m:r>
                  </m:e>
                  <m:sub>
                    <m:r>
                      <m:rPr>
                        <m:sty m:val="p"/>
                      </m:rPr>
                      <m:t>e</m:t>
                    </m:r>
                  </m:sub>
                </m:sSub>
                <m:r>
                  <m:rPr>
                    <m:sty m:val="p"/>
                  </m:rPr>
                  <m:t>=</m:t>
                </m:r>
                <m:r>
                  <m:rPr>
                    <m:sty m:val="p"/>
                  </m:rPr>
                  <m:t>14</m:t>
                </m:r>
              </m:oMath>
            </m:oMathPara>
          </w:p>
        </w:tc>
      </w:tr>
    </w:tbl>
    <w:p>
      <w:pPr>
        <w:spacing w:lineRule="auto"/>
      </w:pPr>
    </w:p>
    <w:p>
      <w:pPr>
        <w:spacing w:line="271" w:before="330" w:lineRule="auto"/>
      </w:pPr>
      <w:r>
        <w:rPr>
          <w:rFonts w:eastAsia="Georgia" w:cs="Georgia" w:ascii="Georgia" w:hAnsi="Georgia"/>
          <w:b/>
          <w:sz w:val="42"/>
        </w:rPr>
        <w:t xml:space="preserve">Données numériques partie III</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Perméabilité du vide</w:t>
            </w:r>
          </w:p>
        </w:tc>
        <w:tc>
          <w:tcPr>
            <w:tcBorders/>
            <w:vAlign w:val="center"/>
          </w:tcPr>
          <w:p>
            <w:pPr>
              <w:spacing w:lineRule="auto"/>
              <w:jc w:val="left"/>
            </w:pPr>
            <m:oMathPara>
              <m:oMathParaPr>
                <m:jc m:val="left"/>
              </m:oMathParaP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m:oMathPara>
          </w:p>
        </w:tc>
      </w:tr>
      <w:tr>
        <w:trPr>
          <w:cantSplit/>
        </w:trPr>
        <w:tc>
          <w:tcPr>
            <w:tcBorders/>
            <w:vAlign w:val="center"/>
          </w:tcPr>
          <w:p>
            <w:pPr>
              <w:spacing w:lineRule="auto"/>
              <w:jc w:val="left"/>
            </w:pPr>
            <w:r>
              <w:rPr/>
              <w:t xml:space="preserve">Rayon du stator du moteur synchrone</w:t>
            </w:r>
          </w:p>
        </w:tc>
        <w:tc>
          <w:tcPr>
            <w:tcBorders/>
            <w:vAlign w:val="center"/>
          </w:tcPr>
          <w:p>
            <w:pPr>
              <w:spacing w:lineRule="auto"/>
              <w:jc w:val="left"/>
            </w:pPr>
            <m:oMathPara>
              <m:oMathParaPr>
                <m:jc m:val="left"/>
              </m:oMathParaPr>
              <m:oMath>
                <m:sSub>
                  <m:sSubPr/>
                  <m:e>
                    <m:r>
                      <m:rPr>
                        <m:sty m:val="i"/>
                      </m:rPr>
                      <m:t>R</m:t>
                    </m:r>
                  </m:e>
                  <m:sub>
                    <m:r>
                      <m:rPr>
                        <m:sty m:val="p"/>
                      </m:rPr>
                      <m:t>s</m:t>
                    </m:r>
                  </m:sub>
                </m:sSub>
                <m:r>
                  <m:rPr>
                    <m:sty m:val="p"/>
                  </m:rPr>
                  <m:t>=</m:t>
                </m:r>
                <m:r>
                  <m:rPr>
                    <m:sty m:val="p"/>
                  </m:rPr>
                  <m:t>4</m:t>
                </m:r>
                <m:r>
                  <m:rPr>
                    <m:sty m:val="p"/>
                  </m:rPr>
                  <m:t>,</m:t>
                </m:r>
                <m:r>
                  <m:rPr>
                    <m:sty m:val="p"/>
                  </m:rPr>
                  <m:t>5</m:t>
                </m:r>
                <m:r>
                  <m:rPr>
                    <m:nor/>
                  </m:rPr>
                  <m:t xml:space="preserve"> </m:t>
                </m:r>
                <m:r>
                  <m:rPr>
                    <m:sty m:val="p"/>
                  </m:rPr>
                  <m:t>cm</m:t>
                </m:r>
              </m:oMath>
            </m:oMathPara>
          </w:p>
        </w:tc>
      </w:tr>
      <w:tr>
        <w:trPr>
          <w:cantSplit/>
        </w:trPr>
        <w:tc>
          <w:tcPr>
            <w:tcBorders/>
            <w:vAlign w:val="center"/>
          </w:tcPr>
          <w:p>
            <w:pPr>
              <w:spacing w:lineRule="auto"/>
              <w:jc w:val="left"/>
            </w:pPr>
            <w:r>
              <w:rPr/>
              <w:t xml:space="preserve">Hauteur du stator du moteur synchrone</w:t>
            </w:r>
          </w:p>
        </w:tc>
        <w:tc>
          <w:tcPr>
            <w:tcBorders/>
            <w:vAlign w:val="center"/>
          </w:tcPr>
          <w:p>
            <w:pPr>
              <w:spacing w:lineRule="auto"/>
              <w:jc w:val="left"/>
            </w:pPr>
            <m:oMathPara>
              <m:oMathParaPr>
                <m:jc m:val="left"/>
              </m:oMathParaPr>
              <m:oMath>
                <m:r>
                  <m:rPr>
                    <m:sty m:val="i"/>
                  </m:rPr>
                  <m:t>h</m:t>
                </m:r>
                <m:r>
                  <m:rPr>
                    <m:sty m:val="p"/>
                  </m:rPr>
                  <m:t>=</m:t>
                </m:r>
                <m:r>
                  <m:rPr>
                    <m:sty m:val="p"/>
                  </m:rPr>
                  <m:t>2</m:t>
                </m:r>
                <m:r>
                  <m:rPr>
                    <m:sty m:val="p"/>
                  </m:rPr>
                  <m:t>,</m:t>
                </m:r>
                <m:r>
                  <m:rPr>
                    <m:sty m:val="p"/>
                  </m:rPr>
                  <m:t>0</m:t>
                </m:r>
                <m:r>
                  <m:rPr>
                    <m:nor/>
                  </m:rPr>
                  <m:t xml:space="preserve"> </m:t>
                </m:r>
                <m:r>
                  <m:rPr>
                    <m:sty m:val="p"/>
                  </m:rPr>
                  <m:t>cm</m:t>
                </m:r>
              </m:oMath>
            </m:oMathPara>
          </w:p>
        </w:tc>
      </w:tr>
      <w:tr>
        <w:trPr>
          <w:cantSplit/>
        </w:trPr>
        <w:tc>
          <w:tcPr>
            <w:tcBorders/>
            <w:vAlign w:val="center"/>
          </w:tcPr>
          <w:p>
            <w:pPr>
              <w:spacing w:lineRule="auto"/>
              <w:jc w:val="left"/>
            </w:pPr>
            <w:r>
              <w:rPr/>
              <w:t xml:space="preserve">Largeur de l'entrefer du moteur synchrone</w:t>
            </w:r>
          </w:p>
        </w:tc>
        <w:tc>
          <w:tcPr>
            <w:tcBorders/>
            <w:vAlign w:val="center"/>
          </w:tcPr>
          <w:p>
            <w:pPr>
              <w:spacing w:lineRule="auto"/>
              <w:jc w:val="left"/>
            </w:pPr>
            <m:oMathPara>
              <m:oMathParaPr>
                <m:jc m:val="left"/>
              </m:oMathParaPr>
              <m:oMath>
                <m:sSub>
                  <m:sSubPr/>
                  <m:e>
                    <m:r>
                      <m:rPr>
                        <m:sty m:val="i"/>
                      </m:rPr>
                      <m:t>l</m:t>
                    </m:r>
                  </m:e>
                  <m:sub>
                    <m:r>
                      <m:rPr>
                        <m:sty m:val="p"/>
                      </m:rPr>
                      <m:t>e</m:t>
                    </m:r>
                  </m:sub>
                </m:sSub>
                <m:r>
                  <m:rPr>
                    <m:sty m:val="p"/>
                  </m:rPr>
                  <m:t>=</m:t>
                </m:r>
                <m:r>
                  <m:rPr>
                    <m:sty m:val="p"/>
                  </m:rPr>
                  <m:t>0</m:t>
                </m:r>
                <m:r>
                  <m:rPr>
                    <m:sty m:val="p"/>
                  </m:rPr>
                  <m:t>,</m:t>
                </m:r>
                <m:r>
                  <m:rPr>
                    <m:sty m:val="p"/>
                  </m:rPr>
                  <m:t>7</m:t>
                </m:r>
                <m:r>
                  <m:rPr>
                    <m:nor/>
                  </m:rPr>
                  <m:t xml:space="preserve"> </m:t>
                </m:r>
                <m:r>
                  <m:rPr>
                    <m:sty m:val="p"/>
                  </m:rPr>
                  <m:t>mm</m:t>
                </m:r>
              </m:oMath>
            </m:oMathPara>
          </w:p>
        </w:tc>
      </w:tr>
    </w:tbl>
    <w:p>
      <w:pPr>
        <w:spacing w:lineRule="auto"/>
      </w:pPr>
    </w:p>
    <w:p>
      <w:pPr>
        <w:spacing w:line="271" w:before="330" w:lineRule="auto"/>
      </w:pPr>
      <w:r>
        <w:rPr>
          <w:b/>
          <w:sz w:val="42"/>
        </w:rPr>
        <w:t xml:space="preserve">Formulaire</w:t>
      </w:r>
    </w:p>
    <w:p>
      <w:pPr>
        <w:spacing w:after="220" w:lineRule="auto"/>
      </w:pPr>
      <m:oMathPara>
        <m:oMathParaPr>
          <m:jc m:val="left"/>
        </m:oMathParaPr>
        <m:oMath>
          <m:r>
            <m:rPr>
              <m:sty m:val="p"/>
            </m:rPr>
            <m:t>2</m:t>
          </m:r>
          <m:r>
            <m:rPr>
              <m:sty m:val="p"/>
            </m:rPr>
            <m:t>cos</m:t>
          </m:r>
          <m:r>
            <m:rPr>
              <m:sty m:val="p"/>
            </m:rPr>
            <m:t>⁡</m:t>
          </m:r>
          <m:r>
            <m:rPr>
              <m:sty m:val="p"/>
            </m:rPr>
            <m:t>(</m:t>
          </m:r>
          <m:r>
            <m:rPr>
              <m:sty m:val="i"/>
            </m:rPr>
            <m:t>a</m:t>
          </m:r>
          <m:r>
            <m:rPr>
              <m:sty m:val="p"/>
            </m:rPr>
            <m:t>)</m:t>
          </m:r>
          <m:r>
            <m:rPr>
              <m:sty m:val="p"/>
            </m:rPr>
            <m:t>cos</m:t>
          </m:r>
          <m:r>
            <m:rPr>
              <m:sty m:val="p"/>
            </m:rPr>
            <m:t>⁡</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1ecb9e0ecbeb2476295724ffaeaaec2d59b0eed.jpg" TargetMode="Internal"/><Relationship Id="rId6" Type="http://schemas.openxmlformats.org/officeDocument/2006/relationships/image" Target="media/image-1e9e887c17650b2d66d423464401b75cede6d6d9.jpg" TargetMode="Internal"/><Relationship Id="rId7" Type="http://schemas.openxmlformats.org/officeDocument/2006/relationships/image" Target="media/image-5b339136b96eac2d509ccd2fea370ff7dec281c6.jpg" TargetMode="Internal"/><Relationship Id="rId8" Type="http://schemas.openxmlformats.org/officeDocument/2006/relationships/image" Target="media/image-46a1fe88960df58b99999db896e350bc9e2a245f.jpg" TargetMode="Internal"/><Relationship Id="rId9" Type="http://schemas.openxmlformats.org/officeDocument/2006/relationships/image" Target="media/image-51aa9fdecb7b23e3300499fc35069086596139a5.jpg" TargetMode="Internal"/><Relationship Id="rId10" Type="http://schemas.openxmlformats.org/officeDocument/2006/relationships/image" Target="media/image-13818c72127b90ee46aff1e582e0059a8b483d82.jpg" TargetMode="Internal"/><Relationship Id="rId11" Type="http://schemas.openxmlformats.org/officeDocument/2006/relationships/image" Target="media/image-6f02ab941219f437bd67922e82a301906d7b48ec.jpg" TargetMode="Internal"/><Relationship Id="rId12" Type="http://schemas.openxmlformats.org/officeDocument/2006/relationships/image" Target="media/image-66a7f1ce1d0719ed216bf7c0c8886df55467ec0c.jpg" TargetMode="Internal"/><Relationship Id="rId13" Type="http://schemas.openxmlformats.org/officeDocument/2006/relationships/image" Target="media/image-f4e110b3e73e4dcbed41d897f6f62cbede90daf7.jpg" TargetMode="Internal"/><Relationship Id="rId14" Type="http://schemas.openxmlformats.org/officeDocument/2006/relationships/image" Target="media/image-4d63fb2fae782dcd0a28730c95825cd10cd574a6.jpg" TargetMode="Internal"/><Relationship Id="rId15" Type="http://schemas.openxmlformats.org/officeDocument/2006/relationships/image" Target="media/image-5f9daed0dc4daac8de91e10d05fe3138fd0ecec1.jpg" TargetMode="Internal"/><Relationship Id="rId16" Type="http://schemas.openxmlformats.org/officeDocument/2006/relationships/image" Target="media/image-af4fbea31516f655858db201e44463043a75e107.jpg" TargetMode="Internal"/><Relationship Id="rId17" Type="http://schemas.openxmlformats.org/officeDocument/2006/relationships/image" Target="media/image-5e939947653c4895895db200a0876505c73c26c3.jpg" TargetMode="Internal"/><Relationship Id="rId18" Type="http://schemas.openxmlformats.org/officeDocument/2006/relationships/image" Target="media/image-8cd7a8e937ec68633203a79cd3fb31c5f0a8846b.jpg" TargetMode="Internal"/><Relationship Id="rId19" Type="http://schemas.openxmlformats.org/officeDocument/2006/relationships/image" Target="media/image-3fa3cbe296645a6b62a66bc1287035a00df1663d.jpg" TargetMode="Internal"/><Relationship Id="rId20" Type="http://schemas.openxmlformats.org/officeDocument/2006/relationships/image" Target="media/image-181839f1fed609552135bdcfd1ffdfcd2acad380.jpg" TargetMode="Internal"/><Relationship Id="rId21" Type="http://schemas.openxmlformats.org/officeDocument/2006/relationships/image" Target="media/image-3874d251332b1ab7563a66c2fe3d6fa0ae1b0702.jpg" TargetMode="Internal"/><Relationship Id="rId22" Type="http://schemas.openxmlformats.org/officeDocument/2006/relationships/image" Target="media/image-127c11c9bc64076211f5032dfddba2f39ad23cce.jpg" TargetMode="Internal"/><Relationship Id="rId23" Type="http://schemas.openxmlformats.org/officeDocument/2006/relationships/image" Target="media/image-cf551469b02a1a9719681df17a1d948a19b9ff0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2025-09-04T21:51:45.373Z</dcterms:created>
  <dcterms:modified xsi:type="dcterms:W3CDTF">2025-09-04T21:51:45.373Z</dcterms:modified>
</cp:coreProperties>
</file>