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1 MP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3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 la calculatrice n'est pas autorisée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 de sommes de séries.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nombre entier naturel non nul. On considère la série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l'exercice est de calculer la somme de la série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en utilisant la somme de la série entière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,</m:t>
          </m:r>
          <m:r>
            <m:rPr>
              <m:nor/>
            </m:rPr>
            <m:t> pour </m:t>
          </m:r>
          <m:r>
            <m:rPr>
              <m:sty m:val="i"/>
            </m:rPr>
            <m:t>x</m:t>
          </m:r>
          <m:r>
            <m:rPr>
              <m:nor/>
            </m:rPr>
            <m:t> réel. 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Etude de la série entière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Donner la limite pour </w:t>
      </w:r>
      <m:oMath>
        <m:r>
          <m:rPr>
            <m:sty m:val="i"/>
          </m:rPr>
          <m:t>n</m:t>
        </m:r>
      </m:oMath>
      <w:r>
        <w:rPr/>
        <w:t xml:space="preserve"> tendant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selon les valeurs du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Pour quelles valeurs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série de terme général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est-elle convergente? Pour ces valeurs de </w:t>
      </w:r>
      <m:oMath>
        <m:r>
          <m:rPr>
            <m:sty m:val="i"/>
          </m:rPr>
          <m:t>x</m:t>
        </m:r>
      </m:oMath>
      <w:r>
        <w:rPr/>
        <w:t xml:space="preserve">, exprimer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l'aide des fonctions usuelles.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déduire, à l'aide d'une intégrale, une expression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2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. Une série alternée.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a l'inégalité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(indication : On pourra étudier la fonction qui envoie </w:t>
      </w:r>
      <m:oMath>
        <m:r>
          <m:rPr>
            <m:sty m:val="i"/>
          </m:rPr>
          <m:t>y</m:t>
        </m:r>
      </m:oMath>
      <w:r>
        <w:rPr/>
        <w:t xml:space="preserve"> sur</w:t>
      </w:r>
    </w:p>
    <w:p>
      <w:pPr>
        <w:spacing w:after="220" w:lineRule="auto"/>
      </w:pPr>
      <m:oMathPara>
        <m:oMath>
          <m:d>
            <m:dPr>
              <m:begChr m:val="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nor/>
                </m:rPr>
                <m:t> sur 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(b)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décroit et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Enoncer avec précision le théorème de convergence des séries alternées.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convergence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un encadrement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ses sommes partielles.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les inégalités: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euclidien de dimension </w:t>
      </w:r>
      <m:oMath>
        <m:r>
          <m:rPr>
            <m:sty m:val="p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Le produit scalaire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L'orthogonal d'un sous-espace vectoriel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noté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rappelle que l'application nulle est le seul endomorphisme auto-adjoint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réalisant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σ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son endomorphisme adjoint.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une symétrie vectorielle. On note </w:t>
      </w:r>
      <m:oMath>
        <m:r>
          <m:rPr>
            <m:sty m:val="i"/>
          </m:rPr>
          <m:t>I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l'ensemble des invariants et </w:t>
      </w:r>
      <m:oMath>
        <m:r>
          <m:rPr>
            <m:sty m:val="i"/>
          </m:rPr>
          <m:t>D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la direction. On a donc </w:t>
      </w:r>
      <m:oMath>
        <m:r>
          <m:rPr>
            <m:sty m:val="i"/>
          </m:rPr>
          <m:t>I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Dir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Ecrire les matrices des applications linéaires </w:t>
      </w:r>
      <m:oMath>
        <m:r>
          <m:rPr>
            <m:sty m:val="i"/>
          </m:rPr>
          <m:t>σ</m:t>
        </m:r>
        <m:r>
          <m:rPr>
            <m:sty m:val="p"/>
          </m:rPr>
          <m:t>−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dans une base de diagonalisation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Id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Id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Inv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et Dir </w:t>
      </w:r>
      <m:oMath>
        <m:sSub>
          <m:sSubPr/>
          <m:e>
            <m:r>
              <m:rPr>
                <m:sty m:val="i"/>
              </m:rPr>
              <m:t xml:space="preserve"> 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ker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Justifier que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une symétrie dont on précisera l'ensemble des invariants et la direction.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endomorphisme auto-adjoint, défini positif, cette dernière hypothèse signifiant que pour tout vecteur non nul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Q</m:t>
        </m:r>
      </m:oMath>
      <w:r>
        <w:rPr/>
        <w:t xml:space="preserve"> l'ensemble des vecteurs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suppose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cr m:val="script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. On veut démontrer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σ</m:t>
                </m:r>
              </m:sub>
            </m:sSub>
          </m:e>
        </m:d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i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σ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x</m:t>
        </m:r>
      </m:oMath>
      <w:r>
        <w:rPr/>
        <w:t xml:space="preserve"> un vecteur non nul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Déterminer un réel </w:t>
      </w:r>
      <m:oMath>
        <m:r>
          <m:rPr>
            <m:sty m:val="i"/>
          </m:rPr>
          <m:t>k</m:t>
        </m:r>
      </m:oMath>
      <w:r>
        <w:rPr/>
        <w:t xml:space="preserve"> tel que le vecteur </w:t>
      </w:r>
      <m:oMath>
        <m:r>
          <m:rPr>
            <m:sty m:val="i"/>
          </m:rPr>
          <m:t>k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cr m:val="script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En déduire que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y</m:t>
        </m:r>
      </m:oMath>
      <w:r>
        <w:rPr/>
        <w:t xml:space="preserve"> un vecteur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σ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y</m:t>
        </m:r>
      </m:oMath>
      <w:r>
        <w:rPr/>
        <w:t xml:space="preserve"> est invariant par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Démontrer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σ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i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σ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On admet le résultat général suivant :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endomorphisme auto-adjoint, dont aucune valeur propre n'est nulle, et dont l'une au moins est strictement positive. On note </w:t>
      </w:r>
      <m:oMath>
        <m:r>
          <m:rPr>
            <m:scr m:val="script"/>
          </m:rPr>
          <m:t>Q</m:t>
        </m:r>
      </m:oMath>
      <w:r>
        <w:rPr/>
        <w:t xml:space="preserve"> l'ensemble des vecteurs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Alors il existe une symétrie </w:t>
      </w:r>
      <m:oMath>
        <m:r>
          <m:rPr>
            <m:sty m:val="i"/>
          </m:rPr>
          <m:t>σ</m:t>
        </m:r>
      </m:oMath>
      <w:r>
        <w:rPr/>
        <w:t xml:space="preserve"> dont l'ensemble des invariants est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et qui vérifie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cr m:val="script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Q</m:t>
        </m:r>
      </m:oMath>
      <w:r>
        <w:rPr/>
        <w:t xml:space="preserve"> si et seulement si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sont en somme directe. Dans ce cas, la direction de la symétrie </w:t>
      </w:r>
      <m:oMath>
        <m:r>
          <m:rPr>
            <m:sty m:val="i"/>
          </m:rPr>
          <m:t>σ</m:t>
        </m:r>
      </m:oMath>
      <w:r>
        <w:rPr/>
        <w:t xml:space="preserve"> est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On illustre le résultat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et </w:t>
      </w:r>
      <m:oMath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 est l'ellipse d'équation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dans un repère orthonormé du plan. Soit </w:t>
      </w:r>
      <m:oMath>
        <m:r>
          <m:rPr>
            <m:sty m:val="i"/>
          </m:rPr>
          <m:t>I</m:t>
        </m:r>
      </m:oMath>
      <w:r>
        <w:rPr/>
        <w:t xml:space="preserve"> une droite passant par l'origine recoupant l'ellipse en deux points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Déterminer la direction de la symétrie par rapport à la droite </w:t>
      </w:r>
      <m:oMath>
        <m:r>
          <m:rPr>
            <m:sty m:val="i"/>
          </m:rPr>
          <m:t>I</m:t>
        </m:r>
      </m:oMath>
      <w:r>
        <w:rPr/>
        <w:t xml:space="preserve"> laissant globalement invariant l'ellipse </w:t>
      </w:r>
      <m:oMath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, et en donner une interprétation géométrique.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réel, (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la quadrique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y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dans la base canonique. Déterminer la matrice (dans la base canonique) de la symétrie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, distincte de l'identité, laissant globalement invariante chaque quadrique (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), et laissant fixe chacun des vecteurs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variant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l'exercice, on considère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 sign la fonction qui associe 1 à un réel strictement positif, -1 à un réel strictement négatif, et 0 au réel 0 .</w:t>
      </w:r>
    </w:p>
    <w:p>
      <w:pPr>
        <w:spacing w:line="271" w:before="330" w:lineRule="auto"/>
      </w:pP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1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. Egalité de deux fonctions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nombre réel fixé, on définit les deux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par les relations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ω</m:t>
              </m:r>
            </m:num>
            <m:den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ω</m:t>
              </m:r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u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u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et exprimer sa dérivée à l'aide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B</m:t>
            </m:r>
          </m:den>
        </m:f>
      </m:oMath>
      <w:r>
        <w:rPr/>
        <w:t xml:space="preserve"> et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B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(b) Montrer que la fonction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</m:oMath>
      <w:r>
        <w:rPr/>
        <w:t xml:space="preserve">, est prolongeable en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est au moins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Démontrer l'égalité sur </w:t>
      </w:r>
      <m:oMath>
        <m:r>
          <m:rPr>
            <m:scr m:val="double-struck"/>
          </m:rPr>
          <m:t>R</m:t>
        </m:r>
      </m:oMath>
      <w:r>
        <w:rPr/>
        <w:t xml:space="preserve"> des deux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Calcul de limites.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nombre réel fixé.</w:t>
      </w:r>
      <w:r>
        <w:rPr/>
        <w:br w:type="textWrapping"/>
      </w:r>
      <w:r>
        <w:rPr>
          <w:rFonts w:eastAsia="Georgia" w:cs="Georgia" w:ascii="Georgia" w:hAnsi="Georgia"/>
        </w:rPr>
        <w:t xml:space="preserve">On utilise les deux résultats suivants, qưil est inutile de redémontrer :</w:t>
      </w:r>
      <w:r>
        <w:rPr/>
        <w:br w:type="textWrapping"/>
      </w:r>
      <w:r>
        <w:rPr/>
        <w:t xml:space="preserve">(i) Pour toute fonction </w:t>
      </w:r>
      <m:oMath>
        <m:r>
          <m:rPr>
            <m:sty m:val="i"/>
          </m:rPr>
          <m:t>λ</m:t>
        </m:r>
      </m:oMath>
      <w:r>
        <w:rPr/>
        <w:t xml:space="preserve"> continue sur un segment </w:t>
      </w:r>
      <m:oMath>
        <m:r>
          <m:rPr>
            <m:sty m:val="p"/>
          </m:rPr>
          <m:t>[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c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 tend vers 0 lorsque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(ii) La limite pour </w:t>
      </w:r>
      <m:oMath>
        <m:r>
          <m:rPr>
            <m:sty m:val="i"/>
          </m:rPr>
          <m:t>x</m:t>
        </m:r>
      </m:oMath>
      <w:r>
        <w:rPr/>
        <w:t xml:space="preserve"> tendant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u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 existe et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B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u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u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 iu en montrant au préalable son égalité avec la Iimite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 pour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la limite pour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i"/>
          </m:rPr>
          <m:t>π</m:t>
        </m:r>
        <m:r>
          <m:rPr>
            <m:sty m:val="p"/>
          </m:rPr>
          <m:t>sign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la limite pour </w:t>
      </w:r>
      <m:oMath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i"/>
          </m:rPr>
          <m:t>π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[</m:t>
        </m:r>
        <m:r>
          <m:rPr>
            <m:sty m:val="p"/>
          </m:rPr>
          <m:t>sign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sign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Une formule dinversion.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∣</m:t>
            </m:r>
          </m:sup>
        </m:sSup>
      </m:oMath>
      <w:r>
        <w:rPr/>
        <w:t xml:space="preserve">, et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pour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(a) Etudier, selon les valeurs du réel a, l'intégrabilité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. En déduire l'ensemble de définition de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suivant les valeurs de a.</w:t>
      </w:r>
      <w:r>
        <w:rPr/>
        <w:br w:type="textWrapping"/>
      </w:r>
      <w:r>
        <w:rPr/>
        <w:t xml:space="preserve">(b) Expliciter, en cas d'existence, la valeur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pour tout réel </w:t>
      </w:r>
      <m:oMath>
        <m:r>
          <m:rPr>
            <m:sty m:val="i"/>
          </m:rPr>
          <m:t>t</m:t>
        </m:r>
      </m:oMath>
      <w:r>
        <w:rPr/>
        <w:t xml:space="preserve">, la fonction </w:t>
      </w:r>
      <m:oMath>
        <m:r>
          <m:rPr>
            <m:sty m:val="i"/>
          </m:rPr>
          <m:t>ω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Démontrer à l'aide du résultat du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(c) la formule d’inversion :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. En préciser les conditions de validité.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