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m:oMath>
        <m:r>
          <m:rPr>
            <m:sty m:val="bi"/>
          </m:rPr>
          <m:t>P</m:t>
        </m:r>
      </m:oMath>
      <w:r>
        <w:rPr>
          <w:rFonts w:eastAsia="Georgia" w:cs="Georgia" w:ascii="Georgia" w:hAnsi="Georgia"/>
        </w:rPr>
        <w:t xml:space="preserve"> désigne le plan affine euclidien rapporté à un repère orthonormé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 réel strictement positif. On note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le couple des coordonnées d'un point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bi"/>
          </m:rPr>
          <m:t>P</m:t>
        </m:r>
      </m:oMath>
      <w:r>
        <w:rPr/>
        <w:t xml:space="preserve">. Soit (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) l'hyperbole équilatère d'équation cartésienne :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On considère trois points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deux à deux distincts, dont les abscisses sont notées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respectivement.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les coordonnées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) du centre de gravité </w:t>
      </w:r>
      <m:oMath>
        <m:r>
          <m:rPr>
            <m:sty m:val="i"/>
          </m:rPr>
          <m:t>G</m:t>
        </m:r>
      </m:oMath>
      <w:r>
        <w:rPr/>
        <w:t xml:space="preserve"> du triangle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les coordonnées (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/>
        <w:t xml:space="preserve"> ) de l'orthocentre </w:t>
      </w:r>
      <m:oMath>
        <m:r>
          <m:rPr>
            <m:sty m:val="i"/>
          </m:rPr>
          <m:t>H</m:t>
        </m:r>
      </m:oMath>
      <w:r>
        <w:rPr/>
        <w:t xml:space="preserve"> du triangle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On suppose, dans cette question, que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triangle équilatéral.</w:t>
      </w:r>
      <w:r>
        <w:rPr/>
        <w:br w:type="textWrapping"/>
      </w:r>
      <w:r>
        <w:rPr/>
        <w:t xml:space="preserve">a) Que peut-on dire de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?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les racines du polynôme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avec: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i"/>
            </m:rPr>
            <m:t>λ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X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λ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On appelle sommets de ( </w:t>
      </w:r>
      <m:oMath>
        <m:r>
          <m:rPr>
            <m:sty m:val="i"/>
          </m:rPr>
          <m:t>γ</m:t>
        </m:r>
      </m:oMath>
      <w:r>
        <w:rPr/>
        <w:t xml:space="preserve"> ) les points d'intersection de (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) avec la droite d'équation :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 On suppose que </w:t>
      </w:r>
      <m:oMath>
        <m:r>
          <m:rPr>
            <m:sty m:val="i"/>
          </m:rPr>
          <m:t>H</m:t>
        </m:r>
      </m:oMath>
      <w:r>
        <w:rPr/>
        <w:t xml:space="preserve"> n'est pas l'un des sommets de </w:t>
      </w:r>
      <m:oMath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. Montrer que l'intersection du cercle circonscrit au triangle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 contient un point </w:t>
      </w:r>
      <m:oMath>
        <m:r>
          <m:rPr>
            <m:sty m:val="i"/>
          </m:rPr>
          <m:t>D</m:t>
        </m:r>
      </m:oMath>
      <w:r>
        <w:rPr/>
        <w:t xml:space="preserve"> distinct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Préciser les coordonnées de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réel non nul et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polynôme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i"/>
            </m:rPr>
            <m:t>r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X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Déterminer le signe du produit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admet trois racines réelles deux à deux distinctes et non nulles notées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Soient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les points de ( </w:t>
      </w:r>
      <m:oMath>
        <m:r>
          <m:rPr>
            <m:sty m:val="i"/>
          </m:rPr>
          <m:t>r</m:t>
        </m:r>
      </m:oMath>
      <w:r>
        <w:rPr/>
        <w:t xml:space="preserve"> ) d'abscisses respectives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le triangle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est équilatéral.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Donner une construction géométrique permettant d'obtenir tous les triangles équilatéraux dont les sommets appartiennent à </w:t>
      </w:r>
      <m:oMath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×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/>
                </m:d>
              </m:e>
            </m:d>
          </m:e>
        </m:d>
      </m:oMath>
      <w:r>
        <w:rPr/>
        <w:t xml:space="preserve"> par :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</m:e>
            </m:rad>
          </m:sup>
        </m:sSup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strictement positif fixé, montrer que l'application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est intégrable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sup>
          </m:sSup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/>
        <w:t xml:space="preserve">a) Prouver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et, pour </w:t>
      </w:r>
      <m:oMath>
        <m:r>
          <m:rPr>
            <m:sty m:val="i"/>
          </m:rPr>
          <m:t>x</m:t>
        </m:r>
      </m:oMath>
      <w:r>
        <w:rPr/>
        <w:t xml:space="preserve"> strictement positif, donner une expression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forme d'une intégrale.</w:t>
      </w:r>
      <w:r>
        <w:rPr/>
        <w:br w:type="textWrapping"/>
      </w:r>
      <w:r>
        <w:rPr/>
        <w:t xml:space="preserve">b)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aussi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sup>
          </m:s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donner une expression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forme d'une intégrale.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Montrer que </w:t>
      </w:r>
      <m:oMath>
        <m:r>
          <m:rPr>
            <m:sty m:val="i"/>
          </m:rPr>
          <m:t>F</m:t>
        </m:r>
      </m:oMath>
      <w:r>
        <w:rPr/>
        <w:t xml:space="preserve"> est solution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[de l'équation différentielle suivante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x</m:t>
              </m:r>
            </m:e>
          </m:ra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den>
          </m:f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Déterminer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On admet le résultat suivant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un réel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tel que pour tout réel </w:t>
      </w:r>
      <m:oMath>
        <m:r>
          <m:rPr>
            <m:sty m:val="i"/>
          </m:rPr>
          <m:t>u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Justifier l'existence du réel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défini par :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6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strictement positif, majorer l'intégrale : </w:t>
      </w:r>
      <w:r>
        <w:rPr/>
        <w:t xml:space="preserve"> en \right. fonction de </w:t>
      </w:r>
      <m:oMath>
        <m:r>
          <m:rPr>
            <m:sty m:val="i"/>
          </m:rPr>
          <m:t>J</m:t>
        </m:r>
      </m:oMath>
      <w:r>
        <w:rPr/>
        <w:t xml:space="preserve"> et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équivalent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num>
          <m:den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4</m:t>
                </m:r>
              </m:sup>
            </m:sSup>
          </m:den>
        </m:f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deux parties de cet exercice peuvent être traitées indépendamment.</w:t>
      </w:r>
      <w:r>
        <w:rPr/>
        <w:br w:type="textWrapping"/>
      </w:r>
      <w:r>
        <w:rPr>
          <w:rFonts w:eastAsia="Georgia" w:cs="Georgia" w:ascii="Georgia" w:hAnsi="Georgia"/>
        </w:rPr>
        <w:t xml:space="preserve">R est le corps des nombres réels, C celui des nombres complexes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</w:t>
      </w:r>
      <m:oMath>
        <m:r>
          <m:rPr>
            <m:sty m:val="p"/>
          </m:rPr>
          <m:t>2</m:t>
        </m:r>
        <m:r>
          <m:rPr>
            <m:sty m:val="p"/>
          </m:rPr>
          <m:t>.</m:t>
        </m:r>
        <m:r>
          <m:rPr>
            <m:sty m:val="p"/>
          </m:rPr>
          <m:t>K</m:t>
        </m:r>
        <m:r>
          <m:rPr>
            <m:sty m:val="p"/>
          </m:rPr>
          <m:t>=</m:t>
        </m:r>
        <m:r>
          <m:rPr>
            <m:sty m:val="p"/>
          </m:rPr>
          <m:t>R</m:t>
        </m:r>
      </m:oMath>
      <w:r>
        <w:rPr/>
        <w:t xml:space="preserve"> ou </w:t>
      </w:r>
      <m:oMath>
        <m:r>
          <m:rPr>
            <m:sty m:val="p"/>
          </m:rPr>
          <m:t>K</m:t>
        </m:r>
        <m:r>
          <m:rPr>
            <m:sty m:val="p"/>
          </m:rPr>
          <m:t>=</m:t>
        </m:r>
        <m:r>
          <m:rPr>
            <m:sty m:val="p"/>
          </m:rPr>
          <m:t>C</m:t>
        </m:r>
      </m:oMath>
      <w:r>
        <w:rPr>
          <w:rFonts w:eastAsia="Georgia" w:cs="Georgia" w:ascii="Georgia" w:hAnsi="Georgia"/>
        </w:rPr>
        <w:t xml:space="preserve">. On note E le K -espace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K . </w:t>
      </w:r>
      <m:oMath>
        <m:r>
          <m:rPr>
            <m:sty m:val="i"/>
          </m:rPr>
          <m:t>O</m:t>
        </m:r>
      </m:oMath>
      <w:r>
        <w:rPr/>
        <w:t xml:space="preserve"> est la matrice nulle de </w:t>
      </w:r>
      <m:oMath>
        <m:r>
          <m:rPr>
            <m:sty m:val="p"/>
          </m:rPr>
          <m:t>E</m:t>
        </m:r>
        <m:r>
          <m:rPr>
            <m:sty m:val="p"/>
          </m:rPr>
          <m:t>,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la matrice identité de E. Pour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E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désignent respectivement la matrice transposée de </w:t>
      </w:r>
      <m:oMath>
        <m:r>
          <m:rPr>
            <m:sty m:val="i"/>
          </m:rPr>
          <m:t>M</m:t>
        </m:r>
      </m:oMath>
      <w:r>
        <w:rPr/>
        <w:t xml:space="preserve"> et la trace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On note F le K -espace vectoriel des matrices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et une colonne et à coefficients dans K. Pour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désigne la matrice transposée de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éléments de E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l'endomorphisme de E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ty m:val="p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i"/>
            </m:rPr>
            <m:t>B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Première partie. Dans cette partie </w:t>
      </w:r>
      <m:oMath>
        <m:r>
          <m:rPr>
            <m:sty m:val="p"/>
          </m:rPr>
          <m:t>K</m:t>
        </m:r>
        <m:r>
          <m:rPr>
            <m:sty m:val="p"/>
          </m:rPr>
          <m:t>=</m:t>
        </m:r>
        <m:r>
          <m:rPr>
            <m:sty m:val="p"/>
          </m:rPr>
          <m:t>C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On suppose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ont une valeur propre commune notée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a) Justifier l'existence de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éléments non nuls de F vérifiant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Y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B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Z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Prouver que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 élément non nul de E. Calculer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Z</m:t>
            </m:r>
          </m:e>
        </m:d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On suppose qu'il existe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élément non nul de E tel que :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/>
        <w:t xml:space="preserve">a) Pour </w:t>
      </w:r>
      <m:oMath>
        <m:r>
          <m:rPr>
            <m:sty m:val="i"/>
          </m:rPr>
          <m:t>k</m:t>
        </m:r>
      </m:oMath>
      <w:r>
        <w:rPr/>
        <w:t xml:space="preserve"> entier naturel, prouver que :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. En déduire que pour tout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complexes on a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Soit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le polynôme caractéristique de </w:t>
      </w:r>
      <m:oMath>
        <m:r>
          <m:rPr>
            <m:sty m:val="i"/>
          </m:rPr>
          <m:t>A</m:t>
        </m:r>
      </m:oMath>
      <w:r>
        <w:rPr/>
        <w:t xml:space="preserve">. Que peut-on dire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n'est pas inversible dans E, et ensuite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ont une valeur propre commune.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Démontrer que </w:t>
      </w:r>
      <m:oMath>
        <m:r>
          <m:rPr>
            <m:sty m:val="i"/>
          </m:rPr>
          <m:t>f</m:t>
        </m:r>
      </m:oMath>
      <w:r>
        <w:rPr/>
        <w:t xml:space="preserve"> est une bijection de E sur E si et seulement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n'ont aucune valeur propre en commun.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En déduire que </w:t>
      </w:r>
      <m:oMath>
        <m:r>
          <m:rPr>
            <m:sty m:val="i"/>
          </m:rPr>
          <m:t>μ</m:t>
        </m:r>
      </m:oMath>
      <w:r>
        <w:rPr/>
        <w:t xml:space="preserve"> est une valeur propre de </w:t>
      </w:r>
      <m:oMath>
        <m:r>
          <m:rPr>
            <m:sty m:val="i"/>
          </m:rPr>
          <m:t>f</m:t>
        </m:r>
      </m:oMath>
      <w:r>
        <w:rPr/>
        <w:t xml:space="preserve"> si et seulement s'il existe </w:t>
      </w:r>
      <m:oMath>
        <m:r>
          <m:rPr>
            <m:sty m:val="i"/>
          </m:rPr>
          <m:t>α</m:t>
        </m:r>
      </m:oMath>
      <w:r>
        <w:rPr/>
        <w:t xml:space="preserve"> valeur propre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valeur propre de </w:t>
      </w:r>
      <m:oMath>
        <m:r>
          <m:rPr>
            <m:sty m:val="i"/>
          </m:rPr>
          <m:t>B</m:t>
        </m:r>
      </m:oMath>
      <w:r>
        <w:rPr/>
        <w:t xml:space="preserve"> telles que :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i"/>
          </m:rPr>
          <m:t>β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Deuxième partie. Dans cette partie </w:t>
      </w:r>
      <m:oMath>
        <m:r>
          <m:rPr>
            <m:sty m:val="p"/>
          </m:rPr>
          <m:t>K</m:t>
        </m:r>
        <m:r>
          <m:rPr>
            <m:sty m:val="p"/>
          </m:rPr>
          <m:t>=</m:t>
        </m:r>
        <m:r>
          <m:rPr>
            <m:sty m:val="p"/>
          </m:rPr>
          <m:t>R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appartenant à E, on pose: </w:t>
      </w:r>
      <m:oMath>
        <m:r>
          <m:rPr>
            <m:sty m:val="p"/>
          </m:rPr>
          <m:t>⟨</m:t>
        </m:r>
        <m:r>
          <m:rPr>
            <m:sty m:val="i"/>
          </m:rPr>
          <m:t>M</m:t>
        </m:r>
        <m:r>
          <m:rPr>
            <m:sty m:val="p"/>
          </m:rPr>
          <m:t>∣</m:t>
        </m:r>
        <m:r>
          <m:rPr>
            <m:sty m:val="i"/>
          </m:rPr>
          <m:t>N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M</m:t>
            </m:r>
            <m:r>
              <m:rPr>
                <m:sty m:val="i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. Montrer que l'on définit ainsi un produit scalaire sur E.</w:t>
      </w:r>
      <w:r>
        <w:rPr/>
        <w:br w:type="textWrapping"/>
      </w:r>
      <w:r>
        <w:rPr/>
        <w:t xml:space="preserve">Dans la suite de l'exercice, E est muni de ce produit scalaire.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l'endomorphisme adjoint de </w:t>
      </w:r>
      <m:oMath>
        <m:r>
          <m:rPr>
            <m:sty m:val="i"/>
          </m:rPr>
          <m:t>f</m:t>
        </m:r>
      </m:oMath>
      <w:r>
        <w:rPr/>
        <w:t xml:space="preserve">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ty m:val="p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A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B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a) Soit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appartenant à E vérifiant :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E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D</m:t>
        </m:r>
      </m:oMath>
      <w:r>
        <w:rPr/>
        <w:t xml:space="preserve">. Prouver qu'il existe </w:t>
      </w:r>
      <m:oMath>
        <m:r>
          <m:rPr>
            <m:sty m:val="i"/>
          </m:rPr>
          <m:t>a</m:t>
        </m:r>
      </m:oMath>
      <w:r>
        <w:rPr/>
        <w:t xml:space="preserve"> dans R tel que :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f</m:t>
        </m:r>
      </m:oMath>
      <w:r>
        <w:rPr/>
        <w:t xml:space="preserve"> est l'application nulle si et seulement s'il existe </w:t>
      </w:r>
      <m:oMath>
        <m:r>
          <m:rPr>
            <m:sty m:val="i"/>
          </m:rPr>
          <m:t>a</m:t>
        </m:r>
      </m:oMath>
      <w:r>
        <w:rPr/>
        <w:t xml:space="preserve"> dans R tel que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I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Démontrer que l'endomorphisme </w:t>
      </w:r>
      <m:oMath>
        <m:r>
          <m:rPr>
            <m:sty m:val="i"/>
          </m:rPr>
          <m:t>f</m:t>
        </m:r>
      </m:oMath>
      <w:r>
        <w:rPr/>
        <w:t xml:space="preserve"> est autoadjoint si et seulement si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symétriques.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 xml:space="preserve"> </m:t>
        </m:r>
      </m:oMath>
      <w:r>
        <w:rPr/>
        <w:t xml:space="preserve"> a) On suppose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une matrice orthogonale et antisymétrique. Montrer que </w:t>
      </w:r>
      <m:oMath>
        <m:r>
          <m:rPr>
            <m:sty m:val="i"/>
          </m:rPr>
          <m:t>n</m:t>
        </m:r>
      </m:oMath>
      <w:r>
        <w:rPr/>
        <w:t xml:space="preserve"> est un entier pair.</w:t>
      </w:r>
      <w:r>
        <w:rPr/>
        <w:br w:type="textWrapping"/>
      </w:r>
      <w:r>
        <w:rPr/>
        <w:t xml:space="preserve">b) On suppose de plus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orthogonale et symétrique. Démontrer que l'endomorphisme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  <m:r>
          <m:rPr>
            <m:sty m:val="i"/>
          </m:rPr>
          <m:t>f</m:t>
        </m:r>
      </m:oMath>
      <w:r>
        <w:rPr/>
        <w:t xml:space="preserve"> est un endomorphisme orthogonal de 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On considère le cas particulier :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On pose: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11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12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21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22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mr>
                    </m:m>
                  </m:e>
                </m:d>
              </m:e>
            </m:mr>
            <m:m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22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b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b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b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b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22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 E , où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les résultats démontrés aux questions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b</m:t>
        </m:r>
      </m:oMath>
      <w:r>
        <w:rPr/>
        <w:t xml:space="preserve"> ),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 ) et </w:t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b</m:t>
        </m:r>
      </m:oMath>
      <w:r>
        <w:rPr/>
        <w:t xml:space="preserve"> 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2025-08-29T16:04:46.137Z</dcterms:created>
  <dcterms:modified xsi:type="dcterms:W3CDTF">2025-08-29T16:04:46.137Z</dcterms:modified>
</cp:coreProperties>
</file>