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parties du problème ne sont pas indépendantes.</w:t>
      </w:r>
    </w:p>
    <w:p>
      <w:pPr>
        <w:spacing w:after="220" w:lineRule="auto"/>
      </w:pPr>
      <w:r>
        <w:rPr/>
        <w:t xml:space="preserve">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étudiée tout au long du problème est introduite dans la partie II.</w:t>
      </w:r>
      <w:r>
        <w:rPr/>
        <w:br w:type="textWrapping"/>
      </w:r>
      <w:r>
        <w:rPr/>
        <w:t xml:space="preserve">On rappelle que ch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</m:oMath>
      <w:r>
        <w:rPr/>
        <w:t xml:space="preserve"> et que sh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k</m:t>
        </m:r>
      </m:oMath>
      <w:r>
        <w:rPr/>
        <w:t xml:space="preserve"> un entier </w:t>
      </w:r>
      <m:oMath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Montrer que la fonction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/>
        <w:t xml:space="preserve">. Donner la valeur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(on pourra utiliser l'égalité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la fonction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  <m:r>
              <m:rPr>
                <m:sty m:val="p"/>
              </m:rPr>
              <m:t>ch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den>
        </m:f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  <m:r>
              <m:rPr>
                <m:sty m:val="p"/>
              </m:rPr>
              <m:t>ch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(a) Montrer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den>
        </m:f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</w:t>
      </w:r>
      <m:oMath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&lt;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</w:t>
      </w:r>
      <m:oMath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6</m:t>
            </m:r>
          </m:e>
          <m:sup>
            <m:r>
              <m:rPr>
                <m:sty m:val="b"/>
              </m:rPr>
              <m:t>o</m:t>
            </m:r>
          </m:sup>
        </m:sSup>
      </m:oMath>
      <w:r>
        <w:rPr/>
        <w:t xml:space="preserve">. (a)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montrer que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(b)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montrer que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k</m:t>
                    </m:r>
                  </m:e>
                </m:rad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rad>
              </m:den>
            </m:f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est une suite tendant vers 0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7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En déduire la convergence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somme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(a) Montrer l'existence d'une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⩾</m:t>
        </m:r>
        <m:r>
          <m:rPr>
            <m:sty m:val="i"/>
          </m:rPr>
          <m:t>C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</m:oMath>
      <w:r>
        <w:rPr/>
        <w:t xml:space="preserve">. Expliciter une telle constante.</w:t>
      </w:r>
      <w:r>
        <w:rPr/>
        <w:br w:type="textWrapping"/>
      </w:r>
      <w:r>
        <w:rPr/>
        <w:t xml:space="preserve">(b) La suite de fonctions </w:t>
      </w:r>
      <m:oMath>
        <m:r>
          <m:rPr>
            <m:sty m:val="p"/>
          </m:rPr>
          <m:t xml:space="preserve"> 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converge-t-elle uniformément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i le nombre complexe de module 1 et d'argument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⋅</m:t>
        </m:r>
        <m:r>
          <m:rPr>
            <m:sty m:val="p"/>
          </m:rPr>
          <m:t>Si</m:t>
        </m:r>
        <m:r>
          <m:rPr>
            <m:sty m:val="p"/>
          </m:rPr>
          <m:t xml:space="preserve"> 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i</m:t>
        </m:r>
        <m:r>
          <m:rPr>
            <m:sty m:val="i"/>
          </m:rPr>
          <m:t>b</m:t>
        </m:r>
        <m:r>
          <m:rPr>
            <m:sty m:val="p"/>
          </m:rPr>
          <m:t xml:space="preserve"> </m:t>
        </m:r>
      </m:oMath>
      <w:r>
        <w:rPr/>
        <w:t xml:space="preserve"> est un nombre complexe avec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réels, on désigne par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partie imaginaire, c'est-à-dire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9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(a)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Déterminer le tableau de variations de la fonction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↦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la fonction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den>
        </m:f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Établir alors que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den>
        </m:f>
        <m:r>
          <m:rPr>
            <m:sty m:val="b"/>
          </m:rPr>
          <m:t>I</m:t>
        </m:r>
        <m:r>
          <m:rPr>
            <m:sty m:val="b"/>
          </m:rPr>
          <m:t>m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e>
                </m:d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  <m:r>
              <m:rPr>
                <m:sty m:val="p"/>
              </m:rPr>
              <m:t>(</m:t>
            </m:r>
            <m:r>
              <m:rPr>
                <m:sty m:val="p"/>
              </m:rPr>
              <m:t>ch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(e) Montrer que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(f) En comparant les valeurs de ch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&lt;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Établir que la fonction </w:t>
      </w:r>
      <m:oMath>
        <m:r>
          <m:rPr>
            <m:sty m:val="p"/>
          </m:rPr>
          <m:t xml:space="preserve"> </m:t>
        </m:r>
        <m:r>
          <m:rPr>
            <m:sty m:val="i"/>
          </m:rPr>
          <m:t>u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u</m:t>
                </m:r>
              </m:e>
            </m:ra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sh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e>
            </m:d>
          </m:den>
        </m:f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u</m:t>
                </m:r>
              </m:e>
            </m:ra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sh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e>
            </m:d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