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quatre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sauteur tente de franchir des hauteurs successives numérotées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/>
        <w:br w:type="textWrapping"/>
      </w:r>
      <w:r>
        <w:rPr/>
        <w:t xml:space="preserve">Il ne peut tenter de passer la hauteur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que s'il a réussi les sauts aux hauteurs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supposant que le sauteur a réussi tous les sauts précédents, la probabilité de succès au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saut est 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. Ainsi, le premier saut est toujours réussi.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l'évènement : «le sauteur a réussi son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saut» et 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réelle égale au numéro du dernier saut réussi.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Rappeler sans démonstration la formule des probabilités composées.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Rappeler sans démonstration le développement en série entière au voisinage de 0 de la fonction exponentielle.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l'ensemble des valeurs prises par la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Justifier que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∩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exprimer l'évènement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en fonction d'évènements du type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la loi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Vérifier par le calcul que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possède une espérance et la calculer.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théorèmes utilisés seront cités avec précision en s'assurant que toutes leurs hypothèses sont bien vérifiées.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 Étude de la convergence de la série de terme général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u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1.1. Vérifier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est décroissante.</w:t>
      </w:r>
      <w:r>
        <w:rPr/>
        <w:br w:type="textWrapping"/>
      </w:r>
      <w:r>
        <w:rPr/>
        <w:t xml:space="preserve">1.2. Montrer que la suite (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) tend vers 0 .</w:t>
      </w:r>
      <w:r>
        <w:rPr/>
        <w:br w:type="textWrapping"/>
      </w:r>
      <w:r>
        <w:rPr>
          <w:rFonts w:eastAsia="Georgia" w:cs="Georgia" w:ascii="Georgia" w:hAnsi="Georgia"/>
        </w:rPr>
        <w:t xml:space="preserve">1.3. Prouver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2. Calcul de la somme de cette série</w:t>
      </w:r>
    </w:p>
    <w:p>
      <w:pPr>
        <w:spacing w:after="220" w:lineRule="auto"/>
      </w:pPr>
      <w:r>
        <w:rPr/>
        <w:t xml:space="preserve">2.1.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réel. Linéariser </w:t>
      </w:r>
      <m:oMath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2.2. En déduire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240" w:lineRule="auto"/>
      </w:pPr>
      <w:r>
        <w:rPr>
          <w:rFonts w:eastAsia="Georgia" w:cs="Georgia" w:ascii="Georgia" w:hAnsi="Georgia"/>
          <w:b/>
          <w:sz w:val="33"/>
        </w:rPr>
        <w:t xml:space="preserve">2.3. Intégration terme à terme?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2.3.1. Déterminer une relation de récurrence entre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2.3.2. Démontrer par récurrence sur l'entier naturel </w:t>
      </w:r>
      <m:oMath>
        <m:r>
          <m:rPr>
            <m:sty m:val="i"/>
          </m:rPr>
          <m:t>n</m:t>
        </m:r>
      </m:oMath>
      <w:r>
        <w:rPr/>
        <w:t xml:space="preserve"> que l'on a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2.3.3. Peut-on utiliser un théorème d'intégration terme à terme pour les séries de fonctions pour calculer la somme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? On justifiera rigoureusement la réponse.</w:t>
      </w:r>
      <w:r>
        <w:rPr/>
        <w:br w:type="textWrapping"/>
      </w:r>
      <w:r>
        <w:rPr/>
        <w:t xml:space="preserve">2.4. On pose,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appliquant le théorème de convergence dominée à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, calculer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3 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muni de sa structure euclidienne canonique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sa base canonique.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les endomorphismes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définis par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nor/>
                </m:rPr>
                <m:t> et 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p"/>
                    </m:rPr>
                    <m:t>id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Donner, dans la base </w:t>
      </w:r>
      <m:oMath>
        <m:r>
          <m:rPr>
            <m:scr m:val="script"/>
          </m:rPr>
          <m:t>B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les matrices respectives des endomorphismes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Justifier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diagonalisables.</w:t>
      </w:r>
    </w:p>
    <w:p>
      <w:pPr>
        <w:spacing w:line="271" w:before="330" w:lineRule="auto"/>
      </w:pPr>
      <w:r>
        <w:rPr>
          <w:b/>
          <w:sz w:val="42"/>
        </w:rPr>
        <w:t xml:space="preserve">3. Diagonalisation de </w:t>
      </w:r>
      <m:oMath>
        <m:r>
          <m:rPr>
            <m:sty m:val="i"/>
          </m:rPr>
          <w:rPr>
            <w:sz w:val="42"/>
          </w:rPr>
          <m:t>f</m:t>
        </m:r>
      </m:oMath>
      <w:r>
        <w:rPr>
          <w:b/>
          <w:sz w:val="42"/>
        </w:rPr>
        <w:t xml:space="preserve"> et de </w:t>
      </w:r>
      <m:oMath>
        <m:r>
          <m:rPr>
            <m:sty m:val="i"/>
          </m:rPr>
          <w:rPr>
            <w:sz w:val="42"/>
          </w:rPr>
          <m:t>g</m:t>
        </m:r>
      </m:oMath>
      <w:r>
        <w:rPr>
          <w:rFonts w:eastAsia="Georgia" w:cs="Georgia" w:ascii="Georgia" w:hAnsi="Georgia"/>
          <w:b/>
          <w:sz w:val="42"/>
        </w:rPr>
        <w:t xml:space="preserve"> dans une même base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3.1. Déterminer une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, le rang de </w:t>
      </w:r>
      <m:oMath>
        <m:r>
          <m:rPr>
            <m:sty m:val="i"/>
          </m:rPr>
          <m:t>g</m:t>
        </m:r>
      </m:oMath>
      <w:r>
        <w:rPr/>
        <w:t xml:space="preserve"> et une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3.2. Montrer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supplémentaires orthogonaux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3.3. Démontrer que le spectre de l'endomorphisme </w:t>
      </w:r>
      <m:oMath>
        <m:r>
          <m:rPr>
            <m:sty m:val="i"/>
          </m:rPr>
          <m:t>g</m:t>
        </m:r>
      </m:oMath>
      <w:r>
        <w:rPr/>
        <w:t xml:space="preserve"> est : </w:t>
      </w:r>
      <m:oMath>
        <m:r>
          <m:rPr>
            <m:sty m:val="b"/>
          </m:rPr>
          <m:t>S</m:t>
        </m:r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les deux réels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non nuls et vérifient la relation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choisira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3.4. On se propose de déterminer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par deux méthodes:</w:t>
      </w:r>
    </w:p>
    <w:p>
      <w:pPr>
        <w:spacing w:line="271" w:before="240" w:lineRule="auto"/>
      </w:pPr>
      <w:r>
        <w:rPr>
          <w:rFonts w:eastAsia="Georgia" w:cs="Georgia" w:ascii="Georgia" w:hAnsi="Georgia"/>
          <w:b/>
          <w:sz w:val="33"/>
        </w:rPr>
        <w:t xml:space="preserve">3.4.1. Méthode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(i) Démontrer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sont stables par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(ii) Déterminer la matrice </w:t>
      </w:r>
      <m:oMath>
        <m:r>
          <m:rPr>
            <m:sty m:val="i"/>
          </m:rPr>
          <m:t>H</m:t>
        </m:r>
      </m:oMath>
      <w:r>
        <w:rPr/>
        <w:t xml:space="preserve"> dans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l'endomorphisme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induit par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(iii) Déterminer les valeurs propres et sous-espaces propres associés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(iv) En déduire, en le justifiant soigneusement, les valeurs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240" w:lineRule="auto"/>
      </w:pPr>
      <w:r>
        <w:rPr>
          <w:rFonts w:eastAsia="Georgia" w:cs="Georgia" w:ascii="Georgia" w:hAnsi="Georgia"/>
          <w:b/>
          <w:sz w:val="33"/>
        </w:rPr>
        <w:t xml:space="preserve">3.4.2. Méthode 2</w:t>
      </w:r>
    </w:p>
    <w:p>
      <w:pPr>
        <w:spacing w:after="220" w:lineRule="auto"/>
      </w:pPr>
      <w:r>
        <w:rPr/>
        <w:t xml:space="preserve">(i) Montrer que le spectre de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g</m:t>
        </m:r>
      </m:oMath>
      <w:r>
        <w:rPr/>
        <w:t xml:space="preserve"> est : </w:t>
      </w:r>
      <m:oMath>
        <m:r>
          <m:rPr>
            <m:sty m:val="b"/>
          </m:rPr>
          <m:t>S</m:t>
        </m:r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(ii) Déterminer la matrice de l'endomorphisme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(iii) En déduire, en fonction de </w:t>
      </w:r>
      <m:oMath>
        <m:r>
          <m:rPr>
            <m:sty m:val="i"/>
          </m:rPr>
          <m:t>n</m:t>
        </m:r>
      </m:oMath>
      <w:r>
        <w:rPr/>
        <w:t xml:space="preserve">, la valeur de </w:t>
      </w:r>
      <m:oMath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(iv) Retrouver alors les valeurs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obtenues par la méthode 1 .</w:t>
      </w:r>
      <w:r>
        <w:rPr/>
        <w:br w:type="textWrapping"/>
      </w:r>
      <w:r>
        <w:rPr>
          <w:rFonts w:eastAsia="Georgia" w:cs="Georgia" w:ascii="Georgia" w:hAnsi="Georgia"/>
        </w:rPr>
        <w:t xml:space="preserve">3.5. Déterminer une matrice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sous la forme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∗</m:t>
                  </m:r>
                </m:e>
                <m:e>
                  <m:r>
                    <m:rPr>
                      <m:sty m:val="p"/>
                    </m:rPr>
                    <m:t>…</m:t>
                  </m:r>
                </m:e>
                <m:e>
                  <m:r>
                    <m:rPr>
                      <m:sty m:val="p"/>
                    </m:rPr>
                    <m:t>∗</m:t>
                  </m:r>
                </m:e>
                <m:e>
                  <m:r>
                    <m:rPr>
                      <m:sty m:val="p"/>
                    </m:rPr>
                    <m:t>∗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∗</m:t>
                  </m:r>
                </m:e>
                <m:e>
                  <m:r>
                    <m:rPr>
                      <m:sty m:val="p"/>
                    </m:rPr>
                    <m:t>…</m:t>
                  </m:r>
                </m:e>
                <m:e>
                  <m:r>
                    <m:rPr>
                      <m:sty m:val="p"/>
                    </m:rPr>
                    <m:t>∗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/>
                <m:e/>
                <m:e/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∗</m:t>
                  </m:r>
                </m:e>
                <m:e>
                  <m:r>
                    <m:rPr>
                      <m:sty m:val="p"/>
                    </m:rPr>
                    <m:t>…</m:t>
                  </m:r>
                </m:e>
                <m:e>
                  <m:r>
                    <m:rPr>
                      <m:sty m:val="p"/>
                    </m:rPr>
                    <m:t>∗</m:t>
                  </m:r>
                </m:e>
              </m:mr>
            </m:m>
          </m:e>
        </m:d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G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. On ne demande pas de déterminer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3.6. Justifier que 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F</m:t>
        </m:r>
        <m:r>
          <m:rPr>
            <m:sty m:val="i"/>
          </m:rPr>
          <m:t>P</m:t>
        </m:r>
      </m:oMath>
      <w:r>
        <w:rPr/>
        <w:t xml:space="preserve"> est diagonale.</w:t>
      </w:r>
      <w:r>
        <w:rPr/>
        <w:br w:type="textWrapping"/>
      </w:r>
      <w:r>
        <w:rPr>
          <w:rFonts w:eastAsia="Georgia" w:cs="Georgia" w:ascii="Georgia" w:hAnsi="Georgia"/>
        </w:rPr>
        <w:t xml:space="preserve">4. Résoudre, pour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réel, le système différentiel :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la première colonne de la matrice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4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pose pour tout réel </w:t>
      </w:r>
      <m:oMath>
        <m:r>
          <m:rPr>
            <m:sty m:val="i"/>
          </m:rPr>
          <m:t>x</m:t>
        </m:r>
      </m:oMath>
      <w:r>
        <w:rPr/>
        <w:t xml:space="preserve">, lorsque cela est possible,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i"/>
                      </m:rPr>
                      <m:t>t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 Continuité de </w:t>
      </w:r>
      <m:oMath>
        <m:r>
          <m:rPr>
            <m:sty m:val="i"/>
          </m:rPr>
          <w:rPr>
            <w:sz w:val="42"/>
          </w:rPr>
          <m:t>f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1.1. Montrer que l'on peut prolonger par continuité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la fonction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sin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i"/>
                        </m:rPr>
                        <m:t>t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1.2.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i"/>
                      </m:rPr>
                      <m:t>t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1.3. En déduire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i"/>
                      </m:rPr>
                      <m:t>t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1.4. En déduire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et continue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Régularité de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/>
        <w:t xml:space="preserve">2.1.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strictement positifs tels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On considère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2.1.1. Montrer que 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2.1.2. Montrer que 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⩽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2.1.3. Montrer que 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2.2. En déduire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et donner pour tout réel </w:t>
      </w:r>
      <m:oMath>
        <m:r>
          <m:rPr>
            <m:sty m:val="i"/>
          </m:rPr>
          <m:t>x</m:t>
        </m:r>
      </m:oMath>
      <w:r>
        <w:rPr/>
        <w:t xml:space="preserve"> strictement positif, une expression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forme intégrale.</w:t>
      </w:r>
      <w:r>
        <w:rPr/>
        <w:br w:type="textWrapping"/>
      </w:r>
      <w:r>
        <w:rPr/>
        <w:t xml:space="preserve">3. Une autre expression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i un nombre complexe vérifiant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3.1. Montrer que : </w:t>
      </w:r>
      <m:oMath>
        <m:r>
          <m:rPr>
            <m:sty m:val="p"/>
          </m:rPr>
          <m:t>∀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t</m:t>
                </m:r>
              </m:sup>
            </m:sSup>
          </m:e>
        </m:d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3.2. En déduire que : </w:t>
      </w:r>
      <m:oMath>
        <m:r>
          <m:rPr>
            <m:sty m:val="p"/>
          </m:rPr>
          <m:t>∀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t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3.3. Démontrer alors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4</m:t>
                </m:r>
              </m:e>
            </m:d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On pourra utiliser la formule d'Euler: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i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4. Une autre expression de </w:t>
      </w:r>
      <m:oMath>
        <m:r>
          <m:rPr>
            <m:sty m:val="i"/>
          </m:rPr>
          <m:t>f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4.1. Démontrer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4.2. Démontrer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4.3. Calculer la dérivée de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4</m:t>
            </m:r>
          </m:e>
        </m:d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4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4.4. Déterminer alors, pour tout réel </w:t>
      </w:r>
      <m:oMath>
        <m:r>
          <m:rPr>
            <m:sty m:val="i"/>
          </m:rPr>
          <m:t>x</m:t>
        </m:r>
      </m:oMath>
      <w:r>
        <w:rPr/>
        <w:t xml:space="preserve"> strictement positif, une expression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fonctions usuelles.</w:t>
      </w:r>
      <w:r>
        <w:rPr/>
        <w:br w:type="textWrapping"/>
      </w:r>
      <w:r>
        <w:rPr>
          <w:rFonts w:eastAsia="Georgia" w:cs="Georgia" w:ascii="Georgia" w:hAnsi="Georgia"/>
        </w:rPr>
        <w:t xml:space="preserve">5. Calculer alors la valeur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i"/>
                      </m:rPr>
                      <m:t>t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2025-08-29T16:04:56.840Z</dcterms:created>
  <dcterms:modified xsi:type="dcterms:W3CDTF">2025-08-29T16:04:56.840Z</dcterms:modified>
</cp:coreProperties>
</file>