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ÉPREUVE SPÉCIFIQUE - FILIÈRE PC</w:t>
      </w:r>
    </w:p>
    <w:p>
      <w:pPr>
        <w:spacing w:line="271" w:before="330" w:lineRule="auto"/>
      </w:pPr>
      <w:r>
        <w:rPr>
          <w:b/>
          <w:sz w:val="42"/>
        </w:rPr>
        <w:t xml:space="preserve">PHYSIQUE ET CHIMIE</w:t>
      </w:r>
    </w:p>
    <w:p>
      <w:pPr>
        <w:spacing w:lineRule="auto"/>
        <w:ind w:left="2265" w:right="2265"/>
        <w:jc w:val="center"/>
      </w:pPr>
      <w:r>
        <w:rPr/>
        <w:t xml:space="preserve">Vendredi 8 mai : </w:t>
      </w:r>
      <w:r>
        <w:rPr/>
      </w:r>
      <m:oMath>
        <m:r>
          <m:rPr>
            <m:sty m:val="p"/>
          </m:rPr>
          <m:t>8</m:t>
        </m:r>
        <m:r>
          <m:rPr>
            <m:nor/>
          </m:rPr>
          <m:t xml:space="preserve"> </m:t>
        </m:r>
        <m:r>
          <m:rPr>
            <m:sty m:val="p"/>
          </m:rPr>
          <m:t>h</m:t>
        </m:r>
        <m:r>
          <m:rPr>
            <m:sty m:val="p"/>
          </m:rPr>
          <m:t>−</m:t>
        </m:r>
        <m:r>
          <m:rPr>
            <m:sty m:val="p"/>
          </m:rPr>
          <m:t>12</m:t>
        </m:r>
        <m:r>
          <m:rPr>
            <m:nor/>
          </m:rPr>
          <m:t xml:space="preserve"> </m:t>
        </m:r>
        <m:r>
          <m:rPr>
            <m:sty m:val="p"/>
          </m:rPr>
          <m:t>h</m:t>
        </m:r>
      </m:oMath>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rFonts w:eastAsia="Georgia" w:cs="Georgia" w:ascii="Georgia" w:hAnsi="Georgia"/>
          <w:b/>
          <w:sz w:val="42"/>
        </w:rPr>
        <w:t xml:space="preserve">Les calculatrices sont autorisées</w:t>
      </w:r>
    </w:p>
    <w:p>
      <w:pPr>
        <w:numPr>
          <w:ilvl w:val="0"/>
          <w:numId w:val="2"/>
        </w:numPr>
        <w:spacing w:lineRule="auto"/>
      </w:pPr>
      <w:r>
        <w:rPr>
          <w:rFonts w:eastAsia="Georgia" w:cs="Georgia" w:ascii="Georgia" w:hAnsi="Georgia"/>
        </w:rPr>
        <w:t xml:space="preserve">Le sujet comprend deux parties indépendantes, une partie Physique et une partie Chimie.</w:t>
      </w:r>
    </w:p>
    <w:p>
      <w:pPr>
        <w:numPr>
          <w:ilvl w:val="0"/>
          <w:numId w:val="2"/>
        </w:numPr>
        <w:spacing w:lineRule="auto"/>
      </w:pPr>
      <w:r>
        <w:rPr>
          <w:rFonts w:eastAsia="Georgia" w:cs="Georgia" w:ascii="Georgia" w:hAnsi="Georgia"/>
        </w:rPr>
        <w:t xml:space="preserve">Le sujet remis aux candidates et candidats comprend un questionnaire (l'énoncé) et un cahier-réponses. La candidate ou le candidat devra porter l'ensemble de ses réponses sur le cahier- réponses, à l'exclusion de toute autre copie.</w:t>
      </w:r>
    </w:p>
    <w:p>
      <w:pPr>
        <w:numPr>
          <w:ilvl w:val="0"/>
          <w:numId w:val="2"/>
        </w:numPr>
        <w:spacing w:lineRule="auto"/>
      </w:pPr>
      <w:r>
        <w:rPr>
          <w:rFonts w:eastAsia="Georgia" w:cs="Georgia" w:ascii="Georgia" w:hAnsi="Georgia"/>
        </w:rPr>
        <w:t xml:space="preserve">Les résultats numériques exprimés sans unité ou avec une unité fausse ne seront pas comptabilisés.</w:t>
      </w:r>
    </w:p>
    <w:p>
      <w:pPr>
        <w:numPr>
          <w:ilvl w:val="0"/>
          <w:numId w:val="2"/>
        </w:numPr>
        <w:spacing w:lineRule="auto"/>
      </w:pPr>
      <w:r>
        <w:rPr>
          <w:rFonts w:eastAsia="Georgia" w:cs="Georgia" w:ascii="Georgia" w:hAnsi="Georgia"/>
        </w:rPr>
        <w:t xml:space="preserve">Les explications qualitatives des phénomènes interviennent dans la notation au même titre que les calculs.</w:t>
      </w:r>
    </w:p>
    <w:p>
      <w:pPr>
        <w:numPr>
          <w:ilvl w:val="0"/>
          <w:numId w:val="2"/>
        </w:numPr>
        <w:spacing w:lineRule="auto"/>
      </w:pPr>
      <w:r>
        <w:rPr>
          <w:rFonts w:eastAsia="Georgia" w:cs="Georgia" w:ascii="Georgia" w:hAnsi="Georgia"/>
        </w:rPr>
        <w:t xml:space="preserve">Tout résultat fourni dans l'énoncé peut être admis et utilisé par la suite, même s'il n'a pas été démontré par le candidat ou la candidate.</w:t>
      </w:r>
    </w:p>
    <w:p>
      <w:pPr>
        <w:spacing w:after="220" w:lineRule="auto"/>
      </w:pPr>
      <w:r>
        <w:rPr/>
        <w:t xml:space="preserve">Pour la partie Physique :</w:t>
      </w:r>
    </w:p>
    <w:p>
      <w:pPr>
        <w:numPr>
          <w:ilvl w:val="0"/>
          <w:numId w:val="3"/>
        </w:numPr>
        <w:spacing w:lineRule="auto"/>
      </w:pPr>
      <w:r>
        <w:rPr>
          <w:rFonts w:eastAsia="Georgia" w:cs="Georgia" w:ascii="Georgia" w:hAnsi="Georgia"/>
        </w:rPr>
        <w:t xml:space="preserve">L'annexe et les données sont fournies en fin de partie</w:t>
      </w:r>
    </w:p>
    <w:p>
      <w:pPr>
        <w:spacing w:after="220" w:lineRule="auto"/>
      </w:pPr>
      <w:r>
        <w:rPr/>
        <w:t xml:space="preserve">Pour la partie Chimie :</w:t>
      </w:r>
    </w:p>
    <w:p>
      <w:pPr>
        <w:numPr>
          <w:ilvl w:val="0"/>
          <w:numId w:val="4"/>
        </w:numPr>
        <w:spacing w:lineRule="auto"/>
      </w:pPr>
      <w:r>
        <w:rPr>
          <w:rFonts w:eastAsia="Georgia" w:cs="Georgia" w:ascii="Georgia" w:hAnsi="Georgia"/>
        </w:rPr>
        <w:t xml:space="preserve">Les composés intervenant dans la synthèse organique sont nommés par un numéro écrit en gras. Pour alléger l'écriture, les candidat(e)s peuvent ne faire figurer, lors de la description d'un mécanisme, que la partie «utile» qui intervient dans la réaction considérée.</w:t>
      </w:r>
    </w:p>
    <w:p>
      <w:pPr>
        <w:numPr>
          <w:ilvl w:val="0"/>
          <w:numId w:val="4"/>
        </w:numPr>
        <w:spacing w:lineRule="auto"/>
      </w:pPr>
      <w:r>
        <w:rPr>
          <w:rFonts w:eastAsia="Georgia" w:cs="Georgia" w:ascii="Georgia" w:hAnsi="Georgia"/>
        </w:rPr>
        <w:t xml:space="preserve">Les données numériques ainsi que les informations relatives aux spectres RMN sont répertoriées à la page 24 dans la partie «Données numériques».</w:t>
      </w:r>
    </w:p>
    <w:p>
      <w:pPr>
        <w:spacing w:line="288" w:after="220" w:lineRule="auto"/>
        <w:jc w:val="center"/>
      </w:pPr>
      <w:r>
        <w:rPr>
          <w:b/>
          <w:sz w:val="56"/>
        </w:rPr>
        <w:t xml:space="preserve">PARTIE PHYSIQUE</w:t>
      </w:r>
    </w:p>
    <w:p>
      <w:pPr>
        <w:spacing w:line="271" w:before="330" w:lineRule="auto"/>
      </w:pPr>
      <w:r>
        <w:rPr>
          <w:rFonts w:eastAsia="Georgia" w:cs="Georgia" w:ascii="Georgia" w:hAnsi="Georgia"/>
          <w:b/>
          <w:sz w:val="42"/>
        </w:rPr>
        <w:t xml:space="preserve">Le système GPS</w:t>
      </w:r>
    </w:p>
    <w:p>
      <w:pPr>
        <w:spacing w:after="220" w:lineRule="auto"/>
      </w:pPr>
      <w:r>
        <w:rPr>
          <w:rFonts w:eastAsia="Georgia" w:cs="Georgia" w:ascii="Georgia" w:hAnsi="Georgia"/>
        </w:rPr>
        <w:t xml:space="preserve">Le principe du positionnement par GPS (Global Positioning System ou Géopositionnement Par Satellite) repose sur la mesure de la durée de transit d'un signal transmis par une onde électromagnétique (OEM) entre des satellites dont la position est exactement connue à tout instant, dénommés NAVSTAR (NAVigation Satellite Timing And Ranging) et un récepteur. Cette durée est ensuite simplement convertie en distance puisqu'on connaît très précisément la célérité d'une OEM. Pour une précision optimale, un récepteur sur Terre doit « voir » au minimum quatre satellites simultanément.</w:t>
      </w:r>
    </w:p>
    <w:p>
      <w:pPr>
        <w:spacing w:lineRule="auto"/>
        <w:jc w:val="center"/>
      </w:pPr>
      <w:r>
        <w:rPr/>
        <w:drawing>
          <wp:inline distB="0" distL="0" distR="0" distT="0">
            <wp:extent cx="5486400" cy="5124924"/>
            <wp:effectExtent b="0" l="0" r="0" t="0"/>
            <wp:docPr id="1" name="image-3510551144babfc8f6bf5e2a6c6509c7d3e5cdd4.jpg"/>
            <a:graphic>
              <a:graphicData uri="http://schemas.openxmlformats.org/drawingml/2006/picture">
                <pic:pic>
                  <pic:nvPicPr>
                    <pic:cNvPr id="1" name="image-3510551144babfc8f6bf5e2a6c6509c7d3e5cdd4.jpg" descr=""/>
                    <pic:cNvPicPr/>
                  </pic:nvPicPr>
                  <pic:blipFill>
                    <a:blip r:embed="rId5" cstate="print"/>
                    <a:srcRect b="0" l="0" r="0" t="0"/>
                    <a:stretch>
                      <a:fillRect/>
                    </a:stretch>
                  </pic:blipFill>
                  <pic:spPr>
                    <a:xfrm>
                      <a:off x="0" y="0"/>
                      <a:ext cx="5486400" cy="5124924"/>
                    </a:xfrm>
                    <a:prstGeom prst="rect"/>
                  </pic:spPr>
                </pic:pic>
              </a:graphicData>
            </a:graphic>
          </wp:inline>
        </w:drawing>
      </w:r>
    </w:p>
    <w:p>
      <w:pPr>
        <w:spacing w:lineRule="auto"/>
      </w:pPr>
      <w:r>
        <w:rPr/>
        <w:t xml:space="preserve">Figure 1 - Constellation satellite GPS</w:t>
      </w:r>
      <w:r>
        <w:rPr/>
        <w:br w:type="textWrapping"/>
      </w:r>
      <w:r>
        <w:rPr/>
        <w:t xml:space="preserve">Public domain, http: // www. gps. gov/multimedia/images/constellation.gif. Vu sur le site https://www. maanmittauslaitos. fi/ en/ reseach/interesting-topics/ satellite-based-positioning-systems</w:t>
      </w:r>
    </w:p>
    <w:p>
      <w:pPr>
        <w:spacing w:after="220" w:lineRule="auto"/>
      </w:pPr>
      <w:r>
        <w:rPr>
          <w:rFonts w:eastAsia="Georgia" w:cs="Georgia" w:ascii="Georgia" w:hAnsi="Georgia"/>
        </w:rPr>
        <w:t xml:space="preserve">Le système fut mis en place par le département de la Défense des États-Unis à partir de 1973, à l'origine, uniquement à des fins militaires. Avec ses vingt-quatre satellites, il est devenu totalement opérationnel en 1995. Le 2 mai 2000, le président étatsunien Bill Clinton confirme l'intérêt de la technologie à des fins civiles et autorise une diffusion non restreinte des signaux GPS, permettant une précision de l'ordre d'une dizaine de mètres et une démocratisation de la technologie au grand public à partir du milieu des années 2000. De nos jours les récepteurs GPS se sont banalisés et ont envahi notre environnement quotidien (automobile, smartphones, montre connectée, etc).</w:t>
      </w:r>
      <w:r>
        <w:rPr/>
        <w:br w:type="textWrapping"/>
      </w:r>
      <w:r>
        <w:rPr>
          <w:rFonts w:eastAsia="Georgia" w:cs="Georgia" w:ascii="Georgia" w:hAnsi="Georgia"/>
        </w:rPr>
        <w:t xml:space="preserve">Le système comprend vingt-quatre satellites placés sur des orbites pratiquement circulaires d'altitudes voisines de </w:t>
      </w:r>
      <m:oMath>
        <m:r>
          <m:rPr>
            <m:sty m:val="p"/>
          </m:rPr>
          <m:t>2</m:t>
        </m:r>
        <m:r>
          <m:rPr>
            <m:sty m:val="p"/>
          </m:rPr>
          <m:t>,</m:t>
        </m:r>
        <m:r>
          <m:rPr>
            <m:sty m:val="p"/>
          </m:rPr>
          <m:t>00</m:t>
        </m:r>
        <m:r>
          <m:rPr>
            <m:sty m:val="p"/>
          </m:rPr>
          <m:t>×</m:t>
        </m:r>
        <m:sSup>
          <m:sSupPr/>
          <m:e>
            <m:r>
              <m:rPr>
                <m:sty m:val="p"/>
              </m:rPr>
              <m:t>10</m:t>
            </m:r>
          </m:e>
          <m:sup>
            <m:r>
              <m:rPr>
                <m:sty m:val="p"/>
              </m:rPr>
              <m:t>4</m:t>
            </m:r>
          </m:sup>
        </m:sSup>
        <m:r>
          <m:rPr>
            <m:nor/>
          </m:rPr>
          <m:t xml:space="preserve"> </m:t>
        </m:r>
        <m:r>
          <m:rPr>
            <m:sty m:val="p"/>
          </m:rPr>
          <m:t>km</m:t>
        </m:r>
      </m:oMath>
      <w:r>
        <w:rPr>
          <w:rFonts w:eastAsia="Georgia" w:cs="Georgia" w:ascii="Georgia" w:hAnsi="Georgia"/>
        </w:rPr>
        <w:t xml:space="preserve"> (voir figure 1). Les satellites sont placés sur six orbites dont le plan est incliné de </w:t>
      </w:r>
      <m:oMath>
        <m:sSup>
          <m:sSupPr/>
          <m:e>
            <m:r>
              <m:rPr>
                <m:sty m:val="p"/>
              </m:rPr>
              <m:t>55</m:t>
            </m:r>
          </m:e>
          <m:sup>
            <m:r>
              <m:rPr>
                <m:sty m:val="p"/>
              </m:rPr>
              <m:t>∘</m:t>
            </m:r>
          </m:sup>
        </m:sSup>
      </m:oMath>
      <w:r>
        <w:rPr>
          <w:rFonts w:eastAsia="Georgia" w:cs="Georgia" w:ascii="Georgia" w:hAnsi="Georgia"/>
        </w:rPr>
        <w:t xml:space="preserve"> par rapport au plan de l'équateur. Ces orbites sont décalées en longitude de </w:t>
      </w:r>
      <m:oMath>
        <m:sSup>
          <m:sSupPr/>
          <m:e>
            <m:r>
              <m:rPr>
                <m:sty m:val="p"/>
              </m:rPr>
              <m:t>60</m:t>
            </m:r>
          </m:e>
          <m:sup>
            <m:r>
              <m:rPr>
                <m:sty m:val="p"/>
              </m:rPr>
              <m:t>∘</m:t>
            </m:r>
          </m:sup>
        </m:sSup>
      </m:oMath>
      <w:r>
        <w:rPr>
          <w:rFonts w:eastAsia="Georgia" w:cs="Georgia" w:ascii="Georgia" w:hAnsi="Georgia"/>
        </w:rPr>
        <w:t xml:space="preserve">. Sur chaque orbite, il y a quatre satellites. On notera pour information que les satellites ne sont pas régulièrement espacés sur leur orbite. Leur répartition a été choisie pour optimiser le nombre de satellites visibles en chaque point de la Terre à un instant « </w:t>
      </w:r>
      <m:oMath>
        <m:r>
          <m:rPr>
            <m:sty m:val="i"/>
          </m:rPr>
          <m:t>t</m:t>
        </m:r>
      </m:oMath>
      <w:r>
        <w:rPr>
          <w:rFonts w:eastAsia="Georgia" w:cs="Georgia" w:ascii="Georgia" w:hAnsi="Georgia"/>
        </w:rPr>
        <w:t xml:space="preserve"> ». Les zones les plus défavorisées sont voisines des pôles. Sur la photo de la figure 2 prise lors de la phase finale d'assemblage, on peut se faire une idée des dimensions d'un satellite NAVSTAR munis de ses panneaux solaires en le comparant à la personne située à ses cotés.</w:t>
      </w:r>
    </w:p>
    <w:p>
      <w:pPr>
        <w:spacing w:lineRule="auto"/>
        <w:jc w:val="center"/>
      </w:pPr>
      <w:r>
        <w:rPr/>
        <w:drawing>
          <wp:inline distB="0" distL="0" distR="0" distT="0">
            <wp:extent cx="5486400" cy="4031087"/>
            <wp:effectExtent b="0" l="0" r="0" t="0"/>
            <wp:docPr id="2" name="image-8b5f834a9a4c5516b27902cf7ad276643169a019.jpg"/>
            <a:graphic>
              <a:graphicData uri="http://schemas.openxmlformats.org/drawingml/2006/picture">
                <pic:pic>
                  <pic:nvPicPr>
                    <pic:cNvPr id="2" name="image-8b5f834a9a4c5516b27902cf7ad276643169a019.jpg" descr=""/>
                    <pic:cNvPicPr/>
                  </pic:nvPicPr>
                  <pic:blipFill>
                    <a:blip r:embed="rId6" cstate="print"/>
                    <a:srcRect b="0" l="0" r="0" t="0"/>
                    <a:stretch>
                      <a:fillRect/>
                    </a:stretch>
                  </pic:blipFill>
                  <pic:spPr>
                    <a:xfrm>
                      <a:off x="0" y="0"/>
                      <a:ext cx="5486400" cy="4031087"/>
                    </a:xfrm>
                    <a:prstGeom prst="rect"/>
                  </pic:spPr>
                </pic:pic>
              </a:graphicData>
            </a:graphic>
          </wp:inline>
        </w:drawing>
      </w:r>
    </w:p>
    <w:p>
      <w:pPr>
        <w:spacing w:lineRule="auto"/>
      </w:pPr>
      <w:r>
        <w:rPr/>
        <w:t xml:space="preserve">Figure 2 - Satellite NAVSTAR</w:t>
      </w:r>
    </w:p>
    <w:p>
      <w:pPr>
        <w:spacing w:after="220" w:lineRule="auto"/>
        <w:ind w:left="660"/>
      </w:pPr>
      <w:r>
        <w:rPr>
          <w:color w:val="666666"/>
        </w:rPr>
        <w:t xml:space="preserve">Public domain, </w:t>
      </w:r>
      <w:hyperlink r:id="rId7">
        <w:r>
          <w:rPr>
            <w:color w:val="666666"/>
          </w:rPr>
          <w:t xml:space="preserve">http://www.gps.gov/multimedia/images/constellation.gif</w:t>
        </w:r>
      </w:hyperlink>
      <w:r>
        <w:rPr>
          <w:color w:val="666666"/>
        </w:rPr>
        <w:t xml:space="preserve">. Vusurlesitehttps://www. </w:t>
      </w:r>
      <w:hyperlink r:id="rId8">
        <w:r>
          <w:rPr>
            <w:color w:val="666666"/>
          </w:rPr>
          <w:t xml:space="preserve">maanmittauslaitos.fi/en/research/interesting-topics/</w:t>
        </w:r>
      </w:hyperlink>
      <w:r>
        <w:rPr>
          <w:color w:val="666666"/>
        </w:rPr>
        <w:t xml:space="preserve"> satellite-based-positioning-systems</w:t>
      </w:r>
    </w:p>
    <w:p>
      <w:pPr>
        <w:spacing w:line="271" w:before="330" w:lineRule="auto"/>
      </w:pPr>
      <w:r>
        <w:rPr>
          <w:b/>
          <w:sz w:val="42"/>
        </w:rPr>
        <w:t xml:space="preserve">A/ Trajectoires de satellites</w:t>
      </w:r>
    </w:p>
    <w:p>
      <w:pPr>
        <w:spacing w:after="220" w:lineRule="auto"/>
      </w:pPr>
      <w:r>
        <w:rPr>
          <w:rFonts w:eastAsia="Georgia" w:cs="Georgia" w:ascii="Georgia" w:hAnsi="Georgia"/>
        </w:rPr>
        <w:t xml:space="preserve">Dans tout le problème, le référentiel d'étude est le référentiel géocentrique supposé galiléen. Les données nécessaires sont regroupées en annexe à la fin de l'énoncé.</w:t>
      </w:r>
    </w:p>
    <w:p>
      <w:pPr>
        <w:spacing w:after="220" w:lineRule="auto"/>
      </w:pPr>
      <w:r>
        <w:rPr/>
        <w:t xml:space="preserve">Q1 - Rappeler l'expression de la force de gravitation </w:t>
      </w:r>
      <m:oMath>
        <m:acc>
          <m:accPr>
            <m:chr m:val="⃗"/>
          </m:accPr>
          <m:e>
            <m:r>
              <m:rPr>
                <m:sty m:val="i"/>
              </m:rPr>
              <m:t>F</m:t>
            </m:r>
          </m:e>
        </m:acc>
      </m:oMath>
      <w:r>
        <w:rPr>
          <w:rFonts w:eastAsia="Georgia" w:cs="Georgia" w:ascii="Georgia" w:hAnsi="Georgia"/>
        </w:rPr>
        <w:t xml:space="preserve"> exercée par la Terre sur un satellite NAVSTAR. Le centre de la Terre est situé en </w:t>
      </w:r>
      <m:oMath>
        <m:r>
          <m:rPr>
            <m:sty m:val="i"/>
          </m:rPr>
          <m:t>O</m:t>
        </m:r>
      </m:oMath>
      <w:r>
        <w:rPr/>
        <w:t xml:space="preserve">. On notera </w:t>
      </w:r>
      <m:oMath>
        <m:r>
          <m:rPr>
            <m:sty m:val="i"/>
          </m:rPr>
          <m:t>r</m:t>
        </m:r>
      </m:oMath>
      <w:r>
        <w:rPr/>
        <w:t xml:space="preserve"> la distance </w:t>
      </w:r>
      <m:oMath>
        <m:r>
          <m:rPr>
            <m:sty m:val="i"/>
          </m:rPr>
          <m:t>O</m:t>
        </m:r>
        <m:r>
          <m:rPr>
            <m:sty m:val="i"/>
          </m:rPr>
          <m:t>M</m:t>
        </m:r>
      </m:oMath>
      <w:r>
        <w:rPr/>
        <w:t xml:space="preserve"> du satellite (masse ponctuelle </w:t>
      </w:r>
      <m:oMath>
        <m:r>
          <m:rPr>
            <m:sty m:val="i"/>
          </m:rPr>
          <m:t>m</m:t>
        </m:r>
      </m:oMath>
      <w:r>
        <w:rPr>
          <w:rFonts w:eastAsia="Georgia" w:cs="Georgia" w:ascii="Georgia" w:hAnsi="Georgia"/>
        </w:rPr>
        <w:t xml:space="preserve"> ) placé au point </w:t>
      </w:r>
      <m:oMath>
        <m:r>
          <m:rPr>
            <m:sty m:val="i"/>
          </m:rPr>
          <m:t>M</m:t>
        </m:r>
        <m:r>
          <m:rPr>
            <m:sty m:val="p"/>
          </m:rPr>
          <m:t>,</m:t>
        </m:r>
        <m:r>
          <m:rPr>
            <m:sty m:val="i"/>
          </m:rPr>
          <m:t>r</m:t>
        </m:r>
        <m:r>
          <m:rPr>
            <m:sty m:val="p"/>
          </m:rPr>
          <m:t>&gt;</m:t>
        </m:r>
        <m:sSub>
          <m:sSubPr/>
          <m:e>
            <m:r>
              <m:rPr>
                <m:sty m:val="i"/>
              </m:rPr>
              <m:t>R</m:t>
            </m:r>
          </m:e>
          <m:sub>
            <m:r>
              <m:rPr>
                <m:sty m:val="i"/>
              </m:rPr>
              <m:t>T</m:t>
            </m:r>
          </m:sub>
        </m:sSub>
      </m:oMath>
      <w:r>
        <w:rPr>
          <w:rFonts w:eastAsia="Georgia" w:cs="Georgia" w:ascii="Georgia" w:hAnsi="Georgia"/>
        </w:rPr>
        <w:t xml:space="preserve"> où </w:t>
      </w:r>
      <m:oMath>
        <m:sSub>
          <m:sSubPr/>
          <m:e>
            <m:r>
              <m:rPr>
                <m:sty m:val="i"/>
              </m:rPr>
              <m:t>R</m:t>
            </m:r>
          </m:e>
          <m:sub>
            <m:r>
              <m:rPr>
                <m:sty m:val="i"/>
              </m:rPr>
              <m:t>T</m:t>
            </m:r>
          </m:sub>
        </m:sSub>
      </m:oMath>
      <w:r>
        <w:rPr/>
        <w:t xml:space="preserve"> est le rayon terrestre. On exprimera </w:t>
      </w:r>
      <m:oMath>
        <m:acc>
          <m:accPr>
            <m:chr m:val="⃗"/>
          </m:accPr>
          <m:e>
            <m:r>
              <m:rPr>
                <m:sty m:val="i"/>
              </m:rPr>
              <m:t>F</m:t>
            </m:r>
          </m:e>
        </m:acc>
      </m:oMath>
      <w:r>
        <w:rPr/>
        <w:t xml:space="preserve"> en fonction de la constante de gravitation universelle </w:t>
      </w:r>
      <m:oMath>
        <m:r>
          <m:rPr>
            <m:sty m:val="i"/>
          </m:rPr>
          <m:t>G</m:t>
        </m:r>
      </m:oMath>
      <w:r>
        <w:rPr>
          <w:rFonts w:eastAsia="Georgia" w:cs="Georgia" w:ascii="Georgia" w:hAnsi="Georgia"/>
        </w:rPr>
        <w:t xml:space="preserve">, des autres données et on utilisera le vecteur unitaire noté habituellement </w:t>
      </w:r>
      <m:oMath>
        <m:sSub>
          <m:sSubPr/>
          <m:e>
            <m:acc>
              <m:accPr>
                <m:chr m:val="⃗"/>
              </m:accPr>
              <m:e>
                <m:r>
                  <m:rPr>
                    <m:sty m:val="i"/>
                  </m:rPr>
                  <m:t>u</m:t>
                </m:r>
              </m:e>
            </m:acc>
          </m:e>
          <m:sub>
            <m:r>
              <m:rPr>
                <m:sty m:val="i"/>
              </m:rPr>
              <m:t>r</m:t>
            </m:r>
          </m:sub>
        </m:sSub>
      </m:oMath>
      <w:r>
        <w:rPr>
          <w:rFonts w:eastAsia="Georgia" w:cs="Georgia" w:ascii="Georgia" w:hAnsi="Georgia"/>
        </w:rPr>
        <w:t xml:space="preserve"> en coordonnées sphériques (figure 3).</w:t>
      </w:r>
    </w:p>
    <w:p>
      <w:pPr>
        <w:spacing w:lineRule="auto"/>
        <w:jc w:val="center"/>
      </w:pPr>
      <w:r>
        <w:rPr/>
        <w:drawing>
          <wp:inline distB="0" distL="0" distR="0" distT="0">
            <wp:extent cx="3790950" cy="3876675"/>
            <wp:effectExtent b="0" l="0" r="0" t="0"/>
            <wp:docPr id="3" name="image-2c8a182845fec67f63f3c91392b92d69cf02c6c5.jpg"/>
            <a:graphic>
              <a:graphicData uri="http://schemas.openxmlformats.org/drawingml/2006/picture">
                <pic:pic>
                  <pic:nvPicPr>
                    <pic:cNvPr id="3" name="image-2c8a182845fec67f63f3c91392b92d69cf02c6c5.jpg" descr=""/>
                    <pic:cNvPicPr/>
                  </pic:nvPicPr>
                  <pic:blipFill>
                    <a:blip r:embed="rId9" cstate="print"/>
                    <a:srcRect b="0" l="0" r="0" t="0"/>
                    <a:stretch>
                      <a:fillRect/>
                    </a:stretch>
                  </pic:blipFill>
                  <pic:spPr>
                    <a:xfrm>
                      <a:off x="0" y="0"/>
                      <a:ext cx="3790950" cy="3876675"/>
                    </a:xfrm>
                    <a:prstGeom prst="rect"/>
                  </pic:spPr>
                </pic:pic>
              </a:graphicData>
            </a:graphic>
          </wp:inline>
        </w:drawing>
      </w:r>
    </w:p>
    <w:p>
      <w:pPr>
        <w:spacing w:lineRule="auto"/>
      </w:pPr>
      <w:r>
        <w:rPr>
          <w:rFonts w:eastAsia="Georgia" w:cs="Georgia" w:ascii="Georgia" w:hAnsi="Georgia"/>
        </w:rPr>
        <w:t xml:space="preserve">Figure 3 - Repère sphérique</w:t>
      </w:r>
    </w:p>
    <w:p>
      <w:pPr>
        <w:spacing w:after="220" w:lineRule="auto"/>
      </w:pPr>
      <w:r>
        <w:rPr/>
        <w:t xml:space="preserve">Q2 - En ne prenant en compte que cette unique force d'attraction qui s'exerce sur le satellite, montrer que :</w:t>
      </w:r>
      <w:r>
        <w:rPr/>
        <w:br w:type="textWrapping"/>
      </w:r>
      <w:r>
        <w:rPr/>
        <w:t xml:space="preserve">a) sa trajectoire est plane;</w:t>
      </w:r>
      <w:r>
        <w:rPr/>
        <w:br w:type="textWrapping"/>
      </w:r>
      <w:r>
        <w:rPr>
          <w:rFonts w:eastAsia="Georgia" w:cs="Georgia" w:ascii="Georgia" w:hAnsi="Georgia"/>
        </w:rPr>
        <w:t xml:space="preserve">b) son énergie mécanique notée </w:t>
      </w:r>
      <m:oMath>
        <m:sSub>
          <m:sSubPr/>
          <m:e>
            <m:r>
              <m:rPr>
                <m:sty m:val="i"/>
              </m:rPr>
              <m:t>E</m:t>
            </m:r>
          </m:e>
          <m:sub>
            <m:r>
              <m:rPr>
                <m:sty m:val="i"/>
              </m:rPr>
              <m:t>m</m:t>
            </m:r>
          </m:sub>
        </m:sSub>
      </m:oMath>
      <w:r>
        <w:rPr>
          <w:rFonts w:eastAsia="Georgia" w:cs="Georgia" w:ascii="Georgia" w:hAnsi="Georgia"/>
        </w:rPr>
        <w:t xml:space="preserve"> est conservée;</w:t>
      </w:r>
      <w:r>
        <w:rPr/>
        <w:br w:type="textWrapping"/>
      </w:r>
      <w:r>
        <w:rPr/>
        <w:t xml:space="preserve">c) et qu'elle peut se mettre sous la forme :</w:t>
      </w:r>
    </w:p>
    <w:p>
      <w:pPr>
        <w:spacing w:after="220" w:lineRule="auto"/>
      </w:pPr>
      <m:oMathPara>
        <m:oMath>
          <m:sSub>
            <m:sSubPr/>
            <m:e>
              <m:r>
                <m:rPr>
                  <m:sty m:val="i"/>
                </m:rPr>
                <m:t>E</m:t>
              </m:r>
            </m:e>
            <m:sub>
              <m:r>
                <m:rPr>
                  <m:sty m:val="i"/>
                </m:rPr>
                <m:t>m</m:t>
              </m:r>
            </m:sub>
          </m:sSub>
          <m:r>
            <m:rPr>
              <m:sty m:val="p"/>
            </m:rPr>
            <m:t>=</m:t>
          </m:r>
          <m:f>
            <m:fPr>
              <m:ctrlPr>
                <w:rPr>
                  <w:rFonts w:ascii="Cambria Math" w:hAnsi="Cambria Math"/>
                </w:rPr>
              </m:ctrlPr>
            </m:fPr>
            <m:num>
              <m:r>
                <m:rPr>
                  <m:sty m:val="i"/>
                </m:rPr>
                <m:t>m</m:t>
              </m:r>
            </m:num>
            <m:den>
              <m:r>
                <m:rPr>
                  <m:sty m:val="p"/>
                </m:rPr>
                <m:t>2</m:t>
              </m:r>
            </m:den>
          </m:f>
          <m:sSup>
            <m:sSupPr/>
            <m:e>
              <m:d>
                <m:dPr>
                  <m:begChr m:val="("/>
                  <m:endChr m:val=")"/>
                  <m:ctrlPr>
                    <w:rPr>
                      <w:rFonts w:ascii="Cambria Math" w:hAnsi="Cambria Math"/>
                    </w:rPr>
                  </m:ctrlPr>
                </m:dPr>
                <m:e>
                  <m:f>
                    <m:fPr>
                      <m:ctrlPr>
                        <w:rPr>
                          <w:rFonts w:ascii="Cambria Math" w:hAnsi="Cambria Math"/>
                        </w:rPr>
                      </m:ctrlPr>
                    </m:fPr>
                    <m:num>
                      <m:r>
                        <m:rPr>
                          <m:nor/>
                        </m:rPr>
                        <m:t xml:space="preserve"> </m:t>
                      </m:r>
                      <m:r>
                        <m:rPr>
                          <m:sty m:val="p"/>
                        </m:rPr>
                        <m:t>d</m:t>
                      </m:r>
                      <m:r>
                        <m:rPr>
                          <m:sty m:val="i"/>
                        </m:rPr>
                        <m:t>r</m:t>
                      </m:r>
                    </m:num>
                    <m:den>
                      <m:r>
                        <m:rPr>
                          <m:nor/>
                        </m:rPr>
                        <m:t xml:space="preserve"> </m:t>
                      </m:r>
                      <m:r>
                        <m:rPr>
                          <m:sty m:val="p"/>
                        </m:rPr>
                        <m:t>d</m:t>
                      </m:r>
                      <m:r>
                        <m:rPr>
                          <m:sty m:val="i"/>
                        </m:rPr>
                        <m:t>t</m:t>
                      </m:r>
                    </m:den>
                  </m:f>
                </m:e>
              </m:d>
            </m:e>
            <m:sup>
              <m:r>
                <m:rPr>
                  <m:sty m:val="p"/>
                </m:rPr>
                <m:t>2</m:t>
              </m:r>
            </m:sup>
          </m:sSup>
          <m:r>
            <m:rPr>
              <m:sty m:val="p"/>
            </m:rPr>
            <m:t>−</m:t>
          </m:r>
          <m:f>
            <m:fPr>
              <m:ctrlPr>
                <w:rPr>
                  <w:rFonts w:ascii="Cambria Math" w:hAnsi="Cambria Math"/>
                </w:rPr>
              </m:ctrlPr>
            </m:fPr>
            <m:num>
              <m:r>
                <m:rPr>
                  <m:sty m:val="i"/>
                </m:rPr>
                <m:t>A</m:t>
              </m:r>
            </m:num>
            <m:den>
              <m:r>
                <m:rPr>
                  <m:sty m:val="i"/>
                </m:rPr>
                <m:t>r</m:t>
              </m:r>
            </m:den>
          </m:f>
          <m:r>
            <m:rPr>
              <m:sty m:val="p"/>
            </m:rPr>
            <m:t>+</m:t>
          </m:r>
          <m:f>
            <m:fPr>
              <m:ctrlPr>
                <w:rPr>
                  <w:rFonts w:ascii="Cambria Math" w:hAnsi="Cambria Math"/>
                </w:rPr>
              </m:ctrlPr>
            </m:fPr>
            <m:num>
              <m:r>
                <m:rPr>
                  <m:sty m:val="i"/>
                </m:rPr>
                <m:t>B</m:t>
              </m:r>
            </m:num>
            <m:den>
              <m:sSup>
                <m:sSupPr/>
                <m:e>
                  <m:r>
                    <m:rPr>
                      <m:sty m:val="i"/>
                    </m:rPr>
                    <m:t>r</m:t>
                  </m:r>
                </m:e>
                <m:sup>
                  <m:r>
                    <m:rPr>
                      <m:sty m:val="p"/>
                    </m:rPr>
                    <m:t>2</m:t>
                  </m:r>
                </m:sup>
              </m:sSup>
            </m:den>
          </m:f>
        </m:oMath>
      </m:oMathPara>
    </w:p>
    <w:p>
      <w:pPr>
        <w:spacing w:after="220" w:lineRule="auto"/>
      </w:pPr>
      <w:r>
        <w:rPr/>
        <w:t xml:space="preserve">avec </w:t>
      </w:r>
      <m:oMath>
        <m:r>
          <m:rPr>
            <m:sty m:val="i"/>
          </m:rPr>
          <m:t>A</m:t>
        </m:r>
      </m:oMath>
      <w:r>
        <w:rPr/>
        <w:t xml:space="preserve"> et </w:t>
      </w:r>
      <m:oMath>
        <m:r>
          <m:rPr>
            <m:sty m:val="i"/>
          </m:rPr>
          <m:t>B</m:t>
        </m:r>
      </m:oMath>
      <w:r>
        <w:rPr>
          <w:rFonts w:eastAsia="Georgia" w:cs="Georgia" w:ascii="Georgia" w:hAnsi="Georgia"/>
        </w:rPr>
        <w:t xml:space="preserve"> deux constantes positives à définir, s'exprimant en fonction de </w:t>
      </w:r>
      <m:oMath>
        <m:r>
          <m:rPr>
            <m:sty m:val="i"/>
          </m:rPr>
          <m:t>m</m:t>
        </m:r>
        <m:r>
          <m:rPr>
            <m:sty m:val="p"/>
          </m:rPr>
          <m:t>,</m:t>
        </m:r>
        <m:sSub>
          <m:sSubPr/>
          <m:e>
            <m:r>
              <m:rPr>
                <m:sty m:val="i"/>
              </m:rPr>
              <m:t>M</m:t>
            </m:r>
          </m:e>
          <m:sub>
            <m:r>
              <m:rPr>
                <m:sty m:val="i"/>
              </m:rPr>
              <m:t>T</m:t>
            </m:r>
          </m:sub>
        </m:sSub>
        <m:r>
          <m:rPr>
            <m:sty m:val="p"/>
          </m:rPr>
          <m:t>,</m:t>
        </m:r>
        <m:r>
          <m:rPr>
            <m:sty m:val="i"/>
          </m:rPr>
          <m:t>G</m:t>
        </m:r>
      </m:oMath>
      <w:r>
        <w:rPr/>
        <w:t xml:space="preserve"> et de la constante des aires </w:t>
      </w:r>
      <m:oMath>
        <m:r>
          <m:rPr>
            <m:sty m:val="i"/>
          </m:rPr>
          <m:t>C</m:t>
        </m:r>
      </m:oMath>
      <w:r>
        <w:rPr>
          <w:rFonts w:eastAsia="Georgia" w:cs="Georgia" w:ascii="Georgia" w:hAnsi="Georgia"/>
        </w:rPr>
        <w:t xml:space="preserve">. L'énergie potentielle est prise nulle à l'infini.</w:t>
      </w:r>
    </w:p>
    <w:p>
      <w:pPr>
        <w:spacing w:after="220" w:lineRule="auto"/>
      </w:pPr>
      <w:r>
        <w:rPr/>
        <w:t xml:space="preserve">Q3 - Soit la fonction </w:t>
      </w:r>
      <m:oMath>
        <m:sSub>
          <m:sSubPr/>
          <m:e>
            <m:r>
              <m:rPr>
                <m:sty m:val="i"/>
              </m:rPr>
              <m:t>E</m:t>
            </m:r>
          </m:e>
          <m:sub>
            <m:r>
              <m:rPr>
                <m:sty m:val="i"/>
              </m:rPr>
              <m:t>p</m:t>
            </m:r>
            <m:r>
              <m:rPr>
                <m:nor/>
              </m:rPr>
              <m:t> eff </m:t>
            </m:r>
          </m:sub>
        </m:sSub>
        <m:r>
          <m:rPr>
            <m:sty m:val="p"/>
          </m:rPr>
          <m:t>(</m:t>
        </m:r>
        <m:r>
          <m:rPr>
            <m:sty m:val="i"/>
          </m:rPr>
          <m:t>r</m:t>
        </m:r>
        <m:r>
          <m:rPr>
            <m:sty m:val="p"/>
          </m:rPr>
          <m:t>)</m:t>
        </m:r>
        <m:r>
          <m:rPr>
            <m:sty m:val="p"/>
          </m:rPr>
          <m:t>=</m:t>
        </m:r>
        <m:r>
          <m:rPr>
            <m:sty m:val="p"/>
          </m:rPr>
          <m:t>−</m:t>
        </m:r>
        <m:f>
          <m:fPr>
            <m:ctrlPr>
              <w:rPr>
                <w:rFonts w:ascii="Cambria Math" w:hAnsi="Cambria Math"/>
              </w:rPr>
            </m:ctrlPr>
          </m:fPr>
          <m:num>
            <m:r>
              <m:rPr>
                <m:sty m:val="i"/>
              </m:rPr>
              <m:t>A</m:t>
            </m:r>
          </m:num>
          <m:den>
            <m:r>
              <m:rPr>
                <m:sty m:val="i"/>
              </m:rPr>
              <m:t>r</m:t>
            </m:r>
          </m:den>
        </m:f>
        <m:r>
          <m:rPr>
            <m:sty m:val="p"/>
          </m:rPr>
          <m:t>+</m:t>
        </m:r>
        <m:f>
          <m:fPr>
            <m:ctrlPr>
              <w:rPr>
                <w:rFonts w:ascii="Cambria Math" w:hAnsi="Cambria Math"/>
              </w:rPr>
            </m:ctrlPr>
          </m:fPr>
          <m:num>
            <m:r>
              <m:rPr>
                <m:sty m:val="i"/>
              </m:rPr>
              <m:t>B</m:t>
            </m:r>
          </m:num>
          <m:den>
            <m:sSup>
              <m:sSupPr/>
              <m:e>
                <m:r>
                  <m:rPr>
                    <m:sty m:val="i"/>
                  </m:rPr>
                  <m:t>r</m:t>
                </m:r>
              </m:e>
              <m:sup>
                <m:r>
                  <m:rPr>
                    <m:sty m:val="p"/>
                  </m:rPr>
                  <m:t>2</m:t>
                </m:r>
              </m:sup>
            </m:sSup>
          </m:den>
        </m:f>
      </m:oMath>
      <w:r>
        <w:rPr>
          <w:rFonts w:eastAsia="Georgia" w:cs="Georgia" w:ascii="Georgia" w:hAnsi="Georgia"/>
        </w:rPr>
        <w:t xml:space="preserve">. Tracer son allure puis prouver qu'elle passe par un minimum noté </w:t>
      </w:r>
      <m:oMath>
        <m:sSub>
          <m:sSubPr/>
          <m:e>
            <m:r>
              <m:rPr>
                <m:sty m:val="i"/>
              </m:rPr>
              <m:t>r</m:t>
            </m:r>
          </m:e>
          <m:sub>
            <m:r>
              <m:rPr>
                <m:sty m:val="p"/>
              </m:rPr>
              <m:t>0</m:t>
            </m:r>
          </m:sub>
        </m:sSub>
      </m:oMath>
      <w:r>
        <w:rPr/>
        <w:t xml:space="preserve">. Exprimer </w:t>
      </w:r>
      <m:oMath>
        <m:sSub>
          <m:sSubPr/>
          <m:e>
            <m:r>
              <m:rPr>
                <m:sty m:val="i"/>
              </m:rPr>
              <m:t>r</m:t>
            </m:r>
          </m:e>
          <m:sub>
            <m:r>
              <m:rPr>
                <m:sty m:val="p"/>
              </m:rPr>
              <m:t>0</m:t>
            </m:r>
          </m:sub>
        </m:sSub>
      </m:oMath>
      <w:r>
        <w:rPr/>
        <w:t xml:space="preserve"> en fonction de </w:t>
      </w:r>
      <m:oMath>
        <m:r>
          <m:rPr>
            <m:sty m:val="i"/>
          </m:rPr>
          <m:t>A</m:t>
        </m:r>
      </m:oMath>
      <w:r>
        <w:rPr/>
        <w:t xml:space="preserve"> et </w:t>
      </w:r>
      <m:oMath>
        <m:r>
          <m:rPr>
            <m:sty m:val="i"/>
          </m:rPr>
          <m:t>B</m:t>
        </m:r>
      </m:oMath>
      <w:r>
        <w:rPr>
          <w:rFonts w:eastAsia="Georgia" w:cs="Georgia" w:ascii="Georgia" w:hAnsi="Georgia"/>
        </w:rPr>
        <w:t xml:space="preserve"> puis donner sa signification physique ainsi que l'ordre de grandeur de sa valeur numérique pour un satellite NAVSTAR placé sur son orbite de travail. Comment est habituellement dénommée cette fonction </w:t>
      </w:r>
      <m:oMath>
        <m:sSub>
          <m:sSubPr/>
          <m:e>
            <m:r>
              <m:rPr>
                <m:sty m:val="i"/>
              </m:rPr>
              <m:t>E</m:t>
            </m:r>
          </m:e>
          <m:sub>
            <m:r>
              <m:rPr>
                <m:sty m:val="i"/>
              </m:rPr>
              <m:t>p</m:t>
            </m:r>
            <m:r>
              <m:rPr>
                <m:nor/>
              </m:rPr>
              <m:t> eff </m:t>
            </m:r>
          </m:sub>
        </m:sSub>
        <m:r>
          <m:rPr>
            <m:sty m:val="p"/>
          </m:rPr>
          <m:t>(</m:t>
        </m:r>
        <m:r>
          <m:rPr>
            <m:sty m:val="i"/>
          </m:rPr>
          <m:t>r</m:t>
        </m:r>
        <m:r>
          <m:rPr>
            <m:sty m:val="p"/>
          </m:rPr>
          <m:t>)</m:t>
        </m:r>
      </m:oMath>
      <w:r>
        <w:rPr/>
        <w:t xml:space="preserve"> ?</w:t>
      </w:r>
    </w:p>
    <w:p>
      <w:pPr>
        <w:spacing w:after="220" w:lineRule="auto"/>
      </w:pPr>
      <w:r>
        <w:rPr>
          <w:rFonts w:eastAsia="Georgia" w:cs="Georgia" w:ascii="Georgia" w:hAnsi="Georgia"/>
        </w:rPr>
        <w:t xml:space="preserve">On donne la définition d'un jour sidéral terrestre : c'est la durée que met la Terre pour faire un tour sur elle-même par rapport au point vernal (point considéré comme fixe dans le référentiel héliocentrique), indépendamment de sa révolution autour du Soleil. Elle vaut environ 23 h 56 min 4 s .</w:t>
      </w:r>
    </w:p>
    <w:p>
      <w:pPr>
        <w:spacing w:after="220" w:lineRule="auto"/>
      </w:pPr>
      <w:r>
        <w:rPr>
          <w:rFonts w:eastAsia="Georgia" w:cs="Georgia" w:ascii="Georgia" w:hAnsi="Georgia"/>
        </w:rPr>
        <w:t xml:space="preserve">Q4 - Quelle est la période de révolution du satellite? Comparer cette valeur à celle d'un jour sidéral et conclure.</w:t>
      </w:r>
    </w:p>
    <w:p>
      <w:pPr>
        <w:spacing w:lineRule="auto"/>
        <w:jc w:val="center"/>
      </w:pPr>
      <w:r>
        <w:rPr/>
        <w:drawing>
          <wp:inline distB="0" distL="0" distR="0" distT="0">
            <wp:extent cx="5486400" cy="4714194"/>
            <wp:effectExtent b="0" l="0" r="0" t="0"/>
            <wp:docPr id="4" name="image-6bd6ebf100cea469ef775066024850ca709920df.jpg"/>
            <a:graphic>
              <a:graphicData uri="http://schemas.openxmlformats.org/drawingml/2006/picture">
                <pic:pic>
                  <pic:nvPicPr>
                    <pic:cNvPr id="4" name="image-6bd6ebf100cea469ef775066024850ca709920df.jpg" descr=""/>
                    <pic:cNvPicPr/>
                  </pic:nvPicPr>
                  <pic:blipFill>
                    <a:blip r:embed="rId10" cstate="print"/>
                    <a:srcRect b="0" l="0" r="0" t="0"/>
                    <a:stretch>
                      <a:fillRect/>
                    </a:stretch>
                  </pic:blipFill>
                  <pic:spPr>
                    <a:xfrm>
                      <a:off x="0" y="0"/>
                      <a:ext cx="5486400" cy="4714194"/>
                    </a:xfrm>
                    <a:prstGeom prst="rect"/>
                  </pic:spPr>
                </pic:pic>
              </a:graphicData>
            </a:graphic>
          </wp:inline>
        </w:drawing>
      </w:r>
    </w:p>
    <w:p>
      <w:pPr>
        <w:spacing w:lineRule="auto"/>
      </w:pPr>
      <w:r>
        <w:rPr/>
        <w:t xml:space="preserve">Figure 4 - Orbites circulaires et orbite de transfert</w:t>
      </w:r>
    </w:p>
    <w:p>
      <w:pPr>
        <w:spacing w:after="220" w:lineRule="auto"/>
      </w:pPr>
      <w:r>
        <w:rPr>
          <w:rFonts w:eastAsia="Georgia" w:cs="Georgia" w:ascii="Georgia" w:hAnsi="Georgia"/>
        </w:rPr>
        <w:t xml:space="preserve">Le placement d'un satellite sur son orbite définitive s'effectue très schématiquement en trois phases (figure 4) :</w:t>
      </w:r>
      <w:r>
        <w:rPr/>
        <w:br w:type="textWrapping"/>
      </w:r>
      <w:r>
        <w:rPr>
          <w:rFonts w:eastAsia="Georgia" w:cs="Georgia" w:ascii="Georgia" w:hAnsi="Georgia"/>
        </w:rPr>
        <w:t xml:space="preserve">Phase 1 : mise en orbite basse initiale supposée circulaire, de rayon </w:t>
      </w:r>
      <m:oMath>
        <m:sSub>
          <m:sSubPr/>
          <m:e>
            <m:r>
              <m:rPr>
                <m:sty m:val="i"/>
              </m:rPr>
              <m:t>R</m:t>
            </m:r>
          </m:e>
          <m:sub>
            <m:r>
              <m:rPr>
                <m:sty m:val="p"/>
              </m:rPr>
              <m:t>1</m:t>
            </m:r>
          </m:sub>
        </m:sSub>
        <m:r>
          <m:rPr>
            <m:sty m:val="p"/>
          </m:rPr>
          <m:t>=</m:t>
        </m:r>
        <m:sSub>
          <m:sSubPr/>
          <m:e>
            <m:r>
              <m:rPr>
                <m:sty m:val="i"/>
              </m:rPr>
              <m:t>R</m:t>
            </m:r>
          </m:e>
          <m:sub>
            <m:r>
              <m:rPr>
                <m:sty m:val="i"/>
              </m:rPr>
              <m:t>T</m:t>
            </m:r>
          </m:sub>
        </m:sSub>
        <m:r>
          <m:rPr>
            <m:sty m:val="p"/>
          </m:rPr>
          <m:t>+</m:t>
        </m:r>
        <m:sSub>
          <m:sSubPr/>
          <m:e>
            <m:r>
              <m:rPr>
                <m:sty m:val="i"/>
              </m:rPr>
              <m:t>h</m:t>
            </m:r>
          </m:e>
          <m:sub>
            <m:r>
              <m:rPr>
                <m:sty m:val="p"/>
              </m:rPr>
              <m:t>1</m:t>
            </m:r>
          </m:sub>
        </m:sSub>
      </m:oMath>
      <w:r>
        <w:rPr>
          <w:rFonts w:eastAsia="Georgia" w:cs="Georgia" w:ascii="Georgia" w:hAnsi="Georgia"/>
        </w:rPr>
        <w:t xml:space="preserve">, où </w:t>
      </w:r>
      <m:oMath>
        <m:sSub>
          <m:sSubPr/>
          <m:e>
            <m:r>
              <m:rPr>
                <m:sty m:val="i"/>
              </m:rPr>
              <m:t>h</m:t>
            </m:r>
          </m:e>
          <m:sub>
            <m:r>
              <m:rPr>
                <m:sty m:val="p"/>
              </m:rPr>
              <m:t>1</m:t>
            </m:r>
          </m:sub>
        </m:sSub>
        <m:r>
          <m:rPr>
            <m:sty m:val="p"/>
          </m:rPr>
          <m:t>=</m:t>
        </m:r>
        <m:r>
          <m:rPr>
            <m:sty m:val="p"/>
          </m:rPr>
          <m:t>1</m:t>
        </m:r>
        <m:r>
          <m:rPr>
            <m:sty m:val="p"/>
          </m:rPr>
          <m:t>,</m:t>
        </m:r>
        <m:r>
          <m:rPr>
            <m:sty m:val="p"/>
          </m:rPr>
          <m:t>50</m:t>
        </m:r>
        <m:r>
          <m:rPr>
            <m:sty m:val="p"/>
          </m:rPr>
          <m:t>×</m:t>
        </m:r>
        <m:sSup>
          <m:sSupPr/>
          <m:e>
            <m:r>
              <m:rPr>
                <m:sty m:val="p"/>
              </m:rPr>
              <m:t>10</m:t>
            </m:r>
          </m:e>
          <m:sup>
            <m:r>
              <m:rPr>
                <m:sty m:val="p"/>
              </m:rPr>
              <m:t>3</m:t>
            </m:r>
          </m:sup>
        </m:sSup>
        <m:r>
          <m:rPr>
            <m:nor/>
          </m:rPr>
          <m:t xml:space="preserve"> </m:t>
        </m:r>
        <m:r>
          <m:rPr>
            <m:sty m:val="p"/>
          </m:rPr>
          <m:t>km</m:t>
        </m:r>
      </m:oMath>
      <w:r>
        <w:rPr/>
        <w:t xml:space="preserve">.</w:t>
      </w:r>
      <w:r>
        <w:rPr/>
        <w:br w:type="textWrapping"/>
      </w:r>
      <w:r>
        <w:rPr>
          <w:rFonts w:eastAsia="Georgia" w:cs="Georgia" w:ascii="Georgia" w:hAnsi="Georgia"/>
        </w:rPr>
        <w:t xml:space="preserve">Phase 2 : on fournit une très brève impulsion au satellite (vitesse </w:t>
      </w:r>
      <m:oMath>
        <m:sSub>
          <m:sSubPr/>
          <m:e>
            <m:r>
              <m:rPr>
                <m:sty m:val="i"/>
              </m:rPr>
              <m:t>V</m:t>
            </m:r>
          </m:e>
          <m:sub>
            <m:r>
              <m:rPr>
                <m:sty m:val="p"/>
              </m:rPr>
              <m:t>1</m:t>
            </m:r>
          </m:sub>
        </m:sSub>
      </m:oMath>
      <w:r>
        <w:rPr>
          <w:rFonts w:eastAsia="Georgia" w:cs="Georgia" w:ascii="Georgia" w:hAnsi="Georgia"/>
        </w:rPr>
        <w:t xml:space="preserve"> après l'impulsion) pour le placer sur une orbite elliptique dite transfert (ou d'Hohmann) dont l'apogée se trouve sur l'orbite définitive.</w:t>
      </w:r>
      <w:r>
        <w:rPr/>
        <w:br w:type="textWrapping"/>
      </w:r>
      <w:r>
        <w:rPr>
          <w:rFonts w:eastAsia="Georgia" w:cs="Georgia" w:ascii="Georgia" w:hAnsi="Georgia"/>
        </w:rPr>
        <w:t xml:space="preserve">Phase 3 : une seconde impulsion permet d'atteindre l'orbite finale supposée circulaire de rayon </w:t>
      </w:r>
      <m:oMath>
        <m:sSub>
          <m:sSubPr/>
          <m:e>
            <m:r>
              <m:rPr>
                <m:sty m:val="i"/>
              </m:rPr>
              <m:t>R</m:t>
            </m:r>
          </m:e>
          <m:sub>
            <m:r>
              <m:rPr>
                <m:sty m:val="p"/>
              </m:rPr>
              <m:t>2</m:t>
            </m:r>
          </m:sub>
        </m:sSub>
      </m:oMath>
      <w:r>
        <w:rPr>
          <w:rFonts w:eastAsia="Georgia" w:cs="Georgia" w:ascii="Georgia" w:hAnsi="Georgia"/>
        </w:rPr>
        <w:t xml:space="preserve"> où la vitesse du satellite est </w:t>
      </w:r>
      <m:oMath>
        <m:sSub>
          <m:sSubPr/>
          <m:e>
            <m:r>
              <m:rPr>
                <m:sty m:val="i"/>
              </m:rPr>
              <m:t>V</m:t>
            </m:r>
          </m:e>
          <m:sub>
            <m:r>
              <m:rPr>
                <m:sty m:val="p"/>
              </m:rPr>
              <m:t>2</m:t>
            </m:r>
          </m:sub>
        </m:sSub>
      </m:oMath>
      <w:r>
        <w:rPr/>
        <w:t xml:space="preserve">.</w:t>
      </w:r>
    </w:p>
    <w:p>
      <w:pPr>
        <w:spacing w:after="220" w:lineRule="auto"/>
      </w:pPr>
      <w:r>
        <w:rPr>
          <w:rFonts w:eastAsia="Georgia" w:cs="Georgia" w:ascii="Georgia" w:hAnsi="Georgia"/>
        </w:rPr>
        <w:t xml:space="preserve">Q5 - Donner sans démonstration l'expression de l'énergie mécanique </w:t>
      </w:r>
      <m:oMath>
        <m:sSub>
          <m:sSubPr/>
          <m:e>
            <m:r>
              <m:rPr>
                <m:sty m:val="i"/>
              </m:rPr>
              <m:t>E</m:t>
            </m:r>
          </m:e>
          <m:sub>
            <m:r>
              <m:rPr>
                <m:sty m:val="i"/>
              </m:rPr>
              <m:t>m</m:t>
            </m:r>
            <m:r>
              <m:rPr>
                <m:sty m:val="p"/>
              </m:rPr>
              <m:t>1</m:t>
            </m:r>
          </m:sub>
        </m:sSub>
      </m:oMath>
      <w:r>
        <w:rPr/>
        <w:t xml:space="preserve"> d'un satellite NAVSTAR de masse </w:t>
      </w:r>
      <m:oMath>
        <m:r>
          <m:rPr>
            <m:sty m:val="i"/>
          </m:rPr>
          <m:t>m</m:t>
        </m:r>
        <m:r>
          <m:rPr>
            <m:sty m:val="p"/>
          </m:rPr>
          <m:t>=</m:t>
        </m:r>
        <m:r>
          <m:rPr>
            <m:sty m:val="p"/>
          </m:rPr>
          <m:t>800</m:t>
        </m:r>
        <m:r>
          <m:rPr>
            <m:nor/>
          </m:rPr>
          <m:t xml:space="preserve"> </m:t>
        </m:r>
        <m:r>
          <m:rPr>
            <m:sty m:val="p"/>
          </m:rPr>
          <m:t>kg</m:t>
        </m:r>
      </m:oMath>
      <w:r>
        <w:rPr>
          <w:rFonts w:eastAsia="Georgia" w:cs="Georgia" w:ascii="Georgia" w:hAnsi="Georgia"/>
        </w:rPr>
        <w:t xml:space="preserve"> sur son orbite basse à l'altitude </w:t>
      </w:r>
      <m:oMath>
        <m:sSub>
          <m:sSubPr/>
          <m:e>
            <m:r>
              <m:rPr>
                <m:sty m:val="i"/>
              </m:rPr>
              <m:t>h</m:t>
            </m:r>
          </m:e>
          <m:sub>
            <m:r>
              <m:rPr>
                <m:sty m:val="p"/>
              </m:rPr>
              <m:t>1</m:t>
            </m:r>
          </m:sub>
        </m:sSub>
        <m:r>
          <m:rPr>
            <m:sty m:val="p"/>
          </m:rPr>
          <m:t>=</m:t>
        </m:r>
        <m:r>
          <m:rPr>
            <m:sty m:val="p"/>
          </m:rPr>
          <m:t>1</m:t>
        </m:r>
        <m:r>
          <m:rPr>
            <m:sty m:val="p"/>
          </m:rPr>
          <m:t>,</m:t>
        </m:r>
        <m:r>
          <m:rPr>
            <m:sty m:val="p"/>
          </m:rPr>
          <m:t>50</m:t>
        </m:r>
        <m:r>
          <m:rPr>
            <m:sty m:val="p"/>
          </m:rPr>
          <m:t>×</m:t>
        </m:r>
        <m:sSup>
          <m:sSupPr/>
          <m:e>
            <m:r>
              <m:rPr>
                <m:sty m:val="p"/>
              </m:rPr>
              <m:t>10</m:t>
            </m:r>
          </m:e>
          <m:sup>
            <m:r>
              <m:rPr>
                <m:sty m:val="p"/>
              </m:rPr>
              <m:t>3</m:t>
            </m:r>
          </m:sup>
        </m:sSup>
        <m:r>
          <m:rPr>
            <m:nor/>
          </m:rPr>
          <m:t xml:space="preserve"> </m:t>
        </m:r>
        <m:r>
          <m:rPr>
            <m:sty m:val="p"/>
          </m:rPr>
          <m:t>km</m:t>
        </m:r>
      </m:oMath>
      <w:r>
        <w:rPr>
          <w:rFonts w:eastAsia="Georgia" w:cs="Georgia" w:ascii="Georgia" w:hAnsi="Georgia"/>
        </w:rPr>
        <w:t xml:space="preserve">. On suppose l'énergie potentielle nulle à l'infini. Application numérique.</w:t>
      </w:r>
    </w:p>
    <w:p>
      <w:pPr>
        <w:spacing w:after="220" w:lineRule="auto"/>
      </w:pPr>
      <w:r>
        <w:rPr/>
        <w:t xml:space="preserve">Q6 - Comparer </w:t>
      </w:r>
      <m:oMath>
        <m:sSub>
          <m:sSubPr/>
          <m:e>
            <m:r>
              <m:rPr>
                <m:sty m:val="i"/>
              </m:rPr>
              <m:t>E</m:t>
            </m:r>
          </m:e>
          <m:sub>
            <m:r>
              <m:rPr>
                <m:sty m:val="i"/>
              </m:rPr>
              <m:t>m</m:t>
            </m:r>
            <m:r>
              <m:rPr>
                <m:sty m:val="p"/>
              </m:rPr>
              <m:t>1</m:t>
            </m:r>
          </m:sub>
        </m:sSub>
      </m:oMath>
      <w:r>
        <w:rPr>
          <w:rFonts w:eastAsia="Georgia" w:cs="Georgia" w:ascii="Georgia" w:hAnsi="Georgia"/>
        </w:rPr>
        <w:t xml:space="preserve"> à </w:t>
      </w:r>
      <m:oMath>
        <m:sSub>
          <m:sSubPr/>
          <m:e>
            <m:r>
              <m:rPr>
                <m:sty m:val="i"/>
              </m:rPr>
              <m:t>E</m:t>
            </m:r>
          </m:e>
          <m:sub>
            <m:r>
              <m:rPr>
                <m:sty m:val="i"/>
              </m:rPr>
              <m:t>m</m:t>
            </m:r>
            <m:r>
              <m:rPr>
                <m:sty m:val="p"/>
              </m:rPr>
              <m:t>0</m:t>
            </m:r>
          </m:sub>
        </m:sSub>
        <m:r>
          <m:rPr>
            <m:sty m:val="p"/>
          </m:rPr>
          <m:t>=</m:t>
        </m:r>
        <m:r>
          <m:rPr>
            <m:sty m:val="i"/>
          </m:rPr>
          <m:t>α</m:t>
        </m:r>
        <m:sSup>
          <m:sSupPr/>
          <m:e>
            <m:r>
              <m:rPr>
                <m:sty m:val="p"/>
              </m:rPr>
              <m:t>cos</m:t>
            </m:r>
          </m:e>
          <m:sup>
            <m:r>
              <m:rPr>
                <m:sty m:val="p"/>
              </m:rPr>
              <m:t>2</m:t>
            </m:r>
          </m:sup>
        </m:sSup>
        <m:r>
          <m:rPr>
            <m:sty m:val="p"/>
          </m:rPr>
          <m:t>⁡</m:t>
        </m:r>
        <m:r>
          <m:rPr>
            <m:sty m:val="p"/>
          </m:rPr>
          <m:t>(</m:t>
        </m:r>
        <m:r>
          <m:rPr>
            <m:sty m:val="i"/>
          </m:rPr>
          <m:t>λ</m:t>
        </m:r>
        <m:r>
          <m:rPr>
            <m:sty m:val="p"/>
          </m:rPr>
          <m:t>)</m:t>
        </m:r>
        <m:r>
          <m:rPr>
            <m:sty m:val="p"/>
          </m:rPr>
          <m:t>−</m:t>
        </m:r>
        <m:r>
          <m:rPr>
            <m:sty m:val="i"/>
          </m:rPr>
          <m:t>β</m:t>
        </m:r>
      </m:oMath>
      <w:r>
        <w:rPr>
          <w:rFonts w:eastAsia="Georgia" w:cs="Georgia" w:ascii="Georgia" w:hAnsi="Georgia"/>
        </w:rPr>
        <w:t xml:space="preserve">, énergie mécanique du satellite posé au sol, avant son décollage, de la base de lancement située à la latitude </w:t>
      </w:r>
      <m:oMath>
        <m:r>
          <m:rPr>
            <m:sty m:val="i"/>
          </m:rPr>
          <m:t>λ</m:t>
        </m:r>
      </m:oMath>
      <w:r>
        <w:rPr/>
        <w:t xml:space="preserve">. Les valeurs de </w:t>
      </w:r>
      <m:oMath>
        <m:r>
          <m:rPr>
            <m:sty m:val="i"/>
          </m:rPr>
          <m:t>α</m:t>
        </m:r>
      </m:oMath>
      <w:r>
        <w:rPr/>
        <w:t xml:space="preserve"> et </w:t>
      </w:r>
      <m:oMath>
        <m:r>
          <m:rPr>
            <m:sty m:val="i"/>
          </m:rPr>
          <m:t>β</m:t>
        </m:r>
      </m:oMath>
      <w:r>
        <w:rPr/>
        <w:t xml:space="preserve"> sont </w:t>
      </w:r>
      <m:oMath>
        <m:r>
          <m:rPr>
            <m:sty m:val="i"/>
          </m:rPr>
          <m:t>α</m:t>
        </m:r>
        <m:r>
          <m:rPr>
            <m:sty m:val="p"/>
          </m:rPr>
          <m:t>=</m:t>
        </m:r>
        <m:r>
          <m:rPr>
            <m:sty m:val="p"/>
          </m:rPr>
          <m:t>8</m:t>
        </m:r>
        <m:r>
          <m:rPr>
            <m:sty m:val="p"/>
          </m:rPr>
          <m:t>,</m:t>
        </m:r>
        <m:r>
          <m:rPr>
            <m:sty m:val="p"/>
          </m:rPr>
          <m:t>6</m:t>
        </m:r>
        <m:r>
          <m:rPr>
            <m:sty m:val="p"/>
          </m:rPr>
          <m:t>×</m:t>
        </m:r>
        <m:sSup>
          <m:sSupPr/>
          <m:e>
            <m:r>
              <m:rPr>
                <m:sty m:val="p"/>
              </m:rPr>
              <m:t>10</m:t>
            </m:r>
          </m:e>
          <m:sup>
            <m:r>
              <m:rPr>
                <m:sty m:val="p"/>
              </m:rPr>
              <m:t>7</m:t>
            </m:r>
          </m:sup>
        </m:sSup>
        <m:r>
          <m:rPr>
            <m:nor/>
          </m:rPr>
          <m:t xml:space="preserve"> </m:t>
        </m:r>
        <m:r>
          <m:rPr>
            <m:sty m:val="p"/>
          </m:rPr>
          <m:t>J</m:t>
        </m:r>
      </m:oMath>
      <w:r>
        <w:rPr/>
        <w:t xml:space="preserve"> et </w:t>
      </w:r>
      <m:oMath>
        <m:r>
          <m:rPr>
            <m:sty m:val="i"/>
          </m:rPr>
          <m:t>β</m:t>
        </m:r>
        <m:r>
          <m:rPr>
            <m:sty m:val="p"/>
          </m:rPr>
          <m:t>=</m:t>
        </m:r>
        <m:r>
          <m:rPr>
            <m:sty m:val="p"/>
          </m:rPr>
          <m:t>5</m:t>
        </m:r>
        <m:r>
          <m:rPr>
            <m:sty m:val="p"/>
          </m:rPr>
          <m:t>,</m:t>
        </m:r>
        <m:r>
          <m:rPr>
            <m:sty m:val="p"/>
          </m:rPr>
          <m:t>006</m:t>
        </m:r>
        <m:r>
          <m:rPr>
            <m:sty m:val="p"/>
          </m:rPr>
          <m:t>×</m:t>
        </m:r>
        <m:sSup>
          <m:sSupPr/>
          <m:e>
            <m:r>
              <m:rPr>
                <m:sty m:val="p"/>
              </m:rPr>
              <m:t>10</m:t>
            </m:r>
          </m:e>
          <m:sup>
            <m:r>
              <m:rPr>
                <m:sty m:val="p"/>
              </m:rPr>
              <m:t>10</m:t>
            </m:r>
          </m:sup>
        </m:sSup>
        <m:r>
          <m:rPr>
            <m:nor/>
          </m:rPr>
          <m:t xml:space="preserve"> </m:t>
        </m:r>
        <m:r>
          <m:rPr>
            <m:sty m:val="p"/>
          </m:rPr>
          <m:t>J</m:t>
        </m:r>
      </m:oMath>
      <w:r>
        <w:rPr/>
        <w:t xml:space="preserve">. Quelle est la valeur optimale pour </w:t>
      </w:r>
      <m:oMath>
        <m:r>
          <m:rPr>
            <m:sty m:val="i"/>
          </m:rPr>
          <m:t>λ</m:t>
        </m:r>
      </m:oMath>
      <w:r>
        <w:rPr/>
        <w:t xml:space="preserve"> ? Faire l'application</w:t>
      </w:r>
      <w:r>
        <w:rPr/>
        <w:br w:type="textWrapping"/>
      </w:r>
      <w:r>
        <w:rPr>
          <w:rFonts w:eastAsia="Georgia" w:cs="Georgia" w:ascii="Georgia" w:hAnsi="Georgia"/>
        </w:rPr>
        <w:t xml:space="preserve">numérique pour cette valeur optimale. Conclure.</w:t>
      </w:r>
      <w:r>
        <w:rPr/>
        <w:br w:type="textWrapping"/>
      </w:r>
      <w:r>
        <w:rPr>
          <w:rFonts w:eastAsia="Georgia" w:cs="Georgia" w:ascii="Georgia" w:hAnsi="Georgia"/>
        </w:rPr>
        <w:t xml:space="preserve">Q7 - À partir de l'expression de l'énergie mécanique pour une trajectoire circulaire de rayon </w:t>
      </w:r>
      <m:oMath>
        <m:r>
          <m:rPr>
            <m:sty m:val="i"/>
          </m:rPr>
          <m:t>r</m:t>
        </m:r>
      </m:oMath>
      <w:r>
        <w:rPr/>
        <w:t xml:space="preserve">, on peut montrer qu'il suffit de substituer au rayon </w:t>
      </w:r>
      <m:oMath>
        <m:r>
          <m:rPr>
            <m:sty m:val="i"/>
          </m:rPr>
          <m:t>r</m:t>
        </m:r>
      </m:oMath>
      <w:r>
        <w:rPr/>
        <w:t xml:space="preserve"> la valeur du demi-grand axe </w:t>
      </w:r>
      <m:oMath>
        <m:r>
          <m:rPr>
            <m:sty m:val="i"/>
          </m:rPr>
          <m:t>a</m:t>
        </m:r>
      </m:oMath>
      <w:r>
        <w:rPr>
          <w:rFonts w:eastAsia="Georgia" w:cs="Georgia" w:ascii="Georgia" w:hAnsi="Georgia"/>
        </w:rPr>
        <w:t xml:space="preserve"> de l'ellipse pour généraliser cette expression à une trajectoire elliptique. En déduire la valeur numérique de l'énergie mécanique </w:t>
      </w:r>
      <m:oMath>
        <m:sSub>
          <m:sSubPr/>
          <m:e>
            <m:r>
              <m:rPr>
                <m:sty m:val="i"/>
              </m:rPr>
              <m:t>E</m:t>
            </m:r>
          </m:e>
          <m:sub>
            <m:r>
              <m:rPr>
                <m:sty m:val="i"/>
              </m:rPr>
              <m:t>m</m:t>
            </m:r>
            <m:r>
              <m:rPr>
                <m:sty m:val="p"/>
              </m:rPr>
              <m:t>12</m:t>
            </m:r>
          </m:sub>
        </m:sSub>
      </m:oMath>
      <w:r>
        <w:rPr/>
        <w:t xml:space="preserve"> sur l'orbite de transfert.</w:t>
      </w:r>
    </w:p>
    <w:p>
      <w:pPr>
        <w:spacing w:after="220" w:lineRule="auto"/>
      </w:pPr>
      <w:r>
        <w:rPr>
          <w:rFonts w:eastAsia="Georgia" w:cs="Georgia" w:ascii="Georgia" w:hAnsi="Georgia"/>
        </w:rPr>
        <w:t xml:space="preserve">On suppose que la durée d'allumage des fusées est très courte (boost) devant la période de révolution et que le satellite n'a quasiment pas bougé durant cette phase.</w:t>
      </w:r>
    </w:p>
    <w:p>
      <w:pPr>
        <w:spacing w:after="220" w:lineRule="auto"/>
      </w:pPr>
      <w:r>
        <w:rPr>
          <w:rFonts w:eastAsia="Georgia" w:cs="Georgia" w:ascii="Georgia" w:hAnsi="Georgia"/>
        </w:rPr>
        <w:t xml:space="preserve">Q8 - En déduire la variation de vitesse </w:t>
      </w:r>
      <m:oMath>
        <m:r>
          <m:rPr>
            <m:sty m:val="p"/>
          </m:rPr>
          <m:t>Δ</m:t>
        </m:r>
        <m:sSub>
          <m:sSubPr/>
          <m:e>
            <m:r>
              <m:rPr>
                <m:sty m:val="i"/>
              </m:rPr>
              <m:t>V</m:t>
            </m:r>
          </m:e>
          <m:sub>
            <m:r>
              <m:rPr>
                <m:sty m:val="p"/>
              </m:rPr>
              <m:t>1</m:t>
            </m:r>
          </m:sub>
        </m:sSub>
      </m:oMath>
      <w:r>
        <w:rPr>
          <w:rFonts w:eastAsia="Georgia" w:cs="Georgia" w:ascii="Georgia" w:hAnsi="Georgia"/>
        </w:rPr>
        <w:t xml:space="preserve"> à appliquer au satellite pour qu'il passe de l'orbite basse à celle de transfert. Effectuer l'application numérique.</w:t>
      </w:r>
    </w:p>
    <w:p>
      <w:pPr>
        <w:spacing w:after="220" w:lineRule="auto"/>
      </w:pPr>
      <w:r>
        <w:rPr>
          <w:rFonts w:eastAsia="Georgia" w:cs="Georgia" w:ascii="Georgia" w:hAnsi="Georgia"/>
        </w:rPr>
        <w:t xml:space="preserve">Q9 - Quelle est la durée du transfert? (La troisième loi de Kepler est rappelée en annexe.)</w:t>
      </w:r>
      <w:r>
        <w:rPr/>
        <w:br w:type="textWrapping"/>
      </w:r>
      <w:r>
        <w:rPr>
          <w:rFonts w:eastAsia="Georgia" w:cs="Georgia" w:ascii="Georgia" w:hAnsi="Georgia"/>
        </w:rPr>
        <w:t xml:space="preserve">Pour réduire les coûts, on envisage d'autres trajectoires qui utilisent moins de satellites.</w:t>
      </w:r>
      <w:r>
        <w:rPr/>
        <w:br w:type="textWrapping"/>
      </w:r>
      <w:r>
        <w:rPr>
          <w:rFonts w:eastAsia="Georgia" w:cs="Georgia" w:ascii="Georgia" w:hAnsi="Georgia"/>
        </w:rPr>
        <w:t xml:space="preserve">Q10 - Définir ce qu'on appelle un satellite géostationnaire en précisant les caractéristiques de son orbite, son altitude, sa visibilité depuis un point donné de la Terre, son usage et toute autre donnée jugée digne d'intérêt. On pourra par exemple se poser la question si un tel satellite pourrait se trouver de manière permanente à la verticale d'une ville française en justifiant la réponse.</w:t>
      </w:r>
    </w:p>
    <w:p>
      <w:pPr>
        <w:spacing w:after="220" w:lineRule="auto"/>
      </w:pPr>
      <w:r>
        <w:rPr>
          <w:rFonts w:eastAsia="Georgia" w:cs="Georgia" w:ascii="Georgia" w:hAnsi="Georgia"/>
        </w:rPr>
        <w:t xml:space="preserve">Q11 - Serait-il envisageable d'utiliser uniquement des satellites géostationnaires dans un système GPS? Expliciter votre réponse.</w:t>
      </w:r>
    </w:p>
    <w:p>
      <w:pPr>
        <w:spacing w:line="271" w:before="330" w:lineRule="auto"/>
      </w:pPr>
      <w:r>
        <w:rPr>
          <w:rFonts w:eastAsia="Georgia" w:cs="Georgia" w:ascii="Georgia" w:hAnsi="Georgia"/>
          <w:b/>
          <w:sz w:val="42"/>
        </w:rPr>
        <w:t xml:space="preserve">B / Oscillateur à quartz</w:t>
      </w:r>
    </w:p>
    <w:p>
      <w:pPr>
        <w:spacing w:after="220" w:lineRule="auto"/>
      </w:pPr>
      <w:r>
        <w:rPr>
          <w:rFonts w:eastAsia="Georgia" w:cs="Georgia" w:ascii="Georgia" w:hAnsi="Georgia"/>
        </w:rPr>
        <w:t xml:space="preserve">Les satellites GPS sont équipés d'horloges atomiques qui utilisent la pérennité et l'immuabilité de la fréquence du rayonnement électromagnétique émis par un électron lors du passage d'un niveau d'énergie à un autre pour assurer l'exactitude et la stabilité du signal oscillant qu'elle produit.</w:t>
      </w:r>
    </w:p>
    <w:p>
      <w:pPr>
        <w:spacing w:after="220" w:lineRule="auto"/>
      </w:pPr>
      <w:r>
        <w:rPr>
          <w:rFonts w:eastAsia="Georgia" w:cs="Georgia" w:ascii="Georgia" w:hAnsi="Georgia"/>
        </w:rPr>
        <w:t xml:space="preserve">On donne la définition de la seconde du Système International d'Unités (SI), où </w:t>
      </w:r>
      <m:oMath>
        <m:r>
          <m:rPr>
            <m:sty m:val="p"/>
          </m:rPr>
          <m:t>1</m:t>
        </m:r>
        <m:r>
          <m:rPr>
            <m:nor/>
          </m:rPr>
          <m:t xml:space="preserve"> </m:t>
        </m:r>
        <m:r>
          <m:rPr>
            <m:sty m:val="p"/>
          </m:rPr>
          <m:t>Hz</m:t>
        </m:r>
        <m:r>
          <m:rPr>
            <m:sty m:val="p"/>
          </m:rPr>
          <m:t>=</m:t>
        </m:r>
        <m:r>
          <m:rPr>
            <m:sty m:val="p"/>
          </m:rPr>
          <m:t>1</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 La fréquence de la transition hyperfine de l'état fondamental de l'atome de césium 133 non perturbé, </w:t>
      </w:r>
      <m:oMath>
        <m:r>
          <m:rPr>
            <m:sty m:val="p"/>
          </m:rPr>
          <m:t>Δ</m:t>
        </m:r>
        <m:sSub>
          <m:sSubPr/>
          <m:e>
            <m:r>
              <m:rPr>
                <m:sty m:val="i"/>
              </m:rPr>
              <m:t>v</m:t>
            </m:r>
          </m:e>
          <m:sub>
            <m:r>
              <m:rPr>
                <m:sty m:val="p"/>
              </m:rPr>
              <m:t>cs</m:t>
            </m:r>
          </m:sub>
        </m:sSub>
      </m:oMath>
      <w:r>
        <w:rPr>
          <w:rFonts w:eastAsia="Georgia" w:cs="Georgia" w:ascii="Georgia" w:hAnsi="Georgia"/>
        </w:rPr>
        <w:t xml:space="preserve"> est égale à 9192631770 Hz .</w:t>
      </w:r>
    </w:p>
    <w:p>
      <w:pPr>
        <w:spacing w:after="220" w:lineRule="auto"/>
      </w:pPr>
      <w:r>
        <w:rPr>
          <w:rFonts w:eastAsia="Georgia" w:cs="Georgia" w:ascii="Georgia" w:hAnsi="Georgia"/>
        </w:rPr>
        <w:t xml:space="preserve">Dans toute cette partie, on suppose que les ondes électromagnétiques se propagent dans le vide à la célérité </w:t>
      </w:r>
      <m:oMath>
        <m:r>
          <m:rPr>
            <m:sty m:val="i"/>
          </m:rPr>
          <m:t>c</m:t>
        </m:r>
      </m:oMath>
      <w:r>
        <w:rPr/>
        <w:t xml:space="preserve">.</w:t>
      </w:r>
    </w:p>
    <w:p>
      <w:pPr>
        <w:spacing w:after="220" w:lineRule="auto"/>
      </w:pPr>
      <w:r>
        <w:rPr>
          <w:rFonts w:eastAsia="Georgia" w:cs="Georgia" w:ascii="Georgia" w:hAnsi="Georgia"/>
        </w:rPr>
        <w:t xml:space="preserve">Q12 - Quelle est, en eV, la différence d'énergie entre ces deux niveaux hyperfins dont il est question dans la définition précédente? Justifier alors le qualificatif d'hyperfin en comparant par exemple le résultat aux différences de niveaux d'énergie de l'atome d'hydrogène donnés par la relation </w:t>
      </w:r>
      <m:oMath>
        <m:sSub>
          <m:sSubPr/>
          <m:e>
            <m:r>
              <m:rPr>
                <m:sty m:val="i"/>
              </m:rPr>
              <m:t>E</m:t>
            </m:r>
          </m:e>
          <m:sub>
            <m:r>
              <m:rPr>
                <m:sty m:val="i"/>
              </m:rPr>
              <m:t>n</m:t>
            </m:r>
          </m:sub>
        </m:sSub>
        <m:r>
          <m:rPr>
            <m:sty m:val="p"/>
          </m:rPr>
          <m:t>=</m:t>
        </m:r>
        <m:r>
          <m:rPr>
            <m:sty m:val="p"/>
          </m:rPr>
          <m:t>−</m:t>
        </m:r>
        <m:f>
          <m:fPr>
            <m:ctrlPr>
              <w:rPr>
                <w:rFonts w:ascii="Cambria Math" w:hAnsi="Cambria Math"/>
              </w:rPr>
            </m:ctrlPr>
          </m:fPr>
          <m:num>
            <m:r>
              <m:rPr>
                <m:sty m:val="p"/>
              </m:rPr>
              <m:t>13</m:t>
            </m:r>
            <m:r>
              <m:rPr>
                <m:sty m:val="p"/>
              </m:rPr>
              <m:t>,</m:t>
            </m:r>
            <m:r>
              <m:rPr>
                <m:sty m:val="p"/>
              </m:rPr>
              <m:t>6</m:t>
            </m:r>
          </m:num>
          <m:den>
            <m:sSup>
              <m:sSupPr/>
              <m:e>
                <m:r>
                  <m:rPr>
                    <m:sty m:val="i"/>
                  </m:rPr>
                  <m:t>n</m:t>
                </m:r>
              </m:e>
              <m:sup>
                <m:r>
                  <m:rPr>
                    <m:sty m:val="p"/>
                  </m:rPr>
                  <m:t>2</m:t>
                </m:r>
              </m:sup>
            </m:sSup>
          </m:den>
        </m:f>
        <m:r>
          <m:rPr>
            <m:sty m:val="p"/>
          </m:rPr>
          <m:t>eV</m:t>
        </m:r>
      </m:oMath>
      <w:r>
        <w:rPr/>
        <w:t xml:space="preserve"> avec </w:t>
      </w:r>
      <m:oMath>
        <m:r>
          <m:rPr>
            <m:sty m:val="i"/>
          </m:rPr>
          <m:t>n</m:t>
        </m:r>
      </m:oMath>
      <w:r>
        <w:rPr/>
        <w:t xml:space="preserve"> un entier strictement positif.</w:t>
      </w:r>
    </w:p>
    <w:p>
      <w:pPr>
        <w:spacing w:after="220" w:lineRule="auto"/>
      </w:pPr>
      <w:r>
        <w:rPr>
          <w:rFonts w:eastAsia="Georgia" w:cs="Georgia" w:ascii="Georgia" w:hAnsi="Georgia"/>
        </w:rPr>
        <w:t xml:space="preserve">Q13 - Si on veut une précision de l'ordre de 10 m lors de la mesure de localisation GPS, quelle est la précision sur la mesure de la durée du trajet de l'onde électromagnétique entre le satellite et le récepteur? Une horloge atomique satisfait-elle cette exigence?</w:t>
      </w:r>
    </w:p>
    <w:p>
      <w:pPr>
        <w:spacing w:after="220" w:lineRule="auto"/>
      </w:pPr>
      <w:r>
        <w:rPr>
          <w:rFonts w:eastAsia="Georgia" w:cs="Georgia" w:ascii="Georgia" w:hAnsi="Georgia"/>
        </w:rPr>
        <w:t xml:space="preserve">Dans un article scientifique de vulgarisation consacré au GPS, on peut lire le texte suivant : «Les effets de la courbure de l'espace-temps prédits par la théorie de la relativité d'Einstein se vérifient concrètement sur les horloges atomiques des satellites GPS qui dérivent de </w:t>
      </w:r>
      <m:oMath>
        <m:r>
          <m:rPr>
            <m:sty m:val="p"/>
          </m:rPr>
          <m:t>38</m:t>
        </m:r>
        <m:r>
          <m:rPr>
            <m:sty m:val="i"/>
          </m:rPr>
          <m:t>μ</m:t>
        </m:r>
      </m:oMath>
      <w:r>
        <w:rPr>
          <w:rFonts w:eastAsia="Georgia" w:cs="Georgia" w:ascii="Georgia" w:hAnsi="Georgia"/>
        </w:rPr>
        <w:t xml:space="preserve"> s par jour. »</w:t>
      </w:r>
    </w:p>
    <w:p>
      <w:pPr>
        <w:spacing w:after="220" w:lineRule="auto"/>
      </w:pPr>
      <w:r>
        <w:rPr>
          <w:rFonts w:eastAsia="Georgia" w:cs="Georgia" w:ascii="Georgia" w:hAnsi="Georgia"/>
        </w:rPr>
        <w:t xml:space="preserve">Q14 - Déduire de cette remarque l'ordre de grandeur de la dérive journalière en distance sur un récepteur GPS si ces effets relativistes n'étaient pas pris en compte et bien entendu corrigés systématiquement.</w:t>
      </w:r>
    </w:p>
    <w:p>
      <w:pPr>
        <w:spacing w:after="220" w:lineRule="auto"/>
      </w:pPr>
      <w:r>
        <w:rPr>
          <w:rFonts w:eastAsia="Georgia" w:cs="Georgia" w:ascii="Georgia" w:hAnsi="Georgia"/>
        </w:rPr>
        <w:t xml:space="preserve">Q15 - Les récepteurs sont équipés, pour des raisons évidentes de coûts, d'horloge classiques dites «à quartz», dont la dérive est d'environ </w:t>
      </w:r>
      <m:oMath>
        <m:r>
          <m:rPr>
            <m:sty m:val="p"/>
          </m:rPr>
          <m:t>±</m:t>
        </m:r>
        <m:r>
          <m:rPr>
            <m:sty m:val="p"/>
          </m:rPr>
          <m:t>1</m:t>
        </m:r>
      </m:oMath>
      <w:r>
        <w:rPr>
          <w:rFonts w:eastAsia="Georgia" w:cs="Georgia" w:ascii="Georgia" w:hAnsi="Georgia"/>
        </w:rPr>
        <w:t xml:space="preserve"> seconde par mois. Cette valeur est-elle compatible avec la précision attendue? Conclure.</w:t>
      </w:r>
    </w:p>
    <w:p>
      <w:pPr>
        <w:spacing w:after="220" w:lineRule="auto"/>
      </w:pPr>
      <w:r>
        <w:rPr>
          <w:rFonts w:eastAsia="Georgia" w:cs="Georgia" w:ascii="Georgia" w:hAnsi="Georgia"/>
        </w:rPr>
        <w:t xml:space="preserve">Ces horloges utilisent les propriétés mécaniques et électriques (piézo-électricité) des cristaux de quartz dont le symbole et le schéma électrique équivalent sont donnés sur la figure 5.</w:t>
      </w:r>
    </w:p>
    <w:p>
      <w:pPr>
        <w:spacing w:lineRule="auto"/>
        <w:jc w:val="center"/>
      </w:pPr>
      <w:r>
        <w:rPr/>
        <w:drawing>
          <wp:inline distB="0" distL="0" distR="0" distT="0">
            <wp:extent cx="5486400" cy="1056710"/>
            <wp:effectExtent b="0" l="0" r="0" t="0"/>
            <wp:docPr id="5" name="image-c342ff1a768d55ebec367180ee7b150c064a7f88.jpg"/>
            <a:graphic>
              <a:graphicData uri="http://schemas.openxmlformats.org/drawingml/2006/picture">
                <pic:pic>
                  <pic:nvPicPr>
                    <pic:cNvPr id="5" name="image-c342ff1a768d55ebec367180ee7b150c064a7f88.jpg" descr=""/>
                    <pic:cNvPicPr/>
                  </pic:nvPicPr>
                  <pic:blipFill>
                    <a:blip r:embed="rId11" cstate="print"/>
                    <a:srcRect b="0" l="0" r="0" t="0"/>
                    <a:stretch>
                      <a:fillRect/>
                    </a:stretch>
                  </pic:blipFill>
                  <pic:spPr>
                    <a:xfrm>
                      <a:off x="0" y="0"/>
                      <a:ext cx="5486400" cy="1056710"/>
                    </a:xfrm>
                    <a:prstGeom prst="rect"/>
                  </pic:spPr>
                </pic:pic>
              </a:graphicData>
            </a:graphic>
          </wp:inline>
        </w:drawing>
      </w:r>
    </w:p>
    <w:p>
      <w:pPr>
        <w:spacing w:lineRule="auto"/>
      </w:pPr>
      <w:r>
        <w:rPr>
          <w:rFonts w:eastAsia="Georgia" w:cs="Georgia" w:ascii="Georgia" w:hAnsi="Georgia"/>
        </w:rPr>
        <w:t xml:space="preserve">Figure 5 - Modèle électrique d'un quartz</w:t>
      </w:r>
    </w:p>
    <w:p>
      <w:pPr>
        <w:spacing w:after="220" w:lineRule="auto"/>
      </w:pPr>
      <w:r>
        <w:rPr>
          <w:rFonts w:eastAsia="Georgia" w:cs="Georgia" w:ascii="Georgia" w:hAnsi="Georgia"/>
        </w:rPr>
        <w:t xml:space="preserve">Q16 - Établir l'expression simplifiée de l'impédance complexe </w:t>
      </w:r>
      <m:oMath>
        <m:bar>
          <m:barPr/>
          <m:e>
            <m:r>
              <m:rPr>
                <m:sty m:val="i"/>
              </m:rPr>
              <m:t>Z</m:t>
            </m:r>
          </m:e>
        </m:bar>
      </m:oMath>
      <w:r>
        <w:rPr/>
        <w:t xml:space="preserve"> du quartz en fonction de la</w:t>
      </w:r>
      <w:r>
        <w:rPr/>
        <w:br w:type="textWrapping"/>
      </w:r>
      <w:r>
        <w:rPr/>
        <w:t xml:space="preserve">pulsation </w:t>
      </w:r>
      <m:oMath>
        <m:r>
          <m:rPr>
            <m:sty m:val="i"/>
          </m:rPr>
          <m:t>ω</m:t>
        </m:r>
      </m:oMath>
      <w:r>
        <w:rPr>
          <w:rFonts w:eastAsia="Georgia" w:cs="Georgia" w:ascii="Georgia" w:hAnsi="Georgia"/>
        </w:rPr>
        <w:t xml:space="preserve"> en négligeant la résistance </w:t>
      </w:r>
      <m:oMath>
        <m:sSub>
          <m:sSubPr/>
          <m:e>
            <m:r>
              <m:rPr>
                <m:sty m:val="i"/>
              </m:rPr>
              <m:t>R</m:t>
            </m:r>
          </m:e>
          <m:sub>
            <m:r>
              <m:rPr>
                <m:sty m:val="i"/>
              </m:rPr>
              <m:t>S</m:t>
            </m:r>
          </m:sub>
        </m:sSub>
      </m:oMath>
      <w:r>
        <w:rPr/>
        <w:t xml:space="preserve"> et montrer qu'elle peut se mettre sous la forme :</w:t>
      </w:r>
    </w:p>
    <w:p>
      <w:pPr>
        <w:spacing w:after="220" w:lineRule="auto"/>
      </w:pPr>
      <m:oMathPara>
        <m:oMath>
          <m:bar>
            <m:barPr/>
            <m:e>
              <m:r>
                <m:rPr>
                  <m:sty m:val="i"/>
                </m:rPr>
                <m:t>Z</m:t>
              </m:r>
            </m:e>
          </m:bar>
          <m:r>
            <m:rPr>
              <m:sty m:val="p"/>
            </m:rPr>
            <m:t>(</m:t>
          </m:r>
          <m:r>
            <m:rPr>
              <m:sty m:val="i"/>
            </m:rPr>
            <m:t>j</m:t>
          </m:r>
          <m:r>
            <m:rPr>
              <m:sty m:val="i"/>
            </m:rPr>
            <m:t>ω</m:t>
          </m:r>
          <m:r>
            <m:rPr>
              <m:sty m:val="p"/>
            </m:rPr>
            <m:t>)</m:t>
          </m:r>
          <m:r>
            <m:rPr>
              <m:sty m:val="p"/>
            </m:rPr>
            <m:t>=</m:t>
          </m:r>
          <m:f>
            <m:fPr>
              <m:ctrlPr>
                <w:rPr>
                  <w:rFonts w:ascii="Cambria Math" w:hAnsi="Cambria Math"/>
                </w:rPr>
              </m:ctrlPr>
            </m:fPr>
            <m:num>
              <m:r>
                <m:rPr>
                  <m:sty m:val="p"/>
                </m:rPr>
                <m:t>1</m:t>
              </m:r>
            </m:num>
            <m:den>
              <m:r>
                <m:rPr>
                  <m:sty m:val="i"/>
                </m:rPr>
                <m:t>j</m:t>
              </m:r>
              <m:sSub>
                <m:sSubPr/>
                <m:e>
                  <m:r>
                    <m:rPr>
                      <m:sty m:val="i"/>
                    </m:rPr>
                    <m:t>C</m:t>
                  </m:r>
                </m:e>
                <m:sub>
                  <m:r>
                    <m:rPr>
                      <m:sty m:val="i"/>
                    </m:rPr>
                    <m:t>e</m:t>
                  </m:r>
                  <m:r>
                    <m:rPr>
                      <m:sty m:val="i"/>
                    </m:rPr>
                    <m:t>q</m:t>
                  </m:r>
                </m:sub>
              </m:sSub>
              <m:r>
                <m:rPr>
                  <m:sty m:val="i"/>
                </m:rPr>
                <m:t>ω</m:t>
              </m:r>
            </m:den>
          </m:f>
          <m:f>
            <m:fPr>
              <m:ctrlPr>
                <w:rPr>
                  <w:rFonts w:ascii="Cambria Math" w:hAnsi="Cambria Math"/>
                </w:rPr>
              </m:ctrlPr>
            </m:fPr>
            <m:num>
              <m:r>
                <m:rPr>
                  <m:sty m:val="p"/>
                </m:rPr>
                <m:t>1</m:t>
              </m:r>
              <m:r>
                <m:rPr>
                  <m:sty m:val="p"/>
                </m:rPr>
                <m:t>−</m:t>
              </m:r>
              <m:f>
                <m:fPr>
                  <m:ctrlPr>
                    <w:rPr>
                      <w:rFonts w:ascii="Cambria Math" w:hAnsi="Cambria Math"/>
                    </w:rPr>
                  </m:ctrlPr>
                </m:fPr>
                <m:num>
                  <m:sSup>
                    <m:sSupPr/>
                    <m:e>
                      <m:r>
                        <m:rPr>
                          <m:sty m:val="i"/>
                        </m:rPr>
                        <m:t>ω</m:t>
                      </m:r>
                    </m:e>
                    <m:sup>
                      <m:r>
                        <m:rPr>
                          <m:sty m:val="p"/>
                        </m:rPr>
                        <m:t>2</m:t>
                      </m:r>
                    </m:sup>
                  </m:sSup>
                </m:num>
                <m:den>
                  <m:sSubSup>
                    <m:sSubSupPr/>
                    <m:e>
                      <m:r>
                        <m:rPr>
                          <m:sty m:val="i"/>
                        </m:rPr>
                        <m:t>ω</m:t>
                      </m:r>
                    </m:e>
                    <m:sub>
                      <m:r>
                        <m:rPr>
                          <m:sty m:val="i"/>
                        </m:rPr>
                        <m:t>S</m:t>
                      </m:r>
                    </m:sub>
                    <m:sup>
                      <m:r>
                        <m:rPr>
                          <m:sty m:val="p"/>
                        </m:rPr>
                        <m:t>2</m:t>
                      </m:r>
                    </m:sup>
                  </m:sSubSup>
                </m:den>
              </m:f>
            </m:num>
            <m:den>
              <m:r>
                <m:rPr>
                  <m:sty m:val="p"/>
                </m:rPr>
                <m:t>1</m:t>
              </m:r>
              <m:r>
                <m:rPr>
                  <m:sty m:val="p"/>
                </m:rPr>
                <m:t>−</m:t>
              </m:r>
              <m:f>
                <m:fPr>
                  <m:ctrlPr>
                    <w:rPr>
                      <w:rFonts w:ascii="Cambria Math" w:hAnsi="Cambria Math"/>
                    </w:rPr>
                  </m:ctrlPr>
                </m:fPr>
                <m:num>
                  <m:sSup>
                    <m:sSupPr/>
                    <m:e>
                      <m:r>
                        <m:rPr>
                          <m:sty m:val="i"/>
                        </m:rPr>
                        <m:t>ω</m:t>
                      </m:r>
                    </m:e>
                    <m:sup>
                      <m:r>
                        <m:rPr>
                          <m:sty m:val="p"/>
                        </m:rPr>
                        <m:t>2</m:t>
                      </m:r>
                    </m:sup>
                  </m:sSup>
                </m:num>
                <m:den>
                  <m:sSubSup>
                    <m:sSubSupPr/>
                    <m:e>
                      <m:r>
                        <m:rPr>
                          <m:sty m:val="i"/>
                        </m:rPr>
                        <m:t>ω</m:t>
                      </m:r>
                    </m:e>
                    <m:sub>
                      <m:r>
                        <m:rPr>
                          <m:sty m:val="i"/>
                        </m:rPr>
                        <m:t>P</m:t>
                      </m:r>
                    </m:sub>
                    <m:sup>
                      <m:r>
                        <m:rPr>
                          <m:sty m:val="p"/>
                        </m:rPr>
                        <m:t>2</m:t>
                      </m:r>
                    </m:sup>
                  </m:sSubSup>
                </m:den>
              </m:f>
            </m:den>
          </m:f>
          <m:r>
            <m:rPr>
              <m:sty m:val="p"/>
            </m:rPr>
            <m:t>.</m:t>
          </m:r>
        </m:oMath>
      </m:oMathPara>
    </w:p>
    <w:p>
      <w:pPr>
        <w:spacing w:after="220" w:lineRule="auto"/>
      </w:pPr>
      <w:r>
        <w:rPr/>
        <w:t xml:space="preserve">Quelles sont les expressions de </w:t>
      </w:r>
      <m:oMath>
        <m:sSub>
          <m:sSubPr/>
          <m:e>
            <m:r>
              <m:rPr>
                <m:sty m:val="i"/>
              </m:rPr>
              <m:t>C</m:t>
            </m:r>
          </m:e>
          <m:sub>
            <m:r>
              <m:rPr>
                <m:nor/>
              </m:rPr>
              <m:t>eq </m:t>
            </m:r>
          </m:sub>
        </m:sSub>
        <m:r>
          <m:rPr>
            <m:sty m:val="p"/>
          </m:rPr>
          <m:t>,</m:t>
        </m:r>
        <m:sSub>
          <m:sSubPr/>
          <m:e>
            <m:r>
              <m:rPr>
                <m:sty m:val="i"/>
              </m:rPr>
              <m:t>ω</m:t>
            </m:r>
          </m:e>
          <m:sub>
            <m:r>
              <m:rPr>
                <m:sty m:val="i"/>
              </m:rPr>
              <m:t>S</m:t>
            </m:r>
          </m:sub>
        </m:sSub>
      </m:oMath>
      <w:r>
        <w:rPr/>
        <w:t xml:space="preserve"> et </w:t>
      </w:r>
      <m:oMath>
        <m:sSub>
          <m:sSubPr/>
          <m:e>
            <m:r>
              <m:rPr>
                <m:sty m:val="i"/>
              </m:rPr>
              <m:t>ω</m:t>
            </m:r>
          </m:e>
          <m:sub>
            <m:r>
              <m:rPr>
                <m:sty m:val="i"/>
              </m:rPr>
              <m:t>P</m:t>
            </m:r>
          </m:sub>
        </m:sSub>
      </m:oMath>
      <w:r>
        <w:rPr/>
        <w:t xml:space="preserve"> en fonction de </w:t>
      </w:r>
      <m:oMath>
        <m:r>
          <m:rPr>
            <m:sty m:val="i"/>
          </m:rPr>
          <m:t>L</m:t>
        </m:r>
        <m:r>
          <m:rPr>
            <m:sty m:val="p"/>
          </m:rPr>
          <m:t>,</m:t>
        </m:r>
        <m:sSub>
          <m:sSubPr/>
          <m:e>
            <m:r>
              <m:rPr>
                <m:sty m:val="i"/>
              </m:rPr>
              <m:t>C</m:t>
            </m:r>
          </m:e>
          <m:sub>
            <m:r>
              <m:rPr>
                <m:sty m:val="i"/>
              </m:rPr>
              <m:t>S</m:t>
            </m:r>
          </m:sub>
        </m:sSub>
      </m:oMath>
      <w:r>
        <w:rPr>
          <w:rFonts w:eastAsia="Georgia" w:cs="Georgia" w:ascii="Georgia" w:hAnsi="Georgia"/>
        </w:rPr>
        <w:t xml:space="preserve"> (associé à </w:t>
      </w:r>
      <m:oMath>
        <m:sSub>
          <m:sSubPr/>
          <m:e>
            <m:r>
              <m:rPr>
                <m:sty m:val="i"/>
              </m:rPr>
              <m:t>ω</m:t>
            </m:r>
          </m:e>
          <m:sub>
            <m:r>
              <m:rPr>
                <m:sty m:val="i"/>
              </m:rPr>
              <m:t>S</m:t>
            </m:r>
          </m:sub>
        </m:sSub>
      </m:oMath>
      <w:r>
        <w:rPr/>
        <w:t xml:space="preserve"> ) et </w:t>
      </w:r>
      <m:oMath>
        <m:sSub>
          <m:sSubPr/>
          <m:e>
            <m:r>
              <m:rPr>
                <m:sty m:val="i"/>
              </m:rPr>
              <m:t>C</m:t>
            </m:r>
          </m:e>
          <m:sub>
            <m:r>
              <m:rPr>
                <m:sty m:val="i"/>
              </m:rPr>
              <m:t>P</m:t>
            </m:r>
          </m:sub>
        </m:sSub>
      </m:oMath>
      <w:r>
        <w:rPr>
          <w:rFonts w:eastAsia="Georgia" w:cs="Georgia" w:ascii="Georgia" w:hAnsi="Georgia"/>
        </w:rPr>
        <w:t xml:space="preserve"> (associé à </w:t>
      </w:r>
      <m:oMath>
        <m:sSub>
          <m:sSubPr/>
          <m:e>
            <m:r>
              <m:rPr>
                <m:sty m:val="i"/>
              </m:rPr>
              <m:t>ω</m:t>
            </m:r>
          </m:e>
          <m:sub>
            <m:r>
              <m:rPr>
                <m:sty m:val="i"/>
              </m:rPr>
              <m:t>P</m:t>
            </m:r>
          </m:sub>
        </m:sSub>
      </m:oMath>
      <w:r>
        <w:rPr/>
        <w:t xml:space="preserve"> ) ? Tracer l'allure du module </w:t>
      </w:r>
      <m:oMath>
        <m:r>
          <m:rPr>
            <m:sty m:val="p"/>
          </m:rPr>
          <m:t>|</m:t>
        </m:r>
        <m:bar>
          <m:barPr/>
          <m:e>
            <m:r>
              <m:rPr>
                <m:sty m:val="i"/>
              </m:rPr>
              <m:t>Z</m:t>
            </m:r>
          </m:e>
        </m:bar>
        <m:r>
          <m:rPr>
            <m:sty m:val="p"/>
          </m:rPr>
          <m:t>|</m:t>
        </m:r>
      </m:oMath>
      <w:r>
        <w:rPr/>
        <w:t xml:space="preserve"> en fonction de </w:t>
      </w:r>
      <m:oMath>
        <m:r>
          <m:rPr>
            <m:sty m:val="i"/>
          </m:rPr>
          <m:t>ω</m:t>
        </m:r>
      </m:oMath>
      <w:r>
        <w:rPr/>
        <w:t xml:space="preserve">.</w:t>
      </w:r>
    </w:p>
    <w:p>
      <w:pPr>
        <w:spacing w:after="220" w:lineRule="auto"/>
      </w:pPr>
      <w:r>
        <w:rPr>
          <w:rFonts w:eastAsia="Georgia" w:cs="Georgia" w:ascii="Georgia" w:hAnsi="Georgia"/>
        </w:rPr>
        <w:t xml:space="preserve">Q17 - Les valeurs numériques du modèle d'un quartz horloger prévu pour osciller à une fréquence </w:t>
      </w:r>
      <m:oMath>
        <m:sSub>
          <m:sSubPr/>
          <m:e>
            <m:r>
              <m:rPr>
                <m:sty m:val="i"/>
              </m:rPr>
              <m:t>f</m:t>
            </m:r>
          </m:e>
          <m:sub>
            <m:r>
              <m:rPr>
                <m:sty m:val="p"/>
              </m:rPr>
              <m:t>0</m:t>
            </m:r>
          </m:sub>
        </m:sSub>
        <m:r>
          <m:rPr>
            <m:sty m:val="p"/>
          </m:rPr>
          <m:t>=</m:t>
        </m:r>
        <m:sSup>
          <m:sSupPr/>
          <m:e>
            <m:r>
              <m:rPr>
                <m:sty m:val="p"/>
              </m:rPr>
              <m:t>2</m:t>
            </m:r>
          </m:e>
          <m:sup>
            <m:r>
              <m:rPr>
                <m:sty m:val="p"/>
              </m:rPr>
              <m:t>15</m:t>
            </m:r>
          </m:sup>
        </m:sSup>
        <m:r>
          <m:rPr>
            <m:nor/>
          </m:rPr>
          <m:t xml:space="preserve"> </m:t>
        </m:r>
        <m:r>
          <m:rPr>
            <m:sty m:val="p"/>
          </m:rPr>
          <m:t>Hz</m:t>
        </m:r>
      </m:oMath>
      <w:r>
        <w:rPr>
          <w:rFonts w:eastAsia="Georgia" w:cs="Georgia" w:ascii="Georgia" w:hAnsi="Georgia"/>
        </w:rPr>
        <w:t xml:space="preserve"> ont été mesurées avec précision et sont les suivantes :</w:t>
      </w:r>
    </w:p>
    <w:p>
      <w:pPr>
        <w:spacing w:after="220" w:lineRule="auto"/>
      </w:pPr>
      <m:oMathPara>
        <m:oMath>
          <m:r>
            <m:rPr>
              <m:sty m:val="i"/>
            </m:rPr>
            <m:t>L</m:t>
          </m:r>
          <m:r>
            <m:rPr>
              <m:sty m:val="p"/>
            </m:rPr>
            <m:t>=</m:t>
          </m:r>
          <m:r>
            <m:rPr>
              <m:sty m:val="p"/>
            </m:rPr>
            <m:t>11395</m:t>
          </m:r>
          <m:r>
            <m:rPr>
              <m:sty m:val="p"/>
            </m:rPr>
            <m:t>H</m:t>
          </m:r>
          <m:r>
            <m:rPr>
              <m:sty m:val="p"/>
            </m:rPr>
            <m:t>;</m:t>
          </m:r>
          <m:sSub>
            <m:sSubPr/>
            <m:e>
              <m:r>
                <m:rPr>
                  <m:sty m:val="i"/>
                </m:rPr>
                <m:t>C</m:t>
              </m:r>
            </m:e>
            <m:sub>
              <m:r>
                <m:rPr>
                  <m:sty m:val="i"/>
                </m:rPr>
                <m:t>S</m:t>
              </m:r>
            </m:sub>
          </m:sSub>
          <m:r>
            <m:rPr>
              <m:sty m:val="p"/>
            </m:rPr>
            <m:t>=</m:t>
          </m:r>
          <m:r>
            <m:rPr>
              <m:sty m:val="p"/>
            </m:rPr>
            <m:t>2</m:t>
          </m:r>
          <m:r>
            <m:rPr>
              <m:sty m:val="p"/>
            </m:rPr>
            <m:t>,</m:t>
          </m:r>
          <m:r>
            <m:rPr>
              <m:sty m:val="p"/>
            </m:rPr>
            <m:t>071</m:t>
          </m:r>
          <m:r>
            <m:rPr>
              <m:sty m:val="p"/>
            </m:rPr>
            <m:t>×</m:t>
          </m:r>
          <m:sSup>
            <m:sSupPr/>
            <m:e>
              <m:r>
                <m:rPr>
                  <m:sty m:val="p"/>
                </m:rPr>
                <m:t>10</m:t>
              </m:r>
            </m:e>
            <m:sup>
              <m:r>
                <m:rPr>
                  <m:sty m:val="p"/>
                </m:rPr>
                <m:t>−</m:t>
              </m:r>
              <m:r>
                <m:rPr>
                  <m:sty m:val="p"/>
                </m:rPr>
                <m:t>15</m:t>
              </m:r>
            </m:sup>
          </m:sSup>
          <m:r>
            <m:rPr>
              <m:nor/>
            </m:rPr>
            <m:t xml:space="preserve"> </m:t>
          </m:r>
          <m:r>
            <m:rPr>
              <m:sty m:val="p"/>
            </m:rPr>
            <m:t>F</m:t>
          </m:r>
          <m:r>
            <m:rPr>
              <m:sty m:val="p"/>
            </m:rPr>
            <m:t>;</m:t>
          </m:r>
          <m:sSub>
            <m:sSubPr/>
            <m:e>
              <m:r>
                <m:rPr>
                  <m:sty m:val="i"/>
                </m:rPr>
                <m:t>C</m:t>
              </m:r>
            </m:e>
            <m:sub>
              <m:r>
                <m:rPr>
                  <m:sty m:val="i"/>
                </m:rPr>
                <m:t>P</m:t>
              </m:r>
            </m:sub>
          </m:sSub>
          <m:r>
            <m:rPr>
              <m:sty m:val="p"/>
            </m:rPr>
            <m:t>=</m:t>
          </m:r>
          <m:r>
            <m:rPr>
              <m:sty m:val="p"/>
            </m:rPr>
            <m:t>3</m:t>
          </m:r>
          <m:r>
            <m:rPr>
              <m:sty m:val="p"/>
            </m:rPr>
            <m:t>,</m:t>
          </m:r>
          <m:r>
            <m:rPr>
              <m:sty m:val="p"/>
            </m:rPr>
            <m:t>05</m:t>
          </m:r>
          <m:r>
            <m:rPr>
              <m:sty m:val="p"/>
            </m:rPr>
            <m:t>pF</m:t>
          </m:r>
          <m:r>
            <m:rPr>
              <m:sty m:val="p"/>
            </m:rPr>
            <m:t>;</m:t>
          </m:r>
          <m:sSub>
            <m:sSubPr/>
            <m:e>
              <m:r>
                <m:rPr>
                  <m:sty m:val="i"/>
                </m:rPr>
                <m:t>R</m:t>
              </m:r>
            </m:e>
            <m:sub>
              <m:r>
                <m:rPr>
                  <m:sty m:val="i"/>
                </m:rPr>
                <m:t>S</m:t>
              </m:r>
            </m:sub>
          </m:sSub>
          <m:r>
            <m:rPr>
              <m:sty m:val="p"/>
            </m:rPr>
            <m:t>=</m:t>
          </m:r>
          <m:r>
            <m:rPr>
              <m:sty m:val="p"/>
            </m:rPr>
            <m:t>28</m:t>
          </m:r>
          <m:r>
            <m:rPr>
              <m:sty m:val="p"/>
            </m:rPr>
            <m:t>,</m:t>
          </m:r>
          <m:r>
            <m:rPr>
              <m:sty m:val="p"/>
            </m:rPr>
            <m:t>57</m:t>
          </m:r>
          <m:r>
            <m:rPr>
              <m:sty m:val="p"/>
            </m:rPr>
            <m:t>k</m:t>
          </m:r>
          <m:r>
            <m:rPr>
              <m:sty m:val="p"/>
            </m:rPr>
            <m:t>Ω</m:t>
          </m:r>
          <m:r>
            <m:rPr>
              <m:sty m:val="p"/>
            </m:rPr>
            <m:t>.</m:t>
          </m:r>
        </m:oMath>
      </m:oMathPara>
    </w:p>
    <w:p>
      <w:pPr>
        <w:spacing w:after="220" w:lineRule="auto"/>
      </w:pPr>
      <w:r>
        <w:rPr/>
        <w:t xml:space="preserve">Parmi ces quatre valeurs, quelles sont celles dont l'ordre de grandeur est inhabituel?</w:t>
      </w:r>
      <w:r>
        <w:rPr/>
        <w:br w:type="textWrapping"/>
      </w:r>
      <w:r>
        <w:rPr>
          <w:rFonts w:eastAsia="Georgia" w:cs="Georgia" w:ascii="Georgia" w:hAnsi="Georgia"/>
        </w:rPr>
        <w:t xml:space="preserve">Q18 - Quel est l'écart relatif </w:t>
      </w:r>
      <m:oMath>
        <m:f>
          <m:fPr>
            <m:ctrlPr>
              <w:rPr>
                <w:rFonts w:ascii="Cambria Math" w:hAnsi="Cambria Math"/>
              </w:rPr>
            </m:ctrlPr>
          </m:fPr>
          <m:num>
            <m:sSub>
              <m:sSubPr/>
              <m:e>
                <m:r>
                  <m:rPr>
                    <m:sty m:val="i"/>
                  </m:rPr>
                  <m:t>ω</m:t>
                </m:r>
              </m:e>
              <m:sub>
                <m:r>
                  <m:rPr>
                    <m:sty m:val="i"/>
                  </m:rPr>
                  <m:t>P</m:t>
                </m:r>
              </m:sub>
            </m:sSub>
            <m:r>
              <m:rPr>
                <m:sty m:val="p"/>
              </m:rPr>
              <m:t>−</m:t>
            </m:r>
            <m:sSub>
              <m:sSubPr/>
              <m:e>
                <m:r>
                  <m:rPr>
                    <m:sty m:val="i"/>
                  </m:rPr>
                  <m:t>ω</m:t>
                </m:r>
              </m:e>
              <m:sub>
                <m:r>
                  <m:rPr>
                    <m:sty m:val="i"/>
                  </m:rPr>
                  <m:t>S</m:t>
                </m:r>
              </m:sub>
            </m:sSub>
          </m:num>
          <m:den>
            <m:sSub>
              <m:sSubPr/>
              <m:e>
                <m:r>
                  <m:rPr>
                    <m:sty m:val="i"/>
                  </m:rPr>
                  <m:t>ω</m:t>
                </m:r>
              </m:e>
              <m:sub>
                <m:r>
                  <m:rPr>
                    <m:sty m:val="i"/>
                  </m:rPr>
                  <m:t>P</m:t>
                </m:r>
              </m:sub>
            </m:sSub>
          </m:den>
        </m:f>
      </m:oMath>
      <w:r>
        <w:rPr/>
        <w:t xml:space="preserve"> ? Commenter.</w:t>
      </w:r>
      <w:r>
        <w:rPr/>
        <w:br w:type="textWrapping"/>
      </w:r>
      <w:r>
        <w:rPr>
          <w:rFonts w:eastAsia="Georgia" w:cs="Georgia" w:ascii="Georgia" w:hAnsi="Georgia"/>
        </w:rPr>
        <w:t xml:space="preserve">Q19 - Les quartz utilisés en horlogerie pourraient-ils convenir? Quel est l'intérêt d'avoir choisi une puissance entière de 2 ?</w:t>
      </w:r>
    </w:p>
    <w:p>
      <w:pPr>
        <w:spacing w:line="271" w:before="330" w:lineRule="auto"/>
      </w:pPr>
      <w:r>
        <w:rPr>
          <w:rFonts w:eastAsia="Georgia" w:cs="Georgia" w:ascii="Georgia" w:hAnsi="Georgia"/>
          <w:b/>
          <w:sz w:val="42"/>
        </w:rPr>
        <w:t xml:space="preserve">C/ Influence de l'ionosphère</w:t>
      </w:r>
    </w:p>
    <w:p>
      <w:pPr>
        <w:spacing w:after="220" w:lineRule="auto"/>
      </w:pPr>
      <w:r>
        <w:rPr>
          <w:rFonts w:eastAsia="Georgia" w:cs="Georgia" w:ascii="Georgia" w:hAnsi="Georgia"/>
        </w:rPr>
        <w:t xml:space="preserve">L'ionosphère est la partie de l'atmosphère située au-delà de 70 km d'altitude. Il s'agit d'un plasma raréfié, partiellement ionisé par le rayonnement solaire. L'ionisation est mesurée par la densité volumique </w:t>
      </w:r>
      <m:oMath>
        <m:sSub>
          <m:sSubPr/>
          <m:e>
            <m:r>
              <m:rPr>
                <m:sty m:val="i"/>
              </m:rPr>
              <m:t>n</m:t>
            </m:r>
          </m:e>
          <m:sub>
            <m:r>
              <m:rPr>
                <m:sty m:val="i"/>
              </m:rPr>
              <m:t>e</m:t>
            </m:r>
          </m:sub>
        </m:sSub>
      </m:oMath>
      <w:r>
        <w:rPr>
          <w:rFonts w:eastAsia="Georgia" w:cs="Georgia" w:ascii="Georgia" w:hAnsi="Georgia"/>
        </w:rPr>
        <w:t xml:space="preserve"> d'électrons libres.</w:t>
      </w:r>
    </w:p>
    <w:p>
      <w:pPr>
        <w:spacing w:after="220" w:lineRule="auto"/>
      </w:pPr>
      <w:r>
        <w:rPr>
          <w:rFonts w:eastAsia="Georgia" w:cs="Georgia" w:ascii="Georgia" w:hAnsi="Georgia"/>
        </w:rPr>
        <w:t xml:space="preserve">Les électrons libres, de masse </w:t>
      </w:r>
      <m:oMath>
        <m:sSub>
          <m:sSubPr/>
          <m:e>
            <m:r>
              <m:rPr>
                <m:sty m:val="i"/>
              </m:rPr>
              <m:t>m</m:t>
            </m:r>
          </m:e>
          <m:sub>
            <m:r>
              <m:rPr>
                <m:sty m:val="i"/>
              </m:rPr>
              <m:t>e</m:t>
            </m:r>
          </m:sub>
        </m:sSub>
      </m:oMath>
      <w:r>
        <w:rPr/>
        <w:t xml:space="preserve"> et de charge </w:t>
      </w:r>
      <m:oMath>
        <m:r>
          <m:rPr>
            <m:sty m:val="p"/>
          </m:rPr>
          <m:t>−</m:t>
        </m:r>
        <m:r>
          <m:rPr>
            <m:sty m:val="i"/>
          </m:rPr>
          <m:t>e</m:t>
        </m:r>
      </m:oMath>
      <w:r>
        <w:rPr>
          <w:rFonts w:eastAsia="Georgia" w:cs="Georgia" w:ascii="Georgia" w:hAnsi="Georgia"/>
        </w:rPr>
        <w:t xml:space="preserve">, présents dans l'ionosphère, interagissent avec une onde électromagnétique incidente pour modifier les caractéristiques de celle-ci, qui présente alors, en particulier, une avance de phase et un retard de groupe par rapport à une propagation dans le vide. On cherche ici à quantifier ces décalages puis à compenser ceux-ci.</w:t>
      </w:r>
    </w:p>
    <w:p>
      <w:pPr>
        <w:spacing w:after="220" w:lineRule="auto"/>
      </w:pPr>
      <w:r>
        <w:rPr>
          <w:rFonts w:eastAsia="Georgia" w:cs="Georgia" w:ascii="Georgia" w:hAnsi="Georgia"/>
        </w:rPr>
        <w:t xml:space="preserve">Dans toute cette partie du problème, on négligera l'influence des cations devant celle des électrons libres. De plus, on considérera que le plasma reste localement neutre.</w:t>
      </w:r>
    </w:p>
    <w:p>
      <w:pPr>
        <w:spacing w:after="220" w:lineRule="auto"/>
      </w:pPr>
      <w:r>
        <w:rPr>
          <w:rFonts w:eastAsia="Georgia" w:cs="Georgia" w:ascii="Georgia" w:hAnsi="Georgia"/>
        </w:rPr>
        <w:t xml:space="preserve">On considère une onde électromagnétique plane, progressive, harmonique, se propageant dans le plasma selon un axe </w:t>
      </w:r>
      <m:oMath>
        <m:r>
          <m:rPr>
            <m:sty m:val="i"/>
          </m:rPr>
          <m:t>O</m:t>
        </m:r>
        <m:r>
          <m:rPr>
            <m:sty m:val="i"/>
          </m:rPr>
          <m:t>x</m:t>
        </m:r>
      </m:oMath>
      <w:r>
        <w:rPr>
          <w:rFonts w:eastAsia="Georgia" w:cs="Georgia" w:ascii="Georgia" w:hAnsi="Georgia"/>
        </w:rPr>
        <w:t xml:space="preserve">. Les champs électrique et magnétique de l'onde, en notation complexe, sont donnés respectivement par:</w:t>
      </w:r>
    </w:p>
    <w:p>
      <w:pPr>
        <w:spacing w:after="220" w:lineRule="auto"/>
      </w:pPr>
      <m:oMathPara>
        <m:oMath>
          <m:bar>
            <m:barPr/>
            <m:e>
              <m:acc>
                <m:accPr>
                  <m:chr m:val="⃗"/>
                </m:accPr>
                <m:e>
                  <m:r>
                    <m:rPr>
                      <m:sty m:val="i"/>
                    </m:rPr>
                    <m:t>E</m:t>
                  </m:r>
                </m:e>
              </m:acc>
            </m:e>
          </m:bar>
          <m:r>
            <m:rPr>
              <m:sty m:val="p"/>
            </m:rPr>
            <m:t>(</m:t>
          </m:r>
          <m:r>
            <m:rPr>
              <m:sty m:val="i"/>
            </m:rPr>
            <m:t>x</m:t>
          </m:r>
          <m:r>
            <m:rPr>
              <m:sty m:val="p"/>
            </m:rPr>
            <m:t>,</m:t>
          </m:r>
          <m:r>
            <m:rPr>
              <m:sty m:val="i"/>
            </m:rPr>
            <m:t>t</m:t>
          </m:r>
          <m:r>
            <m:rPr>
              <m:sty m:val="p"/>
            </m:rPr>
            <m:t>)</m:t>
          </m:r>
          <m:r>
            <m:rPr>
              <m:sty m:val="p"/>
            </m:rPr>
            <m:t>=</m:t>
          </m:r>
          <m:sSub>
            <m:sSubPr/>
            <m:e>
              <m:bar>
                <m:barPr/>
                <m:e>
                  <m:acc>
                    <m:accPr>
                      <m:chr m:val="⃗"/>
                    </m:accPr>
                    <m:e>
                      <m:r>
                        <m:rPr>
                          <m:sty m:val="i"/>
                        </m:rPr>
                        <m:t>E</m:t>
                      </m:r>
                    </m:e>
                  </m:acc>
                </m:e>
              </m:bar>
            </m:e>
            <m:sub>
              <m:r>
                <m:rPr>
                  <m:sty m:val="p"/>
                </m:rPr>
                <m:t>0</m:t>
              </m:r>
            </m:sub>
          </m:sSub>
          <m:r>
            <m:rPr>
              <m:sty m:val="p"/>
            </m:rPr>
            <m:t>exp</m:t>
          </m:r>
          <m:r>
            <m:rPr>
              <m:sty m:val="p"/>
            </m:rPr>
            <m:t>⁡</m:t>
          </m:r>
          <m:r>
            <m:rPr>
              <m:sty m:val="p"/>
            </m:rPr>
            <m:t>[</m:t>
          </m:r>
          <m:r>
            <m:rPr>
              <m:sty m:val="i"/>
            </m:rPr>
            <m:t>i</m:t>
          </m:r>
          <m:r>
            <m:rPr>
              <m:sty m:val="p"/>
            </m:rPr>
            <m:t>(</m:t>
          </m:r>
          <m:r>
            <m:rPr>
              <m:sty m:val="i"/>
            </m:rPr>
            <m:t>ω</m:t>
          </m:r>
          <m:r>
            <m:rPr>
              <m:sty m:val="i"/>
            </m:rPr>
            <m:t>t</m:t>
          </m:r>
          <m:r>
            <m:rPr>
              <m:sty m:val="p"/>
            </m:rPr>
            <m:t>−</m:t>
          </m:r>
          <m:r>
            <m:rPr>
              <m:sty m:val="i"/>
            </m:rPr>
            <m:t>k</m:t>
          </m:r>
          <m:r>
            <m:rPr>
              <m:sty m:val="i"/>
            </m:rPr>
            <m:t>x</m:t>
          </m:r>
          <m:r>
            <m:rPr>
              <m:sty m:val="p"/>
            </m:rPr>
            <m:t>)</m:t>
          </m:r>
          <m:r>
            <m:rPr>
              <m:sty m:val="p"/>
            </m:rPr>
            <m:t>]</m:t>
          </m:r>
          <m:r>
            <m:rPr>
              <m:sty m:val="p"/>
            </m:rPr>
            <m:t>,</m:t>
          </m:r>
          <m:bar>
            <m:barPr/>
            <m:e>
              <m:acc>
                <m:accPr>
                  <m:chr m:val="⃗"/>
                </m:accPr>
                <m:e>
                  <m:r>
                    <m:rPr>
                      <m:sty m:val="i"/>
                    </m:rPr>
                    <m:t>B</m:t>
                  </m:r>
                </m:e>
              </m:acc>
            </m:e>
          </m:bar>
          <m:r>
            <m:rPr>
              <m:sty m:val="p"/>
            </m:rPr>
            <m:t>=</m:t>
          </m:r>
          <m:sSub>
            <m:sSubPr/>
            <m:e>
              <m:bar>
                <m:barPr/>
                <m:e>
                  <m:acc>
                    <m:accPr>
                      <m:chr m:val="⃗"/>
                    </m:accPr>
                    <m:e>
                      <m:r>
                        <m:rPr>
                          <m:sty m:val="i"/>
                        </m:rPr>
                        <m:t>B</m:t>
                      </m:r>
                    </m:e>
                  </m:acc>
                </m:e>
              </m:bar>
            </m:e>
            <m:sub>
              <m:r>
                <m:rPr>
                  <m:sty m:val="p"/>
                </m:rPr>
                <m:t>0</m:t>
              </m:r>
            </m:sub>
          </m:sSub>
          <m:r>
            <m:rPr>
              <m:sty m:val="p"/>
            </m:rPr>
            <m:t>exp</m:t>
          </m:r>
          <m:r>
            <m:rPr>
              <m:sty m:val="p"/>
            </m:rPr>
            <m:t>⁡</m:t>
          </m:r>
          <m:r>
            <m:rPr>
              <m:sty m:val="p"/>
            </m:rPr>
            <m:t>[</m:t>
          </m:r>
          <m:r>
            <m:rPr>
              <m:sty m:val="i"/>
            </m:rPr>
            <m:t>i</m:t>
          </m:r>
          <m:r>
            <m:rPr>
              <m:sty m:val="p"/>
            </m:rPr>
            <m:t>(</m:t>
          </m:r>
          <m:r>
            <m:rPr>
              <m:sty m:val="i"/>
            </m:rPr>
            <m:t>ω</m:t>
          </m:r>
          <m:r>
            <m:rPr>
              <m:sty m:val="i"/>
            </m:rPr>
            <m:t>t</m:t>
          </m:r>
          <m:r>
            <m:rPr>
              <m:sty m:val="p"/>
            </m:rPr>
            <m:t>−</m:t>
          </m:r>
          <m:r>
            <m:rPr>
              <m:sty m:val="i"/>
            </m:rPr>
            <m:t>k</m:t>
          </m:r>
          <m:r>
            <m:rPr>
              <m:sty m:val="i"/>
            </m:rPr>
            <m:t>x</m:t>
          </m:r>
          <m:r>
            <m:rPr>
              <m:sty m:val="p"/>
            </m:rPr>
            <m:t>)</m:t>
          </m:r>
          <m:r>
            <m:rPr>
              <m:sty m:val="p"/>
            </m:rPr>
            <m:t>]</m:t>
          </m:r>
          <m:r>
            <m:rPr>
              <m:sty m:val="p"/>
            </m:rPr>
            <m:t>.</m:t>
          </m:r>
        </m:oMath>
      </m:oMathPara>
    </w:p>
    <w:p>
      <w:pPr>
        <w:spacing w:after="220" w:lineRule="auto"/>
      </w:pPr>
      <m:oMath>
        <m:r>
          <m:rPr>
            <m:sty m:val="i"/>
          </m:rPr>
          <m:t>i</m:t>
        </m:r>
      </m:oMath>
      <w:r>
        <w:rPr>
          <w:rFonts w:eastAsia="Georgia" w:cs="Georgia" w:ascii="Georgia" w:hAnsi="Georgia"/>
        </w:rPr>
        <w:t xml:space="preserve"> représente l'imaginaire: </w:t>
      </w:r>
      <m:oMath>
        <m:sSup>
          <m:sSupPr/>
          <m:e>
            <m:r>
              <m:rPr>
                <m:sty m:val="i"/>
              </m:rPr>
              <m:t>i</m:t>
            </m:r>
          </m:e>
          <m:sup>
            <m:r>
              <m:rPr>
                <m:sty m:val="p"/>
              </m:rPr>
              <m:t>2</m:t>
            </m:r>
          </m:sup>
        </m:sSup>
        <m:r>
          <m:rPr>
            <m:sty m:val="p"/>
          </m:rPr>
          <m:t>=</m:t>
        </m:r>
        <m:r>
          <m:rPr>
            <m:sty m:val="p"/>
          </m:rPr>
          <m:t>−</m:t>
        </m:r>
        <m:r>
          <m:rPr>
            <m:sty m:val="p"/>
          </m:rPr>
          <m:t>1</m:t>
        </m:r>
      </m:oMath>
      <w:r>
        <w:rPr/>
        <w:t xml:space="preserve">.</w:t>
      </w:r>
    </w:p>
    <w:p>
      <w:pPr>
        <w:spacing w:after="220" w:lineRule="auto"/>
      </w:pPr>
      <w:r>
        <w:rPr>
          <w:rFonts w:eastAsia="Georgia" w:cs="Georgia" w:ascii="Georgia" w:hAnsi="Georgia"/>
        </w:rPr>
        <w:t xml:space="preserve">Q20 - Justifier quantitativement que le poids de l'électron est négligeable devant la force exercée par le champ électrique, en considérant par exemple un champ électrique </w:t>
      </w:r>
      <m:oMath>
        <m:r>
          <m:rPr>
            <m:sty m:val="p"/>
          </m:rPr>
          <m:t>‖</m:t>
        </m:r>
        <m:acc>
          <m:accPr>
            <m:chr m:val="⃗"/>
          </m:accPr>
          <m:e>
            <m:r>
              <m:rPr>
                <m:sty m:val="i"/>
              </m:rPr>
              <m:t>E</m:t>
            </m:r>
          </m:e>
        </m:acc>
        <m:r>
          <m:rPr>
            <m:sty m:val="p"/>
          </m:rPr>
          <m:t>‖</m:t>
        </m:r>
        <m:r>
          <m:rPr>
            <m:sty m:val="p"/>
          </m:rPr>
          <m:t>=</m:t>
        </m:r>
        <m:r>
          <m:rPr>
            <m:sty m:val="p"/>
          </m:rPr>
          <m:t>1</m:t>
        </m:r>
        <m:r>
          <m:rPr>
            <m:nor/>
          </m:rPr>
          <m:t xml:space="preserve"> </m:t>
        </m:r>
        <m:r>
          <m:rPr>
            <m:sty m:val="p"/>
          </m:rPr>
          <m:t>V</m:t>
        </m:r>
        <m:r>
          <m:rPr>
            <m:sty m:val="p"/>
          </m:rPr>
          <m:t>⋅</m:t>
        </m:r>
        <m:sSup>
          <m:sSupPr/>
          <m:e>
            <m:r>
              <m:rPr>
                <m:nor/>
              </m:rPr>
              <m:t xml:space="preserve"> </m:t>
            </m:r>
            <m:r>
              <m:rPr>
                <m:sty m:val="p"/>
              </m:rPr>
              <m:t>m</m:t>
            </m:r>
          </m:e>
          <m:sup>
            <m:r>
              <m:rPr>
                <m:sty m:val="p"/>
              </m:rPr>
              <m:t>−</m:t>
            </m:r>
            <m:r>
              <m:rPr>
                <m:sty m:val="p"/>
              </m:rPr>
              <m:t>1</m:t>
            </m:r>
          </m:sup>
        </m:sSup>
      </m:oMath>
      <w:r>
        <w:rPr>
          <w:rFonts w:eastAsia="Georgia" w:cs="Georgia" w:ascii="Georgia" w:hAnsi="Georgia"/>
        </w:rPr>
        <w:t xml:space="preserve">. Écrire l'expression de la force de Lorentz sur un électron de vitesse </w:t>
      </w:r>
      <m:oMath>
        <m:sSub>
          <m:sSubPr/>
          <m:e>
            <m:acc>
              <m:accPr>
                <m:chr m:val="⃗"/>
              </m:accPr>
              <m:e>
                <m:r>
                  <m:rPr>
                    <m:sty m:val="i"/>
                  </m:rPr>
                  <m:t>v</m:t>
                </m:r>
              </m:e>
            </m:acc>
          </m:e>
          <m:sub>
            <m:r>
              <m:rPr>
                <m:sty m:val="i"/>
              </m:rPr>
              <m:t>e</m:t>
            </m:r>
          </m:sub>
        </m:sSub>
      </m:oMath>
      <w:r>
        <w:rPr>
          <w:rFonts w:eastAsia="Georgia" w:cs="Georgia" w:ascii="Georgia" w:hAnsi="Georgia"/>
        </w:rPr>
        <w:t xml:space="preserve">. Montrer que, pour un électron non relativiste, on peut négliger le terme dû au champ magnétique de l'onde devant le terme dû au champ électrique. On admet que </w:t>
      </w:r>
      <m:oMath>
        <m:r>
          <m:rPr>
            <m:sty m:val="p"/>
          </m:rPr>
          <m:t>‖</m:t>
        </m:r>
        <m:acc>
          <m:accPr>
            <m:chr m:val="⃗"/>
          </m:accPr>
          <m:e>
            <m:r>
              <m:rPr>
                <m:sty m:val="i"/>
              </m:rPr>
              <m:t>B</m:t>
            </m:r>
          </m:e>
        </m:acc>
        <m:r>
          <m:rPr>
            <m:sty m:val="p"/>
          </m:rPr>
          <m:t>‖</m:t>
        </m:r>
      </m:oMath>
      <w:r>
        <w:rPr>
          <w:rFonts w:eastAsia="Georgia" w:cs="Georgia" w:ascii="Georgia" w:hAnsi="Georgia"/>
        </w:rPr>
        <w:t xml:space="preserve"> est du même ordre de grandeur que pour une onde plane progressive dans le vide.</w:t>
      </w:r>
    </w:p>
    <w:p>
      <w:pPr>
        <w:spacing w:after="220" w:lineRule="auto"/>
      </w:pPr>
      <w:r>
        <w:rPr>
          <w:rFonts w:eastAsia="Georgia" w:cs="Georgia" w:ascii="Georgia" w:hAnsi="Georgia"/>
        </w:rPr>
        <w:t xml:space="preserve">Q21 - Écrire l'équation du mouvement d'un électron libre de vitesse (complexe) </w:t>
      </w:r>
      <m:oMath>
        <m:sSub>
          <m:sSubPr/>
          <m:e>
            <m:bar>
              <m:barPr/>
              <m:e>
                <m:acc>
                  <m:accPr>
                    <m:chr m:val="⃗"/>
                  </m:accPr>
                  <m:e>
                    <m:r>
                      <m:rPr>
                        <m:sty m:val="i"/>
                      </m:rPr>
                      <m:t>v</m:t>
                    </m:r>
                  </m:e>
                </m:acc>
              </m:e>
            </m:bar>
          </m:e>
          <m:sub>
            <m:r>
              <m:rPr>
                <m:sty m:val="i"/>
              </m:rPr>
              <m:t>e</m:t>
            </m:r>
          </m:sub>
        </m:sSub>
      </m:oMath>
      <w:r>
        <w:rPr>
          <w:rFonts w:eastAsia="Georgia" w:cs="Georgia" w:ascii="Georgia" w:hAnsi="Georgia"/>
        </w:rPr>
        <w:t xml:space="preserve"> soumis à la seule influence du champ électrique </w:t>
      </w:r>
      <m:oMath>
        <m:bar>
          <m:barPr/>
          <m:e>
            <m:acc>
              <m:accPr>
                <m:chr m:val="⃗"/>
              </m:accPr>
              <m:e>
                <m:r>
                  <m:rPr>
                    <m:sty m:val="i"/>
                  </m:rPr>
                  <m:t>E</m:t>
                </m:r>
              </m:e>
            </m:acc>
          </m:e>
        </m:bar>
        <m:r>
          <m:rPr>
            <m:sty m:val="p"/>
          </m:rPr>
          <m:t>(</m:t>
        </m:r>
        <m:r>
          <m:rPr>
            <m:sty m:val="i"/>
          </m:rPr>
          <m:t>x</m:t>
        </m:r>
        <m:r>
          <m:rPr>
            <m:sty m:val="p"/>
          </m:rPr>
          <m:t>,</m:t>
        </m:r>
        <m:r>
          <m:rPr>
            <m:sty m:val="i"/>
          </m:rPr>
          <m:t>t</m:t>
        </m:r>
        <m:r>
          <m:rPr>
            <m:sty m:val="p"/>
          </m:rPr>
          <m:t>)</m:t>
        </m:r>
      </m:oMath>
      <w:r>
        <w:rPr>
          <w:rFonts w:eastAsia="Georgia" w:cs="Georgia" w:ascii="Georgia" w:hAnsi="Georgia"/>
        </w:rPr>
        <w:t xml:space="preserve"> de l'onde. En déduire que le plasma possède une conductivité complexe </w:t>
      </w:r>
      <m:oMath>
        <m:bar>
          <m:barPr/>
          <m:e>
            <m:r>
              <m:rPr>
                <m:sty m:val="i"/>
              </m:rPr>
              <m:t>γ</m:t>
            </m:r>
          </m:e>
        </m:bar>
        <m:r>
          <m:rPr>
            <m:sty m:val="p"/>
          </m:rPr>
          <m:t>=</m:t>
        </m:r>
        <m:f>
          <m:fPr>
            <m:ctrlPr>
              <w:rPr>
                <w:rFonts w:ascii="Cambria Math" w:hAnsi="Cambria Math"/>
              </w:rPr>
            </m:ctrlPr>
          </m:fPr>
          <m:num>
            <m:sSub>
              <m:sSubPr/>
              <m:e>
                <m:r>
                  <m:rPr>
                    <m:sty m:val="i"/>
                  </m:rPr>
                  <m:t>n</m:t>
                </m:r>
              </m:e>
              <m:sub>
                <m:r>
                  <m:rPr>
                    <m:sty m:val="i"/>
                  </m:rPr>
                  <m:t>e</m:t>
                </m:r>
              </m:sub>
            </m:sSub>
            <m:sSup>
              <m:sSupPr/>
              <m:e>
                <m:r>
                  <m:rPr>
                    <m:sty m:val="i"/>
                  </m:rPr>
                  <m:t>e</m:t>
                </m:r>
              </m:e>
              <m:sup>
                <m:r>
                  <m:rPr>
                    <m:sty m:val="p"/>
                  </m:rPr>
                  <m:t>2</m:t>
                </m:r>
              </m:sup>
            </m:sSup>
          </m:num>
          <m:den>
            <m:r>
              <m:rPr>
                <m:sty m:val="i"/>
              </m:rPr>
              <m:t>i</m:t>
            </m:r>
            <m:sSub>
              <m:sSubPr/>
              <m:e>
                <m:r>
                  <m:rPr>
                    <m:sty m:val="i"/>
                  </m:rPr>
                  <m:t>m</m:t>
                </m:r>
              </m:e>
              <m:sub>
                <m:r>
                  <m:rPr>
                    <m:sty m:val="i"/>
                  </m:rPr>
                  <m:t>e</m:t>
                </m:r>
              </m:sub>
            </m:sSub>
            <m:r>
              <m:rPr>
                <m:sty m:val="i"/>
              </m:rPr>
              <m:t>ω</m:t>
            </m:r>
          </m:den>
        </m:f>
      </m:oMath>
      <w:r>
        <w:rPr>
          <w:rFonts w:eastAsia="Georgia" w:cs="Georgia" w:ascii="Georgia" w:hAnsi="Georgia"/>
        </w:rPr>
        <w:t xml:space="preserve">. Quelle interprétation énergétique peut-on donner au caractère imaginaire pur de la conductivité (on ne demande pas de démonstration) ?</w:t>
      </w:r>
    </w:p>
    <w:p>
      <w:pPr>
        <w:spacing w:after="220" w:lineRule="auto"/>
      </w:pPr>
      <w:r>
        <w:rPr>
          <w:rFonts w:eastAsia="Georgia" w:cs="Georgia" w:ascii="Georgia" w:hAnsi="Georgia"/>
        </w:rPr>
        <w:t xml:space="preserve">Q22 - Écrire les équations de Maxwell dans un milieu localement neutre et de conductivité </w:t>
      </w:r>
      <m:oMath>
        <m:bar>
          <m:barPr/>
          <m:e>
            <m:r>
              <m:rPr>
                <m:sty m:val="i"/>
              </m:rPr>
              <m:t>γ</m:t>
            </m:r>
          </m:e>
        </m:bar>
      </m:oMath>
      <w:r>
        <w:rPr>
          <w:rFonts w:eastAsia="Georgia" w:cs="Georgia" w:ascii="Georgia" w:hAnsi="Georgia"/>
        </w:rPr>
        <w:t xml:space="preserve">. En déduire l'équation de propagation pour le champ électrique </w:t>
      </w:r>
      <m:oMath>
        <m:bar>
          <m:barPr/>
          <m:e>
            <m:acc>
              <m:accPr>
                <m:chr m:val="⃗"/>
              </m:accPr>
              <m:e>
                <m:r>
                  <m:rPr>
                    <m:sty m:val="i"/>
                  </m:rPr>
                  <m:t>E</m:t>
                </m:r>
              </m:e>
            </m:acc>
          </m:e>
        </m:bar>
        <m:r>
          <m:rPr>
            <m:sty m:val="p"/>
          </m:rPr>
          <m:t>(</m:t>
        </m:r>
        <m:r>
          <m:rPr>
            <m:sty m:val="i"/>
          </m:rPr>
          <m:t>x</m:t>
        </m:r>
        <m:r>
          <m:rPr>
            <m:sty m:val="p"/>
          </m:rPr>
          <m:t>,</m:t>
        </m:r>
        <m:r>
          <m:rPr>
            <m:sty m:val="i"/>
          </m:rPr>
          <m:t>t</m:t>
        </m:r>
        <m:r>
          <m:rPr>
            <m:sty m:val="p"/>
          </m:rPr>
          <m:t>)</m:t>
        </m:r>
      </m:oMath>
      <w:r>
        <w:rPr>
          <w:rFonts w:eastAsia="Georgia" w:cs="Georgia" w:ascii="Georgia" w:hAnsi="Georgia"/>
        </w:rPr>
        <w:t xml:space="preserve"> puis l'équation de dispersion :</w:t>
      </w:r>
    </w:p>
    <w:p>
      <w:pPr>
        <w:spacing w:after="220" w:lineRule="auto"/>
      </w:pPr>
      <m:oMathPara>
        <m:oMath>
          <m:sSup>
            <m:sSupPr/>
            <m:e>
              <m:r>
                <m:rPr>
                  <m:sty m:val="i"/>
                </m:rPr>
                <m:t>k</m:t>
              </m:r>
            </m:e>
            <m:sup>
              <m:r>
                <m:rPr>
                  <m:sty m:val="p"/>
                </m:rPr>
                <m:t>2</m:t>
              </m:r>
            </m:sup>
          </m:sSup>
          <m:r>
            <m:rPr>
              <m:sty m:val="p"/>
            </m:rPr>
            <m:t>=</m:t>
          </m:r>
          <m:f>
            <m:fPr>
              <m:ctrlPr>
                <w:rPr>
                  <w:rFonts w:ascii="Cambria Math" w:hAnsi="Cambria Math"/>
                </w:rPr>
              </m:ctrlPr>
            </m:fPr>
            <m:num>
              <m:sSup>
                <m:sSupPr/>
                <m:e>
                  <m:r>
                    <m:rPr>
                      <m:sty m:val="i"/>
                    </m:rPr>
                    <m:t>ω</m:t>
                  </m:r>
                </m:e>
                <m:sup>
                  <m:r>
                    <m:rPr>
                      <m:sty m:val="p"/>
                    </m:rPr>
                    <m:t>2</m:t>
                  </m:r>
                </m:sup>
              </m:sSup>
              <m:r>
                <m:rPr>
                  <m:sty m:val="p"/>
                </m:rPr>
                <m:t>−</m:t>
              </m:r>
              <m:sSubSup>
                <m:sSubSupPr/>
                <m:e>
                  <m:r>
                    <m:rPr>
                      <m:sty m:val="i"/>
                    </m:rPr>
                    <m:t>ω</m:t>
                  </m:r>
                </m:e>
                <m:sub>
                  <m:r>
                    <m:rPr>
                      <m:sty m:val="i"/>
                    </m:rPr>
                    <m:t>p</m:t>
                  </m:r>
                </m:sub>
                <m:sup>
                  <m:r>
                    <m:rPr>
                      <m:sty m:val="p"/>
                    </m:rPr>
                    <m:t>2</m:t>
                  </m:r>
                </m:sup>
              </m:sSubSup>
            </m:num>
            <m:den>
              <m:sSup>
                <m:sSupPr/>
                <m:e>
                  <m:r>
                    <m:rPr>
                      <m:sty m:val="i"/>
                    </m:rPr>
                    <m:t>c</m:t>
                  </m:r>
                </m:e>
                <m:sup>
                  <m:r>
                    <m:rPr>
                      <m:sty m:val="p"/>
                    </m:rPr>
                    <m:t>2</m:t>
                  </m:r>
                </m:sup>
              </m:sSup>
            </m:den>
          </m:f>
          <m:r>
            <m:rPr>
              <m:sty m:val="p"/>
            </m:rPr>
            <m:t>,</m:t>
          </m:r>
        </m:oMath>
      </m:oMathPara>
    </w:p>
    <w:p>
      <w:pPr>
        <w:spacing w:after="220" w:lineRule="auto"/>
      </w:pPr>
      <w:r>
        <w:rPr>
          <w:rFonts w:eastAsia="Georgia" w:cs="Georgia" w:ascii="Georgia" w:hAnsi="Georgia"/>
        </w:rPr>
        <w:t xml:space="preserve">où la pulsation plasma </w:t>
      </w:r>
      <m:oMath>
        <m:sSub>
          <m:sSubPr/>
          <m:e>
            <m:r>
              <m:rPr>
                <m:sty m:val="i"/>
              </m:rPr>
              <m:t>ω</m:t>
            </m:r>
          </m:e>
          <m:sub>
            <m:r>
              <m:rPr>
                <m:sty m:val="i"/>
              </m:rPr>
              <m:t>p</m:t>
            </m:r>
          </m:sub>
        </m:sSub>
      </m:oMath>
      <w:r>
        <w:rPr/>
        <w:t xml:space="preserve"> a pour expression </w:t>
      </w:r>
      <m:oMath>
        <m:sSub>
          <m:sSubPr/>
          <m:e>
            <m:r>
              <m:rPr>
                <m:sty m:val="i"/>
              </m:rPr>
              <m:t>ω</m:t>
            </m:r>
          </m:e>
          <m:sub>
            <m:r>
              <m:rPr>
                <m:sty m:val="i"/>
              </m:rPr>
              <m:t>p</m:t>
            </m:r>
          </m:sub>
        </m:sSub>
        <m:r>
          <m:rPr>
            <m:sty m:val="p"/>
          </m:rPr>
          <m:t>=</m:t>
        </m:r>
        <m:rad>
          <m:radPr>
            <m:degHide m:val="1"/>
            <m:ctrlPr>
              <w:rPr>
                <w:rFonts w:ascii="Cambria Math" w:hAnsi="Cambria Math"/>
              </w:rPr>
            </m:ctrlPr>
          </m:radPr>
          <m:deg/>
          <m:e>
            <m:f>
              <m:fPr>
                <m:ctrlPr>
                  <w:rPr>
                    <w:rFonts w:ascii="Cambria Math" w:hAnsi="Cambria Math"/>
                  </w:rPr>
                </m:ctrlPr>
              </m:fPr>
              <m:num>
                <m:sSup>
                  <m:sSupPr/>
                  <m:e>
                    <m:r>
                      <m:rPr>
                        <m:sty m:val="i"/>
                      </m:rPr>
                      <m:t>e</m:t>
                    </m:r>
                  </m:e>
                  <m:sup>
                    <m:r>
                      <m:rPr>
                        <m:sty m:val="p"/>
                      </m:rPr>
                      <m:t>2</m:t>
                    </m:r>
                  </m:sup>
                </m:sSup>
                <m:sSub>
                  <m:sSubPr/>
                  <m:e>
                    <m:r>
                      <m:rPr>
                        <m:sty m:val="i"/>
                      </m:rPr>
                      <m:t>n</m:t>
                    </m:r>
                  </m:e>
                  <m:sub>
                    <m:r>
                      <m:rPr>
                        <m:sty m:val="i"/>
                      </m:rPr>
                      <m:t>e</m:t>
                    </m:r>
                  </m:sub>
                </m:sSub>
              </m:num>
              <m:den>
                <m:sSub>
                  <m:sSubPr/>
                  <m:e>
                    <m:r>
                      <m:rPr>
                        <m:sty m:val="i"/>
                      </m:rPr>
                      <m:t>ε</m:t>
                    </m:r>
                  </m:e>
                  <m:sub>
                    <m:r>
                      <m:rPr>
                        <m:sty m:val="p"/>
                      </m:rPr>
                      <m:t>0</m:t>
                    </m:r>
                  </m:sub>
                </m:sSub>
                <m:sSub>
                  <m:sSubPr/>
                  <m:e>
                    <m:r>
                      <m:rPr>
                        <m:sty m:val="i"/>
                      </m:rPr>
                      <m:t>m</m:t>
                    </m:r>
                  </m:e>
                  <m:sub>
                    <m:r>
                      <m:rPr>
                        <m:sty m:val="i"/>
                      </m:rPr>
                      <m:t>e</m:t>
                    </m:r>
                  </m:sub>
                </m:sSub>
              </m:den>
            </m:f>
          </m:e>
        </m:rad>
      </m:oMath>
      <w:r>
        <w:rPr/>
        <w:t xml:space="preserve">.</w:t>
      </w:r>
    </w:p>
    <w:p>
      <w:pPr>
        <w:spacing w:lineRule="auto"/>
        <w:jc w:val="center"/>
      </w:pPr>
      <w:r>
        <w:rPr/>
        <w:drawing>
          <wp:inline distB="0" distL="0" distR="0" distT="0">
            <wp:extent cx="5486400" cy="4042919"/>
            <wp:effectExtent b="0" l="0" r="0" t="0"/>
            <wp:docPr id="6" name="image-44ce2836e10597b8282d9042d9e78ee18673b863.jpg"/>
            <a:graphic>
              <a:graphicData uri="http://schemas.openxmlformats.org/drawingml/2006/picture">
                <pic:pic>
                  <pic:nvPicPr>
                    <pic:cNvPr id="6" name="image-44ce2836e10597b8282d9042d9e78ee18673b863.jpg" descr=""/>
                    <pic:cNvPicPr/>
                  </pic:nvPicPr>
                  <pic:blipFill>
                    <a:blip r:embed="rId12" cstate="print"/>
                    <a:srcRect b="0" l="0" r="0" t="0"/>
                    <a:stretch>
                      <a:fillRect/>
                    </a:stretch>
                  </pic:blipFill>
                  <pic:spPr>
                    <a:xfrm>
                      <a:off x="0" y="0"/>
                      <a:ext cx="5486400" cy="4042919"/>
                    </a:xfrm>
                    <a:prstGeom prst="rect"/>
                  </pic:spPr>
                </pic:pic>
              </a:graphicData>
            </a:graphic>
          </wp:inline>
        </w:drawing>
      </w:r>
    </w:p>
    <w:p>
      <w:pPr>
        <w:spacing w:lineRule="auto"/>
      </w:pPr>
      <w:r>
        <w:rPr>
          <w:rFonts w:eastAsia="Georgia" w:cs="Georgia" w:ascii="Georgia" w:hAnsi="Georgia"/>
        </w:rPr>
        <w:t xml:space="preserve">Figure 6 - Densité d'électrons libres en fonction de l'altitude.</w:t>
      </w:r>
    </w:p>
    <w:p>
      <w:pPr>
        <w:spacing w:after="220" w:lineRule="auto"/>
      </w:pPr>
      <w:r>
        <w:rPr>
          <w:rFonts w:eastAsia="Georgia" w:cs="Georgia" w:ascii="Georgia" w:hAnsi="Georgia"/>
        </w:rPr>
        <w:t xml:space="preserve">Q23 - La figure 6 présente la densité d'électrons libres </w:t>
      </w:r>
      <m:oMath>
        <m:sSub>
          <m:sSubPr/>
          <m:e>
            <m:r>
              <m:rPr>
                <m:sty m:val="i"/>
              </m:rPr>
              <m:t>n</m:t>
            </m:r>
          </m:e>
          <m:sub>
            <m:r>
              <m:rPr>
                <m:sty m:val="i"/>
              </m:rPr>
              <m:t>e</m:t>
            </m:r>
          </m:sub>
        </m:sSub>
      </m:oMath>
      <w:r>
        <w:rPr/>
        <w:t xml:space="preserve"> en fonction de l'altitude </w:t>
      </w:r>
      <m:oMath>
        <m:r>
          <m:rPr>
            <m:sty m:val="i"/>
          </m:rPr>
          <m:t>z</m:t>
        </m:r>
      </m:oMath>
      <w:r>
        <w:rPr>
          <w:rFonts w:eastAsia="Georgia" w:cs="Georgia" w:ascii="Georgia" w:hAnsi="Georgia"/>
        </w:rPr>
        <w:t xml:space="preserve">. Comment interpréter la croissance de cette densité pour les altitudes </w:t>
      </w:r>
      <m:oMath>
        <m:r>
          <m:rPr>
            <m:sty m:val="i"/>
          </m:rPr>
          <m:t>z</m:t>
        </m:r>
        <m:r>
          <m:rPr>
            <m:sty m:val="p"/>
          </m:rPr>
          <m:t>&lt;</m:t>
        </m:r>
        <m:r>
          <m:rPr>
            <m:sty m:val="p"/>
          </m:rPr>
          <m:t>350</m:t>
        </m:r>
        <m:r>
          <m:rPr>
            <m:nor/>
          </m:rPr>
          <m:t xml:space="preserve"> </m:t>
        </m:r>
        <m:r>
          <m:rPr>
            <m:sty m:val="p"/>
          </m:rPr>
          <m:t>km</m:t>
        </m:r>
      </m:oMath>
      <w:r>
        <w:rPr>
          <w:rFonts w:eastAsia="Georgia" w:cs="Georgia" w:ascii="Georgia" w:hAnsi="Georgia"/>
        </w:rPr>
        <w:t xml:space="preserve"> ? Pourquoi chute-t-elle pour les altitudes plus élevées?</w:t>
      </w:r>
    </w:p>
    <w:p>
      <w:pPr>
        <w:spacing w:after="220" w:lineRule="auto"/>
      </w:pPr>
      <w:r>
        <w:rPr>
          <w:rFonts w:eastAsia="Georgia" w:cs="Georgia" w:ascii="Georgia" w:hAnsi="Georgia"/>
        </w:rPr>
        <w:t xml:space="preserve">Q24 - Évaluer la fréquence plasma </w:t>
      </w:r>
      <m:oMath>
        <m:sSub>
          <m:sSubPr/>
          <m:e>
            <m:r>
              <m:rPr>
                <m:sty m:val="i"/>
              </m:rPr>
              <m:t>f</m:t>
            </m:r>
          </m:e>
          <m:sub>
            <m:r>
              <m:rPr>
                <m:sty m:val="i"/>
              </m:rPr>
              <m:t>p</m:t>
            </m:r>
          </m:sub>
        </m:sSub>
      </m:oMath>
      <w:r>
        <w:rPr>
          <w:rFonts w:eastAsia="Georgia" w:cs="Georgia" w:ascii="Georgia" w:hAnsi="Georgia"/>
        </w:rPr>
        <w:t xml:space="preserve"> déduite de la pulsation plasma </w:t>
      </w:r>
      <m:oMath>
        <m:sSub>
          <m:sSubPr/>
          <m:e>
            <m:r>
              <m:rPr>
                <m:sty m:val="i"/>
              </m:rPr>
              <m:t>ω</m:t>
            </m:r>
          </m:e>
          <m:sub>
            <m:r>
              <m:rPr>
                <m:sty m:val="i"/>
              </m:rPr>
              <m:t>p</m:t>
            </m:r>
          </m:sub>
        </m:sSub>
      </m:oMath>
      <w:r>
        <w:rPr>
          <w:rFonts w:eastAsia="Georgia" w:cs="Georgia" w:ascii="Georgia" w:hAnsi="Georgia"/>
        </w:rPr>
        <w:t xml:space="preserve"> pour la densité maximale d'électrons libres. Quelle est la bande de fréquence utilisable pour les communications entre un satellite dont l'altitude est supérieure à 1000 km et la Terre?</w:t>
      </w:r>
      <w:r>
        <w:rPr/>
        <w:br w:type="textWrapping"/>
      </w:r>
      <w:r>
        <w:rPr>
          <w:rFonts w:eastAsia="Georgia" w:cs="Georgia" w:ascii="Georgia" w:hAnsi="Georgia"/>
        </w:rPr>
        <w:t xml:space="preserve">On considère dans toute la suite que l'on se situe dans cette bande de fréquence.</w:t>
      </w:r>
      <w:r>
        <w:rPr/>
        <w:br w:type="textWrapping"/>
      </w:r>
      <w:r>
        <w:rPr/>
        <w:t xml:space="preserve">Q25 - Exprimer la vitesse de phase </w:t>
      </w:r>
      <m:oMath>
        <m:sSub>
          <m:sSubPr/>
          <m:e>
            <m:r>
              <m:rPr>
                <m:sty m:val="i"/>
              </m:rPr>
              <m:t>v</m:t>
            </m:r>
          </m:e>
          <m:sub>
            <m:r>
              <m:rPr>
                <m:sty m:val="i"/>
              </m:rPr>
              <m:t>φ</m:t>
            </m:r>
          </m:sub>
        </m:sSub>
      </m:oMath>
      <w:r>
        <w:rPr>
          <w:rFonts w:eastAsia="Georgia" w:cs="Georgia" w:ascii="Georgia" w:hAnsi="Georgia"/>
        </w:rPr>
        <w:t xml:space="preserve"> des ondes électromagnétiques dans le plasma en fonction de </w:t>
      </w:r>
      <m:oMath>
        <m:r>
          <m:rPr>
            <m:sty m:val="i"/>
          </m:rPr>
          <m:t>f</m:t>
        </m:r>
        <m:r>
          <m:rPr>
            <m:sty m:val="p"/>
          </m:rPr>
          <m:t>,</m:t>
        </m:r>
        <m:r>
          <m:rPr>
            <m:sty m:val="i"/>
          </m:rPr>
          <m:t>c</m:t>
        </m:r>
      </m:oMath>
      <w:r>
        <w:rPr/>
        <w:t xml:space="preserve"> et </w:t>
      </w:r>
      <m:oMath>
        <m:sSub>
          <m:sSubPr/>
          <m:e>
            <m:r>
              <m:rPr>
                <m:sty m:val="i"/>
              </m:rPr>
              <m:t>f</m:t>
            </m:r>
          </m:e>
          <m:sub>
            <m:r>
              <m:rPr>
                <m:sty m:val="i"/>
              </m:rPr>
              <m:t>p</m:t>
            </m:r>
          </m:sub>
        </m:sSub>
      </m:oMath>
      <w:r>
        <w:rPr>
          <w:rFonts w:eastAsia="Georgia" w:cs="Georgia" w:ascii="Georgia" w:hAnsi="Georgia"/>
        </w:rPr>
        <w:t xml:space="preserve">. En déduire l'expression de l'indice optique </w:t>
      </w:r>
      <m:oMath>
        <m:r>
          <m:rPr>
            <m:sty m:val="i"/>
          </m:rPr>
          <m:t>n</m:t>
        </m:r>
        <m:r>
          <m:rPr>
            <m:sty m:val="p"/>
          </m:rPr>
          <m:t>=</m:t>
        </m:r>
        <m:f>
          <m:fPr>
            <m:ctrlPr>
              <w:rPr>
                <w:rFonts w:ascii="Cambria Math" w:hAnsi="Cambria Math"/>
              </w:rPr>
            </m:ctrlPr>
          </m:fPr>
          <m:num>
            <m:r>
              <m:rPr>
                <m:sty m:val="i"/>
              </m:rPr>
              <m:t>c</m:t>
            </m:r>
          </m:num>
          <m:den>
            <m:sSub>
              <m:sSubPr/>
              <m:e>
                <m:r>
                  <m:rPr>
                    <m:sty m:val="i"/>
                  </m:rPr>
                  <m:t>ν</m:t>
                </m:r>
              </m:e>
              <m:sub>
                <m:r>
                  <m:rPr>
                    <m:sty m:val="i"/>
                  </m:rPr>
                  <m:t>φ</m:t>
                </m:r>
              </m:sub>
            </m:sSub>
          </m:den>
        </m:f>
      </m:oMath>
      <w:r>
        <w:rPr/>
        <w:t xml:space="preserve"> en fonction de </w:t>
      </w:r>
      <m:oMath>
        <m:r>
          <m:rPr>
            <m:sty m:val="i"/>
          </m:rPr>
          <m:t>f</m:t>
        </m:r>
      </m:oMath>
      <w:r>
        <w:rPr/>
        <w:t xml:space="preserve"> et de </w:t>
      </w:r>
      <m:oMath>
        <m:sSub>
          <m:sSubPr/>
          <m:e>
            <m:r>
              <m:rPr>
                <m:sty m:val="i"/>
              </m:rPr>
              <m:t>f</m:t>
            </m:r>
          </m:e>
          <m:sub>
            <m:r>
              <m:rPr>
                <m:sty m:val="i"/>
              </m:rPr>
              <m:t>p</m:t>
            </m:r>
          </m:sub>
        </m:sSub>
      </m:oMath>
      <w:r>
        <w:rPr>
          <w:rFonts w:eastAsia="Georgia" w:cs="Georgia" w:ascii="Georgia" w:hAnsi="Georgia"/>
        </w:rPr>
        <w:t xml:space="preserve">. Quelle est la particularité de cet indice?</w:t>
      </w:r>
    </w:p>
    <w:p>
      <w:pPr>
        <w:spacing w:after="220" w:lineRule="auto"/>
      </w:pPr>
      <w:r>
        <w:rPr>
          <w:rFonts w:eastAsia="Georgia" w:cs="Georgia" w:ascii="Georgia" w:hAnsi="Georgia"/>
        </w:rPr>
        <w:t xml:space="preserve">La fréquence de l'onde électromagnétique est </w:t>
      </w:r>
      <m:oMath>
        <m:sSub>
          <m:sSubPr/>
          <m:e>
            <m:r>
              <m:rPr>
                <m:sty m:val="i"/>
              </m:rPr>
              <m:t>f</m:t>
            </m:r>
          </m:e>
          <m:sub>
            <m:r>
              <m:rPr>
                <m:sty m:val="p"/>
              </m:rPr>
              <m:t>1</m:t>
            </m:r>
          </m:sub>
        </m:sSub>
        <m:r>
          <m:rPr>
            <m:sty m:val="p"/>
          </m:rPr>
          <m:t>=</m:t>
        </m:r>
        <m:r>
          <m:rPr>
            <m:sty m:val="p"/>
          </m:rPr>
          <m:t>1575</m:t>
        </m:r>
        <m:r>
          <m:rPr>
            <m:sty m:val="p"/>
          </m:rPr>
          <m:t>MHz</m:t>
        </m:r>
      </m:oMath>
      <w:r>
        <w:rPr/>
        <w:t xml:space="preserve">.</w:t>
      </w:r>
    </w:p>
    <w:p>
      <w:pPr>
        <w:spacing w:after="220" w:lineRule="auto"/>
      </w:pPr>
      <w:r>
        <w:rPr>
          <w:rFonts w:eastAsia="Georgia" w:cs="Georgia" w:ascii="Georgia" w:hAnsi="Georgia"/>
        </w:rPr>
        <w:t xml:space="preserve">Q26 - Montrer que l'indice optique local peut s'écrire :</w:t>
      </w:r>
    </w:p>
    <w:p>
      <w:pPr>
        <w:spacing w:after="220" w:lineRule="auto"/>
      </w:pPr>
      <m:oMathPara>
        <m:oMath>
          <m:r>
            <m:rPr>
              <m:sty m:val="i"/>
            </m:rPr>
            <m:t>n</m:t>
          </m:r>
          <m:r>
            <m:rPr>
              <m:sty m:val="p"/>
            </m:rPr>
            <m:t>≈</m:t>
          </m:r>
          <m:r>
            <m:rPr>
              <m:sty m:val="p"/>
            </m:rPr>
            <m:t>1</m:t>
          </m:r>
          <m:r>
            <m:rPr>
              <m:sty m:val="p"/>
            </m:rPr>
            <m:t>−</m:t>
          </m:r>
          <m:r>
            <m:rPr>
              <m:sty m:val="i"/>
            </m:rPr>
            <m:t>a</m:t>
          </m:r>
          <m:f>
            <m:fPr>
              <m:ctrlPr>
                <w:rPr>
                  <w:rFonts w:ascii="Cambria Math" w:hAnsi="Cambria Math"/>
                </w:rPr>
              </m:ctrlPr>
            </m:fPr>
            <m:num>
              <m:sSub>
                <m:sSubPr/>
                <m:e>
                  <m:r>
                    <m:rPr>
                      <m:sty m:val="i"/>
                    </m:rPr>
                    <m:t>n</m:t>
                  </m:r>
                </m:e>
                <m:sub>
                  <m:r>
                    <m:rPr>
                      <m:sty m:val="i"/>
                    </m:rPr>
                    <m:t>e</m:t>
                  </m:r>
                </m:sub>
              </m:sSub>
            </m:num>
            <m:den>
              <m:sSubSup>
                <m:sSubSupPr/>
                <m:e>
                  <m:r>
                    <m:rPr>
                      <m:sty m:val="i"/>
                    </m:rPr>
                    <m:t>f</m:t>
                  </m:r>
                </m:e>
                <m:sub>
                  <m:r>
                    <m:rPr>
                      <m:sty m:val="p"/>
                    </m:rPr>
                    <m:t>1</m:t>
                  </m:r>
                </m:sub>
                <m:sup>
                  <m:r>
                    <m:rPr>
                      <m:sty m:val="p"/>
                    </m:rPr>
                    <m:t>2</m:t>
                  </m:r>
                </m:sup>
              </m:sSubSup>
            </m:den>
          </m:f>
          <m:r>
            <m:rPr>
              <m:sty m:val="p"/>
            </m:rPr>
            <m:t>,</m:t>
          </m:r>
        </m:oMath>
      </m:oMathPara>
    </w:p>
    <w:p>
      <w:pPr>
        <w:spacing w:after="220" w:lineRule="auto"/>
      </w:pPr>
      <w:r>
        <w:rPr>
          <w:rFonts w:eastAsia="Georgia" w:cs="Georgia" w:ascii="Georgia" w:hAnsi="Georgia"/>
        </w:rPr>
        <w:t xml:space="preserve">où </w:t>
      </w:r>
      <m:oMath>
        <m:r>
          <m:rPr>
            <m:sty m:val="i"/>
          </m:rPr>
          <m:t>a</m:t>
        </m:r>
        <m:r>
          <m:rPr>
            <m:sty m:val="p"/>
          </m:rPr>
          <m:t>=</m:t>
        </m:r>
        <m:f>
          <m:fPr>
            <m:ctrlPr>
              <w:rPr>
                <w:rFonts w:ascii="Cambria Math" w:hAnsi="Cambria Math"/>
              </w:rPr>
            </m:ctrlPr>
          </m:fPr>
          <m:num>
            <m:sSup>
              <m:sSupPr/>
              <m:e>
                <m:r>
                  <m:rPr>
                    <m:sty m:val="i"/>
                  </m:rPr>
                  <m:t>e</m:t>
                </m:r>
              </m:e>
              <m:sup>
                <m:r>
                  <m:rPr>
                    <m:sty m:val="p"/>
                  </m:rPr>
                  <m:t>2</m:t>
                </m:r>
              </m:sup>
            </m:sSup>
          </m:num>
          <m:den>
            <m:r>
              <m:rPr>
                <m:sty m:val="p"/>
              </m:rPr>
              <m:t>8</m:t>
            </m:r>
            <m:sSup>
              <m:sSupPr/>
              <m:e>
                <m:r>
                  <m:rPr>
                    <m:sty m:val="i"/>
                  </m:rPr>
                  <m:t>π</m:t>
                </m:r>
              </m:e>
              <m:sup>
                <m:r>
                  <m:rPr>
                    <m:sty m:val="p"/>
                  </m:rPr>
                  <m:t>2</m:t>
                </m:r>
              </m:sup>
            </m:sSup>
            <m:sSub>
              <m:sSubPr/>
              <m:e>
                <m:r>
                  <m:rPr>
                    <m:sty m:val="i"/>
                  </m:rPr>
                  <m:t>m</m:t>
                </m:r>
              </m:e>
              <m:sub>
                <m:r>
                  <m:rPr>
                    <m:sty m:val="i"/>
                  </m:rPr>
                  <m:t>e</m:t>
                </m:r>
              </m:sub>
            </m:sSub>
            <m:sSub>
              <m:sSubPr/>
              <m:e>
                <m:r>
                  <m:rPr>
                    <m:sty m:val="i"/>
                  </m:rPr>
                  <m:t>ε</m:t>
                </m:r>
              </m:e>
              <m:sub>
                <m:r>
                  <m:rPr>
                    <m:sty m:val="p"/>
                  </m:rPr>
                  <m:t>0</m:t>
                </m:r>
              </m:sub>
            </m:sSub>
          </m:den>
        </m:f>
      </m:oMath>
      <w:r>
        <w:rPr>
          <w:rFonts w:eastAsia="Georgia" w:cs="Georgia" w:ascii="Georgia" w:hAnsi="Georgia"/>
        </w:rPr>
        <w:t xml:space="preserve">. Tracer sur la figure du cahier réponses la fonction </w:t>
      </w:r>
      <m:oMath>
        <m:r>
          <m:rPr>
            <m:sty m:val="p"/>
          </m:rPr>
          <m:t>(</m:t>
        </m:r>
        <m:r>
          <m:rPr>
            <m:sty m:val="i"/>
          </m:rPr>
          <m:t>n</m:t>
        </m:r>
        <m:r>
          <m:rPr>
            <m:sty m:val="p"/>
          </m:rPr>
          <m:t>(</m:t>
        </m:r>
        <m:r>
          <m:rPr>
            <m:sty m:val="i"/>
          </m:rPr>
          <m:t>z</m:t>
        </m:r>
        <m:r>
          <m:rPr>
            <m:sty m:val="p"/>
          </m:rPr>
          <m:t>)</m:t>
        </m:r>
        <m:r>
          <m:rPr>
            <m:sty m:val="p"/>
          </m:rPr>
          <m:t>−</m:t>
        </m:r>
        <m:r>
          <m:rPr>
            <m:sty m:val="p"/>
          </m:rPr>
          <m:t>1</m:t>
        </m:r>
        <m:r>
          <m:rPr>
            <m:sty m:val="p"/>
          </m:rPr>
          <m:t>)</m:t>
        </m:r>
        <m:r>
          <m:rPr>
            <m:sty m:val="p"/>
          </m:rPr>
          <m:t>×</m:t>
        </m:r>
        <m:sSup>
          <m:sSupPr/>
          <m:e>
            <m:r>
              <m:rPr>
                <m:sty m:val="p"/>
              </m:rPr>
              <m:t>10</m:t>
            </m:r>
          </m:e>
          <m:sup>
            <m:r>
              <m:rPr>
                <m:sty m:val="p"/>
              </m:rPr>
              <m:t>5</m:t>
            </m:r>
          </m:sup>
        </m:sSup>
      </m:oMath>
      <w:r>
        <w:rPr>
          <w:rFonts w:eastAsia="Georgia" w:cs="Georgia" w:ascii="Georgia" w:hAnsi="Georgia"/>
        </w:rPr>
        <w:t xml:space="preserve"> après avoir évalué ses extrema.</w:t>
      </w:r>
    </w:p>
    <w:p>
      <w:pPr>
        <w:spacing w:after="220" w:lineRule="auto"/>
      </w:pPr>
      <w:r>
        <w:rPr>
          <w:rFonts w:eastAsia="Georgia" w:cs="Georgia" w:ascii="Georgia" w:hAnsi="Georgia"/>
        </w:rPr>
        <w:t xml:space="preserve">On suppose que l'ionosphère s'arrête à l'altitude </w:t>
      </w:r>
      <m:oMath>
        <m:sSub>
          <m:sSubPr/>
          <m:e>
            <m:r>
              <m:rPr>
                <m:sty m:val="i"/>
              </m:rPr>
              <m:t>H</m:t>
            </m:r>
          </m:e>
          <m:sub>
            <m:r>
              <m:rPr>
                <m:sty m:val="p"/>
              </m:rPr>
              <m:t>0</m:t>
            </m:r>
          </m:sub>
        </m:sSub>
        <m:r>
          <m:rPr>
            <m:sty m:val="p"/>
          </m:rPr>
          <m:t>=</m:t>
        </m:r>
        <m:r>
          <m:rPr>
            <m:sty m:val="p"/>
          </m:rPr>
          <m:t>1000</m:t>
        </m:r>
        <m:r>
          <m:rPr>
            <m:nor/>
          </m:rPr>
          <m:t xml:space="preserve"> </m:t>
        </m:r>
        <m:r>
          <m:rPr>
            <m:sty m:val="p"/>
          </m:rPr>
          <m:t>km</m:t>
        </m:r>
      </m:oMath>
      <w:r>
        <w:rPr/>
        <w:t xml:space="preserve">.</w:t>
      </w:r>
      <w:r>
        <w:rPr/>
        <w:br w:type="textWrapping"/>
      </w:r>
      <w:r>
        <w:rPr>
          <w:rFonts w:eastAsia="Georgia" w:cs="Georgia" w:ascii="Georgia" w:hAnsi="Georgia"/>
        </w:rPr>
        <w:t xml:space="preserve">Q27 - On a tracé figure 7 deux trajets possibles d'une onde électromagnétique harmonique traversant l'ionosphère et soumis à la variation de l'indice optique (le tracé pointillé correspond à la ligne droite depuis le satellite. On néglige la rotondité de la Terre). Quel est le bon tracé? Justifier.</w:t>
      </w:r>
    </w:p>
    <w:p>
      <w:pPr>
        <w:spacing w:lineRule="auto"/>
        <w:jc w:val="center"/>
      </w:pPr>
      <w:r>
        <w:rPr/>
        <w:drawing>
          <wp:inline distB="0" distL="0" distR="0" distT="0">
            <wp:extent cx="5486400" cy="4053083"/>
            <wp:effectExtent b="0" l="0" r="0" t="0"/>
            <wp:docPr id="7" name="image-6391bea1729ab00ce2110e3622f67c21a3a136de.jpg"/>
            <a:graphic>
              <a:graphicData uri="http://schemas.openxmlformats.org/drawingml/2006/picture">
                <pic:pic>
                  <pic:nvPicPr>
                    <pic:cNvPr id="7" name="image-6391bea1729ab00ce2110e3622f67c21a3a136de.jpg" descr=""/>
                    <pic:cNvPicPr/>
                  </pic:nvPicPr>
                  <pic:blipFill>
                    <a:blip r:embed="rId13" cstate="print"/>
                    <a:srcRect b="0" l="0" r="0" t="0"/>
                    <a:stretch>
                      <a:fillRect/>
                    </a:stretch>
                  </pic:blipFill>
                  <pic:spPr>
                    <a:xfrm>
                      <a:off x="0" y="0"/>
                      <a:ext cx="5486400" cy="4053083"/>
                    </a:xfrm>
                    <a:prstGeom prst="rect"/>
                  </pic:spPr>
                </pic:pic>
              </a:graphicData>
            </a:graphic>
          </wp:inline>
        </w:drawing>
      </w:r>
    </w:p>
    <w:p>
      <w:pPr>
        <w:spacing w:lineRule="auto"/>
      </w:pPr>
      <w:r>
        <w:rPr>
          <w:rFonts w:eastAsia="Georgia" w:cs="Georgia" w:ascii="Georgia" w:hAnsi="Georgia"/>
        </w:rPr>
        <w:t xml:space="preserve">Figure 7 - Deux trajets possibles d'une onde traversant l'ionosphère.</w:t>
      </w:r>
    </w:p>
    <w:p>
      <w:pPr>
        <w:spacing w:after="220" w:lineRule="auto"/>
      </w:pPr>
      <w:r>
        <w:rPr>
          <w:rFonts w:eastAsia="Georgia" w:cs="Georgia" w:ascii="Georgia" w:hAnsi="Georgia"/>
        </w:rPr>
        <w:t xml:space="preserve">On considère un paquet d'ondes de fréquence centrale </w:t>
      </w:r>
      <m:oMath>
        <m:sSub>
          <m:sSubPr/>
          <m:e>
            <m:r>
              <m:rPr>
                <m:sty m:val="i"/>
              </m:rPr>
              <m:t>f</m:t>
            </m:r>
          </m:e>
          <m:sub>
            <m:r>
              <m:rPr>
                <m:sty m:val="p"/>
              </m:rPr>
              <m:t>1</m:t>
            </m:r>
          </m:sub>
        </m:sSub>
      </m:oMath>
      <w:r>
        <w:rPr>
          <w:rFonts w:eastAsia="Georgia" w:cs="Georgia" w:ascii="Georgia" w:hAnsi="Georgia"/>
        </w:rPr>
        <w:t xml:space="preserve"> émis par un satellite en haute altitude </w:t>
      </w:r>
      <m:oMath>
        <m:d>
          <m:dPr>
            <m:begChr m:val="("/>
            <m:endChr m:val=")"/>
            <m:ctrlPr>
              <w:rPr>
                <w:rFonts w:ascii="Cambria Math" w:hAnsi="Cambria Math"/>
              </w:rPr>
            </m:ctrlPr>
          </m:dPr>
          <m:e>
            <m:r>
              <m:rPr>
                <m:sty m:val="i"/>
              </m:rPr>
              <m:t>z</m:t>
            </m:r>
            <m:r>
              <m:rPr>
                <m:sty m:val="p"/>
              </m:rPr>
              <m:t>&gt;</m:t>
            </m:r>
            <m:sSub>
              <m:sSubPr/>
              <m:e>
                <m:r>
                  <m:rPr>
                    <m:sty m:val="i"/>
                  </m:rPr>
                  <m:t>H</m:t>
                </m:r>
              </m:e>
              <m:sub>
                <m:r>
                  <m:rPr>
                    <m:sty m:val="p"/>
                  </m:rPr>
                  <m:t>0</m:t>
                </m:r>
              </m:sub>
            </m:sSub>
            <m:r>
              <m:rPr>
                <m:sty m:val="p"/>
              </m:rPr>
              <m:t>=</m:t>
            </m:r>
            <m:r>
              <m:rPr>
                <m:sty m:val="p"/>
              </m:rPr>
              <m:t>1000</m:t>
            </m:r>
            <m:r>
              <m:rPr>
                <m:nor/>
              </m:rPr>
              <m:t xml:space="preserve"> </m:t>
            </m:r>
            <m:r>
              <m:rPr>
                <m:sty m:val="p"/>
              </m:rPr>
              <m:t>km</m:t>
            </m:r>
          </m:e>
        </m:d>
      </m:oMath>
      <w:r>
        <w:rPr>
          <w:rFonts w:eastAsia="Georgia" w:cs="Georgia" w:ascii="Georgia" w:hAnsi="Georgia"/>
        </w:rPr>
        <w:t xml:space="preserve"> et reçu par un récepteur au sol </w:t>
      </w:r>
      <m:oMath>
        <m:r>
          <m:rPr>
            <m:sty m:val="p"/>
          </m:rPr>
          <m:t>(</m:t>
        </m:r>
        <m:r>
          <m:rPr>
            <m:sty m:val="i"/>
          </m:rPr>
          <m:t>z</m:t>
        </m:r>
        <m:r>
          <m:rPr>
            <m:sty m:val="p"/>
          </m:rPr>
          <m:t>=</m:t>
        </m:r>
        <m:r>
          <m:rPr>
            <m:sty m:val="p"/>
          </m:rPr>
          <m:t>0</m:t>
        </m:r>
        <m:r>
          <m:rPr>
            <m:sty m:val="p"/>
          </m:rPr>
          <m:t>)</m:t>
        </m:r>
      </m:oMath>
      <w:r>
        <w:rPr>
          <w:rFonts w:eastAsia="Georgia" w:cs="Georgia" w:ascii="Georgia" w:hAnsi="Georgia"/>
        </w:rPr>
        <w:t xml:space="preserve"> à la verticale du satellite. On note </w:t>
      </w:r>
      <m:oMath>
        <m:sSub>
          <m:sSubPr/>
          <m:e>
            <m:r>
              <m:rPr>
                <m:sty m:val="i"/>
              </m:rPr>
              <m:t>τ</m:t>
            </m:r>
          </m:e>
          <m:sub>
            <m:r>
              <m:rPr>
                <m:sty m:val="p"/>
              </m:rPr>
              <m:t>1</m:t>
            </m:r>
          </m:sub>
        </m:sSub>
      </m:oMath>
      <w:r>
        <w:rPr>
          <w:rFonts w:eastAsia="Georgia" w:cs="Georgia" w:ascii="Georgia" w:hAnsi="Georgia"/>
        </w:rPr>
        <w:t xml:space="preserve"> le retard provoqué par la présence de l'ionosphère par rapport à une onde qui se propagerait dans le vide selon le même trajet et </w:t>
      </w:r>
      <m:oMath>
        <m:sSub>
          <m:sSubPr/>
          <m:e>
            <m:r>
              <m:rPr>
                <m:sty m:val="i"/>
              </m:rPr>
              <m:t>L</m:t>
            </m:r>
          </m:e>
          <m:sub>
            <m:r>
              <m:rPr>
                <m:sty m:val="p"/>
              </m:rPr>
              <m:t>1</m:t>
            </m:r>
          </m:sub>
        </m:sSub>
        <m:r>
          <m:rPr>
            <m:sty m:val="p"/>
          </m:rPr>
          <m:t>=</m:t>
        </m:r>
        <m:r>
          <m:rPr>
            <m:sty m:val="i"/>
          </m:rPr>
          <m:t>c</m:t>
        </m:r>
        <m:sSub>
          <m:sSubPr/>
          <m:e>
            <m:r>
              <m:rPr>
                <m:sty m:val="i"/>
              </m:rPr>
              <m:t>τ</m:t>
            </m:r>
          </m:e>
          <m:sub>
            <m:r>
              <m:rPr>
                <m:sty m:val="p"/>
              </m:rPr>
              <m:t>1</m:t>
            </m:r>
          </m:sub>
        </m:sSub>
      </m:oMath>
      <w:r>
        <w:rPr>
          <w:rFonts w:eastAsia="Georgia" w:cs="Georgia" w:ascii="Georgia" w:hAnsi="Georgia"/>
        </w:rPr>
        <w:t xml:space="preserve"> l'erreur de distance due à l'ionosphère.</w:t>
      </w:r>
    </w:p>
    <w:p>
      <w:pPr>
        <w:spacing w:after="220" w:lineRule="auto"/>
      </w:pPr>
      <w:r>
        <w:rPr/>
        <w:t xml:space="preserve">Q28 - Montrer que </w:t>
      </w:r>
      <m:oMath>
        <m:sSub>
          <m:sSubPr/>
          <m:e>
            <m:r>
              <m:rPr>
                <m:sty m:val="i"/>
              </m:rPr>
              <m:t>τ</m:t>
            </m:r>
          </m:e>
          <m:sub>
            <m:r>
              <m:rPr>
                <m:sty m:val="p"/>
              </m:rPr>
              <m:t>1</m:t>
            </m:r>
          </m:sub>
        </m:sSub>
        <m:r>
          <m:rPr>
            <m:sty m:val="p"/>
          </m:rPr>
          <m:t>=</m:t>
        </m:r>
        <m:f>
          <m:fPr>
            <m:ctrlPr>
              <w:rPr>
                <w:rFonts w:ascii="Cambria Math" w:hAnsi="Cambria Math"/>
              </w:rPr>
            </m:ctrlPr>
          </m:fPr>
          <m:num>
            <m:r>
              <m:rPr>
                <m:sty m:val="p"/>
              </m:rPr>
              <m:t>1</m:t>
            </m:r>
          </m:num>
          <m:den>
            <m:r>
              <m:rPr>
                <m:sty m:val="i"/>
              </m:rPr>
              <m:t>c</m:t>
            </m:r>
          </m:den>
        </m:f>
        <m:nary>
          <m:naryPr>
            <m:chr m:val="∫"/>
            <m:limLoc m:val="subSup"/>
            <m:grow m:val="1"/>
          </m:naryPr>
          <m:sub>
            <m:r>
              <m:rPr>
                <m:sty m:val="p"/>
              </m:rPr>
              <m:t>0</m:t>
            </m:r>
          </m:sub>
          <m:sup>
            <m:sSub>
              <m:sSubPr/>
              <m:e>
                <m:r>
                  <m:rPr>
                    <m:sty m:val="i"/>
                  </m:rPr>
                  <m:t>H</m:t>
                </m:r>
              </m:e>
              <m:sub>
                <m:r>
                  <m:rPr>
                    <m:sty m:val="p"/>
                  </m:rPr>
                  <m:t>0</m:t>
                </m:r>
              </m:sub>
            </m:sSub>
          </m:sup>
          <m:e>
            <m:r>
              <m:rPr>
                <m:sty m:val="p"/>
              </m:rPr>
              <m:t xml:space="preserve"> </m:t>
            </m:r>
          </m:e>
        </m:nary>
        <m:d>
          <m:dPr>
            <m:begChr m:val="("/>
            <m:endChr m:val=")"/>
            <m:ctrlPr>
              <w:rPr>
                <w:rFonts w:ascii="Cambria Math" w:hAnsi="Cambria Math"/>
              </w:rPr>
            </m:ctrlPr>
          </m:dPr>
          <m:e>
            <m:f>
              <m:fPr>
                <m:ctrlPr>
                  <w:rPr>
                    <w:rFonts w:ascii="Cambria Math" w:hAnsi="Cambria Math"/>
                  </w:rPr>
                </m:ctrlPr>
              </m:fPr>
              <m:num>
                <m:r>
                  <m:rPr>
                    <m:sty m:val="i"/>
                  </m:rPr>
                  <m:t>c</m:t>
                </m:r>
              </m:num>
              <m:den>
                <m:sSub>
                  <m:sSubPr/>
                  <m:e>
                    <m:r>
                      <m:rPr>
                        <m:sty m:val="i"/>
                      </m:rPr>
                      <m:t>ν</m:t>
                    </m:r>
                  </m:e>
                  <m:sub>
                    <m:r>
                      <m:rPr>
                        <m:sty m:val="i"/>
                      </m:rPr>
                      <m:t>g</m:t>
                    </m:r>
                  </m:sub>
                </m:sSub>
              </m:den>
            </m:f>
            <m:r>
              <m:rPr>
                <m:sty m:val="p"/>
              </m:rPr>
              <m:t>−</m:t>
            </m:r>
            <m:r>
              <m:rPr>
                <m:sty m:val="p"/>
              </m:rPr>
              <m:t>1</m:t>
            </m:r>
          </m:e>
        </m:d>
        <m:r>
          <m:rPr>
            <m:sty m:val="p"/>
          </m:rPr>
          <m:t>d</m:t>
        </m:r>
        <m:r>
          <m:rPr>
            <m:sty m:val="i"/>
          </m:rPr>
          <m:t>z</m:t>
        </m:r>
      </m:oMath>
      <w:r>
        <w:rPr>
          <w:rFonts w:eastAsia="Georgia" w:cs="Georgia" w:ascii="Georgia" w:hAnsi="Georgia"/>
        </w:rPr>
        <w:t xml:space="preserve"> où </w:t>
      </w:r>
      <m:oMath>
        <m:sSub>
          <m:sSubPr/>
          <m:e>
            <m:r>
              <m:rPr>
                <m:sty m:val="i"/>
              </m:rPr>
              <m:t>ν</m:t>
            </m:r>
          </m:e>
          <m:sub>
            <m:r>
              <m:rPr>
                <m:sty m:val="i"/>
              </m:rPr>
              <m:t>g</m:t>
            </m:r>
          </m:sub>
        </m:sSub>
      </m:oMath>
      <w:r>
        <w:rPr/>
        <w:t xml:space="preserve"> est la vitesse de groupe de l'onde.</w:t>
      </w:r>
      <w:r>
        <w:rPr/>
        <w:br w:type="textWrapping"/>
      </w:r>
      <w:r>
        <w:rPr/>
        <w:t xml:space="preserve">Sachant que </w:t>
      </w:r>
      <m:oMath>
        <m:sSub>
          <m:sSubPr/>
          <m:e>
            <m:r>
              <m:rPr>
                <m:sty m:val="i"/>
              </m:rPr>
              <m:t>v</m:t>
            </m:r>
          </m:e>
          <m:sub>
            <m:r>
              <m:rPr>
                <m:sty m:val="i"/>
              </m:rPr>
              <m:t>g</m:t>
            </m:r>
          </m:sub>
        </m:sSub>
        <m:r>
          <m:rPr>
            <m:sty m:val="p"/>
          </m:rPr>
          <m:t>=</m:t>
        </m:r>
        <m:r>
          <m:rPr>
            <m:sty m:val="i"/>
          </m:rPr>
          <m:t>c</m:t>
        </m:r>
        <m:rad>
          <m:radPr>
            <m:degHide m:val="1"/>
            <m:ctrlPr>
              <w:rPr>
                <w:rFonts w:ascii="Cambria Math" w:hAnsi="Cambria Math"/>
              </w:rPr>
            </m:ctrlPr>
          </m:radPr>
          <m:deg/>
          <m:e>
            <m:r>
              <m:rPr>
                <m:sty m:val="p"/>
              </m:rPr>
              <m:t>1</m:t>
            </m:r>
            <m:r>
              <m:rPr>
                <m:sty m:val="p"/>
              </m:rPr>
              <m:t>−</m:t>
            </m:r>
            <m:f>
              <m:fPr>
                <m:ctrlPr>
                  <w:rPr>
                    <w:rFonts w:ascii="Cambria Math" w:hAnsi="Cambria Math"/>
                  </w:rPr>
                </m:ctrlPr>
              </m:fPr>
              <m:num>
                <m:sSubSup>
                  <m:sSubSupPr/>
                  <m:e>
                    <m:r>
                      <m:rPr>
                        <m:sty m:val="i"/>
                      </m:rPr>
                      <m:t>f</m:t>
                    </m:r>
                  </m:e>
                  <m:sub>
                    <m:r>
                      <m:rPr>
                        <m:sty m:val="i"/>
                      </m:rPr>
                      <m:t>p</m:t>
                    </m:r>
                  </m:sub>
                  <m:sup>
                    <m:r>
                      <m:rPr>
                        <m:sty m:val="p"/>
                      </m:rPr>
                      <m:t>2</m:t>
                    </m:r>
                  </m:sup>
                </m:sSubSup>
              </m:num>
              <m:den>
                <m:sSubSup>
                  <m:sSubSupPr/>
                  <m:e>
                    <m:r>
                      <m:rPr>
                        <m:sty m:val="i"/>
                      </m:rPr>
                      <m:t>f</m:t>
                    </m:r>
                  </m:e>
                  <m:sub>
                    <m:r>
                      <m:rPr>
                        <m:sty m:val="p"/>
                      </m:rPr>
                      <m:t>1</m:t>
                    </m:r>
                  </m:sub>
                  <m:sup>
                    <m:r>
                      <m:rPr>
                        <m:sty m:val="p"/>
                      </m:rPr>
                      <m:t>2</m:t>
                    </m:r>
                  </m:sup>
                </m:sSubSup>
              </m:den>
            </m:f>
          </m:e>
        </m:rad>
      </m:oMath>
      <w:r>
        <w:rPr/>
        <w:t xml:space="preserve">, montrer que </w:t>
      </w:r>
      <m:oMath>
        <m:sSub>
          <m:sSubPr/>
          <m:e>
            <m:r>
              <m:rPr>
                <m:sty m:val="i"/>
              </m:rPr>
              <m:t>L</m:t>
            </m:r>
          </m:e>
          <m:sub>
            <m:r>
              <m:rPr>
                <m:sty m:val="p"/>
              </m:rPr>
              <m:t>1</m:t>
            </m:r>
          </m:sub>
        </m:sSub>
        <m:r>
          <m:rPr>
            <m:sty m:val="p"/>
          </m:rPr>
          <m:t>≈</m:t>
        </m:r>
        <m:f>
          <m:fPr>
            <m:ctrlPr>
              <w:rPr>
                <w:rFonts w:ascii="Cambria Math" w:hAnsi="Cambria Math"/>
              </w:rPr>
            </m:ctrlPr>
          </m:fPr>
          <m:num>
            <m:r>
              <m:rPr>
                <m:sty m:val="i"/>
              </m:rPr>
              <m:t>a</m:t>
            </m:r>
          </m:num>
          <m:den>
            <m:sSubSup>
              <m:sSubSupPr/>
              <m:e>
                <m:r>
                  <m:rPr>
                    <m:sty m:val="i"/>
                  </m:rPr>
                  <m:t>f</m:t>
                </m:r>
              </m:e>
              <m:sub>
                <m:r>
                  <m:rPr>
                    <m:sty m:val="p"/>
                  </m:rPr>
                  <m:t>1</m:t>
                </m:r>
              </m:sub>
              <m:sup>
                <m:r>
                  <m:rPr>
                    <m:sty m:val="p"/>
                  </m:rPr>
                  <m:t>2</m:t>
                </m:r>
              </m:sup>
            </m:sSubSup>
          </m:den>
        </m:f>
        <m:sSub>
          <m:sSubPr/>
          <m:e>
            <m:r>
              <m:rPr>
                <m:sty m:val="i"/>
              </m:rPr>
              <m:t>C</m:t>
            </m:r>
          </m:e>
          <m:sub>
            <m:r>
              <m:rPr>
                <m:sty m:val="i"/>
              </m:rPr>
              <m:t>E</m:t>
            </m:r>
            <m:r>
              <m:rPr>
                <m:sty m:val="i"/>
              </m:rPr>
              <m:t>T</m:t>
            </m:r>
          </m:sub>
        </m:sSub>
      </m:oMath>
      <w:r>
        <w:rPr>
          <w:rFonts w:eastAsia="Georgia" w:cs="Georgia" w:ascii="Georgia" w:hAnsi="Georgia"/>
        </w:rPr>
        <w:t xml:space="preserve"> où </w:t>
      </w:r>
      <m:oMath>
        <m:sSub>
          <m:sSubPr/>
          <m:e>
            <m:r>
              <m:rPr>
                <m:sty m:val="i"/>
              </m:rPr>
              <m:t>C</m:t>
            </m:r>
          </m:e>
          <m:sub>
            <m:r>
              <m:rPr>
                <m:sty m:val="i"/>
              </m:rPr>
              <m:t>E</m:t>
            </m:r>
            <m:r>
              <m:rPr>
                <m:sty m:val="i"/>
              </m:rPr>
              <m:t>T</m:t>
            </m:r>
          </m:sub>
        </m:sSub>
        <m:r>
          <m:rPr>
            <m:sty m:val="p"/>
          </m:rPr>
          <m:t>=</m:t>
        </m:r>
        <m:nary>
          <m:naryPr>
            <m:chr m:val="∫"/>
            <m:limLoc m:val="subSup"/>
            <m:grow m:val="1"/>
          </m:naryPr>
          <m:sub>
            <m:r>
              <m:rPr>
                <m:sty m:val="p"/>
              </m:rPr>
              <m:t>0</m:t>
            </m:r>
          </m:sub>
          <m:sup>
            <m:sSub>
              <m:sSubPr/>
              <m:e>
                <m:r>
                  <m:rPr>
                    <m:sty m:val="i"/>
                  </m:rPr>
                  <m:t>H</m:t>
                </m:r>
              </m:e>
              <m:sub>
                <m:r>
                  <m:rPr>
                    <m:sty m:val="p"/>
                  </m:rPr>
                  <m:t>0</m:t>
                </m:r>
              </m:sub>
            </m:sSub>
          </m:sup>
          <m:e>
            <m:r>
              <m:rPr>
                <m:sty m:val="p"/>
              </m:rPr>
              <m:t xml:space="preserve"> </m:t>
            </m:r>
          </m:e>
        </m:nary>
        <m:sSub>
          <m:sSubPr/>
          <m:e>
            <m:r>
              <m:rPr>
                <m:sty m:val="i"/>
              </m:rPr>
              <m:t>n</m:t>
            </m:r>
          </m:e>
          <m:sub>
            <m:r>
              <m:rPr>
                <m:sty m:val="i"/>
              </m:rPr>
              <m:t>e</m:t>
            </m:r>
          </m:sub>
        </m:sSub>
        <m:r>
          <m:rPr>
            <m:nor/>
          </m:rPr>
          <m:t xml:space="preserve"> </m:t>
        </m:r>
        <m:r>
          <m:rPr>
            <m:sty m:val="p"/>
          </m:rPr>
          <m:t>d</m:t>
        </m:r>
        <m:r>
          <m:rPr>
            <m:sty m:val="i"/>
          </m:rPr>
          <m:t>z</m:t>
        </m:r>
      </m:oMath>
      <w:r>
        <w:rPr>
          <w:rFonts w:eastAsia="Georgia" w:cs="Georgia" w:ascii="Georgia" w:hAnsi="Georgia"/>
        </w:rPr>
        <w:t xml:space="preserve"> est appelé «Contenu Électronique Total de l'ionosphère».</w:t>
      </w:r>
    </w:p>
    <w:p>
      <w:pPr>
        <w:spacing w:after="220" w:lineRule="auto"/>
      </w:pPr>
      <w:r>
        <w:rPr/>
        <w:t xml:space="preserve">Q29 - Estimer le </w:t>
      </w:r>
      <m:oMath>
        <m:sSub>
          <m:sSubPr/>
          <m:e>
            <m:r>
              <m:rPr>
                <m:sty m:val="i"/>
              </m:rPr>
              <m:t>C</m:t>
            </m:r>
          </m:e>
          <m:sub>
            <m:r>
              <m:rPr>
                <m:sty m:val="i"/>
              </m:rPr>
              <m:t>E</m:t>
            </m:r>
            <m:r>
              <m:rPr>
                <m:sty m:val="i"/>
              </m:rPr>
              <m:t>T</m:t>
            </m:r>
          </m:sub>
        </m:sSub>
      </m:oMath>
      <w:r>
        <w:rPr/>
        <w:t xml:space="preserve"> en </w:t>
      </w:r>
      <m:oMath>
        <m:sSup>
          <m:sSupPr/>
          <m:e>
            <m:r>
              <m:rPr>
                <m:sty m:val="p"/>
              </m:rPr>
              <m:t>m</m:t>
            </m:r>
          </m:e>
          <m:sup>
            <m:r>
              <m:rPr>
                <m:sty m:val="p"/>
              </m:rPr>
              <m:t>−</m:t>
            </m:r>
            <m:r>
              <m:rPr>
                <m:sty m:val="p"/>
              </m:rPr>
              <m:t>2</m:t>
            </m:r>
          </m:sup>
        </m:sSup>
      </m:oMath>
      <w:r>
        <w:rPr>
          <w:rFonts w:eastAsia="Georgia" w:cs="Georgia" w:ascii="Georgia" w:hAnsi="Georgia"/>
        </w:rPr>
        <w:t xml:space="preserve"> pour la densité </w:t>
      </w:r>
      <m:oMath>
        <m:sSub>
          <m:sSubPr/>
          <m:e>
            <m:r>
              <m:rPr>
                <m:sty m:val="i"/>
              </m:rPr>
              <m:t>n</m:t>
            </m:r>
          </m:e>
          <m:sub>
            <m:r>
              <m:rPr>
                <m:sty m:val="i"/>
              </m:rPr>
              <m:t>e</m:t>
            </m:r>
          </m:sub>
        </m:sSub>
      </m:oMath>
      <w:r>
        <w:rPr>
          <w:rFonts w:eastAsia="Georgia" w:cs="Georgia" w:ascii="Georgia" w:hAnsi="Georgia"/>
        </w:rPr>
        <w:t xml:space="preserve"> de la figure 6 et en déduire l'erreur de distance </w:t>
      </w:r>
      <m:oMath>
        <m:sSub>
          <m:sSubPr/>
          <m:e>
            <m:r>
              <m:rPr>
                <m:sty m:val="i"/>
              </m:rPr>
              <m:t>L</m:t>
            </m:r>
          </m:e>
          <m:sub>
            <m:r>
              <m:rPr>
                <m:sty m:val="p"/>
              </m:rPr>
              <m:t>1</m:t>
            </m:r>
          </m:sub>
        </m:sSub>
      </m:oMath>
      <w:r>
        <w:rPr>
          <w:rFonts w:eastAsia="Georgia" w:cs="Georgia" w:ascii="Georgia" w:hAnsi="Georgia"/>
        </w:rPr>
        <w:t xml:space="preserve"> provoquée par l'ionosphère. Commenter.</w:t>
      </w:r>
    </w:p>
    <w:p>
      <w:pPr>
        <w:spacing w:after="220" w:lineRule="auto"/>
      </w:pPr>
      <w:r>
        <w:rPr/>
        <w:t xml:space="preserve">La valeur du </w:t>
      </w:r>
      <m:oMath>
        <m:sSub>
          <m:sSubPr/>
          <m:e>
            <m:r>
              <m:rPr>
                <m:sty m:val="i"/>
              </m:rPr>
              <m:t>C</m:t>
            </m:r>
          </m:e>
          <m:sub>
            <m:r>
              <m:rPr>
                <m:sty m:val="i"/>
              </m:rPr>
              <m:t>E</m:t>
            </m:r>
            <m:r>
              <m:rPr>
                <m:sty m:val="i"/>
              </m:rPr>
              <m:t>T</m:t>
            </m:r>
          </m:sub>
        </m:sSub>
      </m:oMath>
      <w:r>
        <w:rPr>
          <w:rFonts w:eastAsia="Georgia" w:cs="Georgia" w:ascii="Georgia" w:hAnsi="Georgia"/>
        </w:rPr>
        <w:t xml:space="preserve"> fluctue principalement selon l'activité solaire et l'alternance jour-nuit. La correction nécessaire ne peut être connue en temps réel si l'on n'utilise qu'une seule fréquence de signal. C'est pourquoi les signaux GPS utilisent deux fréquences, </w:t>
      </w:r>
      <m:oMath>
        <m:sSub>
          <m:sSubPr/>
          <m:e>
            <m:r>
              <m:rPr>
                <m:sty m:val="i"/>
              </m:rPr>
              <m:t>f</m:t>
            </m:r>
          </m:e>
          <m:sub>
            <m:r>
              <m:rPr>
                <m:sty m:val="p"/>
              </m:rPr>
              <m:t>1</m:t>
            </m:r>
          </m:sub>
        </m:sSub>
      </m:oMath>
      <w:r>
        <w:rPr/>
        <w:t xml:space="preserve"> et </w:t>
      </w:r>
      <m:oMath>
        <m:sSub>
          <m:sSubPr/>
          <m:e>
            <m:r>
              <m:rPr>
                <m:sty m:val="i"/>
              </m:rPr>
              <m:t>f</m:t>
            </m:r>
          </m:e>
          <m:sub>
            <m:r>
              <m:rPr>
                <m:sty m:val="p"/>
              </m:rPr>
              <m:t>2</m:t>
            </m:r>
          </m:sub>
        </m:sSub>
        <m:r>
          <m:rPr>
            <m:sty m:val="p"/>
          </m:rPr>
          <m:t>=</m:t>
        </m:r>
        <m:r>
          <m:rPr>
            <m:sty m:val="p"/>
          </m:rPr>
          <m:t>1228</m:t>
        </m:r>
        <m:r>
          <m:rPr>
            <m:sty m:val="p"/>
          </m:rPr>
          <m:t>MHz</m:t>
        </m:r>
      </m:oMath>
      <w:r>
        <w:rPr/>
        <w:t xml:space="preserve">.</w:t>
      </w:r>
    </w:p>
    <w:p>
      <w:pPr>
        <w:spacing w:after="220" w:lineRule="auto"/>
      </w:pPr>
      <w:r>
        <w:rPr/>
        <w:t xml:space="preserve">Q30 - Soit </w:t>
      </w:r>
      <m:oMath>
        <m:sSub>
          <m:sSubPr/>
          <m:e>
            <m:r>
              <m:rPr>
                <m:sty m:val="i"/>
              </m:rPr>
              <m:t>τ</m:t>
            </m:r>
          </m:e>
          <m:sub>
            <m:r>
              <m:rPr>
                <m:nor/>
              </m:rPr>
              <m:t>ret </m:t>
            </m:r>
          </m:sub>
        </m:sSub>
        <m:r>
          <m:rPr>
            <m:sty m:val="p"/>
          </m:rPr>
          <m:t>=</m:t>
        </m:r>
        <m:sSub>
          <m:sSubPr/>
          <m:e>
            <m:r>
              <m:rPr>
                <m:sty m:val="i"/>
              </m:rPr>
              <m:t>τ</m:t>
            </m:r>
          </m:e>
          <m:sub>
            <m:r>
              <m:rPr>
                <m:sty m:val="p"/>
              </m:rPr>
              <m:t>1</m:t>
            </m:r>
          </m:sub>
        </m:sSub>
        <m:r>
          <m:rPr>
            <m:sty m:val="p"/>
          </m:rPr>
          <m:t>−</m:t>
        </m:r>
        <m:sSub>
          <m:sSubPr/>
          <m:e>
            <m:r>
              <m:rPr>
                <m:sty m:val="i"/>
              </m:rPr>
              <m:t>τ</m:t>
            </m:r>
          </m:e>
          <m:sub>
            <m:r>
              <m:rPr>
                <m:sty m:val="p"/>
              </m:rPr>
              <m:t>2</m:t>
            </m:r>
          </m:sub>
        </m:sSub>
      </m:oMath>
      <w:r>
        <w:rPr>
          <w:rFonts w:eastAsia="Georgia" w:cs="Georgia" w:ascii="Georgia" w:hAnsi="Georgia"/>
        </w:rPr>
        <w:t xml:space="preserve"> le retard de réception entre les deux signaux de fréquences </w:t>
      </w:r>
      <m:oMath>
        <m:sSub>
          <m:sSubPr/>
          <m:e>
            <m:r>
              <m:rPr>
                <m:sty m:val="i"/>
              </m:rPr>
              <m:t>f</m:t>
            </m:r>
          </m:e>
          <m:sub>
            <m:r>
              <m:rPr>
                <m:sty m:val="p"/>
              </m:rPr>
              <m:t>1</m:t>
            </m:r>
          </m:sub>
        </m:sSub>
      </m:oMath>
      <w:r>
        <w:rPr/>
        <w:t xml:space="preserve"> et </w:t>
      </w:r>
      <m:oMath>
        <m:sSub>
          <m:sSubPr/>
          <m:e>
            <m:r>
              <m:rPr>
                <m:sty m:val="i"/>
              </m:rPr>
              <m:t>f</m:t>
            </m:r>
          </m:e>
          <m:sub>
            <m:r>
              <m:rPr>
                <m:sty m:val="p"/>
              </m:rPr>
              <m:t>2</m:t>
            </m:r>
          </m:sub>
        </m:sSub>
      </m:oMath>
      <w:r>
        <w:rPr/>
        <w:t xml:space="preserve">. Montrer que la mesure de </w:t>
      </w:r>
      <m:oMath>
        <m:sSub>
          <m:sSubPr/>
          <m:e>
            <m:r>
              <m:rPr>
                <m:sty m:val="i"/>
              </m:rPr>
              <m:t>τ</m:t>
            </m:r>
          </m:e>
          <m:sub>
            <m:r>
              <m:rPr>
                <m:nor/>
              </m:rPr>
              <m:t>ret </m:t>
            </m:r>
          </m:sub>
        </m:sSub>
      </m:oMath>
      <w:r>
        <w:rPr>
          <w:rFonts w:eastAsia="Georgia" w:cs="Georgia" w:ascii="Georgia" w:hAnsi="Georgia"/>
        </w:rPr>
        <w:t xml:space="preserve"> permet de déterminer le </w:t>
      </w:r>
      <m:oMath>
        <m:sSub>
          <m:sSubPr/>
          <m:e>
            <m:r>
              <m:rPr>
                <m:sty m:val="i"/>
              </m:rPr>
              <m:t>C</m:t>
            </m:r>
          </m:e>
          <m:sub>
            <m:r>
              <m:rPr>
                <m:sty m:val="i"/>
              </m:rPr>
              <m:t>E</m:t>
            </m:r>
            <m:r>
              <m:rPr>
                <m:sty m:val="i"/>
              </m:rPr>
              <m:t>T</m:t>
            </m:r>
          </m:sub>
        </m:sSub>
      </m:oMath>
      <w:r>
        <w:rPr>
          <w:rFonts w:eastAsia="Georgia" w:cs="Georgia" w:ascii="Georgia" w:hAnsi="Georgia"/>
        </w:rPr>
        <w:t xml:space="preserve"> à une date donnée. Application numérique : on mesure </w:t>
      </w:r>
      <m:oMath>
        <m:sSub>
          <m:sSubPr/>
          <m:e>
            <m:r>
              <m:rPr>
                <m:sty m:val="i"/>
              </m:rPr>
              <m:t>τ</m:t>
            </m:r>
          </m:e>
          <m:sub>
            <m:r>
              <m:rPr>
                <m:nor/>
              </m:rPr>
              <m:t>ret </m:t>
            </m:r>
          </m:sub>
        </m:sSub>
        <m:r>
          <m:rPr>
            <m:sty m:val="p"/>
          </m:rPr>
          <m:t>=</m:t>
        </m:r>
        <m:r>
          <m:rPr>
            <m:sty m:val="p"/>
          </m:rPr>
          <m:t>6</m:t>
        </m:r>
        <m:r>
          <m:rPr>
            <m:sty m:val="p"/>
          </m:rPr>
          <m:t>,</m:t>
        </m:r>
        <m:r>
          <m:rPr>
            <m:sty m:val="p"/>
          </m:rPr>
          <m:t>7</m:t>
        </m:r>
        <m:r>
          <m:rPr>
            <m:sty m:val="p"/>
          </m:rPr>
          <m:t>×</m:t>
        </m:r>
        <m:sSup>
          <m:sSupPr/>
          <m:e>
            <m:r>
              <m:rPr>
                <m:sty m:val="p"/>
              </m:rPr>
              <m:t>10</m:t>
            </m:r>
          </m:e>
          <m:sup>
            <m:r>
              <m:rPr>
                <m:sty m:val="p"/>
              </m:rPr>
              <m:t>−</m:t>
            </m:r>
            <m:r>
              <m:rPr>
                <m:sty m:val="p"/>
              </m:rPr>
              <m:t>7</m:t>
            </m:r>
          </m:sup>
        </m:sSup>
      </m:oMath>
      <w:r>
        <w:rPr/>
        <w:t xml:space="preserve"> s. Calculer l'erreur </w:t>
      </w:r>
      <m:oMath>
        <m:sSub>
          <m:sSubPr/>
          <m:e>
            <m:r>
              <m:rPr>
                <m:sty m:val="i"/>
              </m:rPr>
              <m:t>L</m:t>
            </m:r>
          </m:e>
          <m:sub>
            <m:r>
              <m:rPr>
                <m:sty m:val="p"/>
              </m:rPr>
              <m:t>1</m:t>
            </m:r>
          </m:sub>
        </m:sSub>
      </m:oMath>
      <w:r>
        <w:rPr/>
        <w:t xml:space="preserve">.</w:t>
      </w:r>
    </w:p>
    <w:p>
      <w:pPr>
        <w:spacing w:after="220" w:lineRule="auto"/>
      </w:pPr>
      <w:r>
        <w:rPr>
          <w:rFonts w:eastAsia="Georgia" w:cs="Georgia" w:ascii="Georgia" w:hAnsi="Georgia"/>
        </w:rPr>
        <w:t xml:space="preserve">La figure 8 présente deux cartes de </w:t>
      </w:r>
      <m:oMath>
        <m:sSub>
          <m:sSubPr/>
          <m:e>
            <m:r>
              <m:rPr>
                <m:sty m:val="i"/>
              </m:rPr>
              <m:t>C</m:t>
            </m:r>
          </m:e>
          <m:sub>
            <m:r>
              <m:rPr>
                <m:sty m:val="i"/>
              </m:rPr>
              <m:t>E</m:t>
            </m:r>
            <m:r>
              <m:rPr>
                <m:sty m:val="i"/>
              </m:rPr>
              <m:t>T</m:t>
            </m:r>
          </m:sub>
        </m:sSub>
      </m:oMath>
      <w:r>
        <w:rPr>
          <w:rFonts w:eastAsia="Georgia" w:cs="Georgia" w:ascii="Georgia" w:hAnsi="Georgia"/>
        </w:rPr>
        <w:t xml:space="preserve"> calculées en temps réel et disponibles en ligne. L'échelle à droite représente la valeur de </w:t>
      </w:r>
      <m:oMath>
        <m:sSub>
          <m:sSubPr/>
          <m:e>
            <m:r>
              <m:rPr>
                <m:sty m:val="i"/>
              </m:rPr>
              <m:t>C</m:t>
            </m:r>
          </m:e>
          <m:sub>
            <m:r>
              <m:rPr>
                <m:sty m:val="i"/>
              </m:rPr>
              <m:t>E</m:t>
            </m:r>
            <m:r>
              <m:rPr>
                <m:sty m:val="i"/>
              </m:rPr>
              <m:t>T</m:t>
            </m:r>
          </m:sub>
        </m:sSub>
      </m:oMath>
      <w:r>
        <w:rPr>
          <w:rFonts w:eastAsia="Georgia" w:cs="Georgia" w:ascii="Georgia" w:hAnsi="Georgia"/>
        </w:rPr>
        <w:t xml:space="preserve"> exprimée en TECU, 1 TECU </w:t>
      </w:r>
      <m:oMath>
        <m:r>
          <m:rPr>
            <m:sty m:val="p"/>
          </m:rPr>
          <m:t>=</m:t>
        </m:r>
        <m:r>
          <m:rPr>
            <m:sty m:val="p"/>
          </m:rPr>
          <m:t>1</m:t>
        </m:r>
        <m:r>
          <m:rPr>
            <m:sty m:val="p"/>
          </m:rPr>
          <m:t>×</m:t>
        </m:r>
        <m:sSup>
          <m:sSupPr/>
          <m:e>
            <m:r>
              <m:rPr>
                <m:sty m:val="p"/>
              </m:rPr>
              <m:t>10</m:t>
            </m:r>
          </m:e>
          <m:sup>
            <m:r>
              <m:rPr>
                <m:sty m:val="p"/>
              </m:rPr>
              <m:t>16</m:t>
            </m:r>
          </m:sup>
        </m:sSup>
        <m:sSup>
          <m:sSupPr/>
          <m:e>
            <m:r>
              <m:rPr>
                <m:nor/>
              </m:rPr>
              <m:t xml:space="preserve"> </m:t>
            </m:r>
            <m:r>
              <m:rPr>
                <m:sty m:val="p"/>
              </m:rPr>
              <m:t>m</m:t>
            </m:r>
          </m:e>
          <m:sup>
            <m:r>
              <m:rPr>
                <m:sty m:val="p"/>
              </m:rPr>
              <m:t>−</m:t>
            </m:r>
            <m:r>
              <m:rPr>
                <m:sty m:val="p"/>
              </m:rPr>
              <m:t>2</m:t>
            </m:r>
          </m:sup>
        </m:sSup>
      </m:oMath>
      <w:r>
        <w:rPr/>
        <w:t xml:space="preserve">.</w:t>
      </w:r>
    </w:p>
    <w:p>
      <w:pPr>
        <w:spacing w:lineRule="auto"/>
        <w:jc w:val="center"/>
      </w:pPr>
      <w:r>
        <w:rPr/>
        <w:drawing>
          <wp:inline distB="0" distL="0" distR="0" distT="0">
            <wp:extent cx="5486400" cy="5872130"/>
            <wp:effectExtent b="0" l="0" r="0" t="0"/>
            <wp:docPr id="8" name="image-14ecc745af1af968df9fc936dd1baa0faa839ae4.jpg"/>
            <a:graphic>
              <a:graphicData uri="http://schemas.openxmlformats.org/drawingml/2006/picture">
                <pic:pic>
                  <pic:nvPicPr>
                    <pic:cNvPr id="8" name="image-14ecc745af1af968df9fc936dd1baa0faa839ae4.jpg" descr=""/>
                    <pic:cNvPicPr/>
                  </pic:nvPicPr>
                  <pic:blipFill>
                    <a:blip r:embed="rId14" cstate="print"/>
                    <a:srcRect b="0" l="0" r="0" t="0"/>
                    <a:stretch>
                      <a:fillRect/>
                    </a:stretch>
                  </pic:blipFill>
                  <pic:spPr>
                    <a:xfrm>
                      <a:off x="0" y="0"/>
                      <a:ext cx="5486400" cy="5872130"/>
                    </a:xfrm>
                    <a:prstGeom prst="rect"/>
                  </pic:spPr>
                </pic:pic>
              </a:graphicData>
            </a:graphic>
          </wp:inline>
        </w:drawing>
      </w:r>
    </w:p>
    <w:p>
      <w:pPr>
        <w:spacing w:lineRule="auto"/>
      </w:pPr>
      <w:r>
        <w:rPr/>
        <w:t xml:space="preserve">Figure 8 - Cartes de </w:t>
      </w:r>
      <m:oMath>
        <m:sSub>
          <m:sSubPr/>
          <m:e>
            <m:r>
              <m:rPr>
                <m:sty m:val="i"/>
              </m:rPr>
              <m:t>C</m:t>
            </m:r>
          </m:e>
          <m:sub>
            <m:r>
              <m:rPr>
                <m:sty m:val="i"/>
              </m:rPr>
              <m:t>E</m:t>
            </m:r>
            <m:r>
              <m:rPr>
                <m:sty m:val="i"/>
              </m:rPr>
              <m:t>T</m:t>
            </m:r>
          </m:sub>
        </m:sSub>
      </m:oMath>
    </w:p>
    <w:p>
      <w:pPr>
        <w:spacing w:after="220" w:lineRule="auto"/>
      </w:pPr>
      <w:r>
        <w:rPr>
          <w:rFonts w:eastAsia="Georgia" w:cs="Georgia" w:ascii="Georgia" w:hAnsi="Georgia"/>
        </w:rPr>
        <w:t xml:space="preserve">Crédits : Courtesy NASA/JPL-Caltech.</w:t>
      </w:r>
      <w:r>
        <w:rPr/>
        <w:br w:type="textWrapping"/>
      </w:r>
      <w:r>
        <w:rPr/>
        <w:t xml:space="preserve">Vu le 20 octobre 2019 sur le site https ://iono.jpl.nasa.gov/</w:t>
      </w:r>
    </w:p>
    <w:p>
      <w:pPr>
        <w:spacing w:after="220" w:lineRule="auto"/>
      </w:pPr>
      <w:r>
        <w:rPr>
          <w:rFonts w:eastAsia="Georgia" w:cs="Georgia" w:ascii="Georgia" w:hAnsi="Georgia"/>
        </w:rPr>
        <w:t xml:space="preserve">Q31 - Quel est le principe d'obtention de cette carte en temps réel? Commenter et expliquer l'évolution entre les deux cartes.</w:t>
      </w:r>
    </w:p>
    <w:p>
      <w:pPr>
        <w:spacing w:line="271" w:before="330" w:lineRule="auto"/>
      </w:pPr>
      <w:r>
        <w:rPr>
          <w:b/>
          <w:sz w:val="42"/>
        </w:rPr>
        <w:t xml:space="preserve">Annexe</w:t>
      </w:r>
    </w:p>
    <w:p>
      <w:pPr>
        <w:spacing w:line="271" w:before="330" w:lineRule="auto"/>
      </w:pPr>
      <w:r>
        <w:rPr>
          <w:b/>
          <w:sz w:val="42"/>
        </w:rPr>
        <w:t xml:space="preserve">Constantes fondamentales: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w:r>
              <w:rPr>
                <w:rFonts w:eastAsia="Georgia" w:cs="Georgia" w:ascii="Georgia" w:hAnsi="Georgia"/>
              </w:rPr>
              <w:t xml:space="preserve">Célérité de la lumière dans le vide:</w:t>
            </w:r>
          </w:p>
        </w:tc>
        <w:tc>
          <w:tcPr>
            <w:tcBorders/>
            <w:vAlign w:val="center"/>
          </w:tcPr>
          <w:p>
            <w:pPr>
              <w:spacing w:lineRule="auto"/>
              <w:jc w:val="left"/>
            </w:pPr>
            <m:oMathPara>
              <m:oMathParaPr>
                <m:jc m:val="left"/>
              </m:oMathParaPr>
              <m:oMath>
                <m:r>
                  <m:rPr>
                    <m:sty m:val="i"/>
                  </m:rPr>
                  <m:t>c</m:t>
                </m:r>
                <m:r>
                  <m:rPr>
                    <m:sty m:val="p"/>
                  </m:rPr>
                  <m:t>=</m:t>
                </m:r>
                <m:r>
                  <m:rPr>
                    <m:sty m:val="p"/>
                  </m:rPr>
                  <m:t>299792458</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m:oMathPara>
          </w:p>
        </w:tc>
      </w:tr>
      <w:tr>
        <w:trPr>
          <w:cantSplit/>
        </w:trPr>
        <w:tc>
          <w:tcPr>
            <w:tcBorders/>
            <w:vAlign w:val="center"/>
          </w:tcPr>
          <w:p>
            <w:pPr>
              <w:spacing w:lineRule="auto"/>
              <w:jc w:val="left"/>
            </w:pPr>
            <w:r>
              <w:rPr/>
              <w:t xml:space="preserve">Constante de Planck:</w:t>
            </w:r>
          </w:p>
        </w:tc>
        <w:tc>
          <w:tcPr>
            <w:tcBorders/>
            <w:vAlign w:val="center"/>
          </w:tcPr>
          <w:p>
            <w:pPr>
              <w:spacing w:lineRule="auto"/>
              <w:jc w:val="left"/>
            </w:pPr>
            <m:oMathPara>
              <m:oMathParaPr>
                <m:jc m:val="left"/>
              </m:oMathParaPr>
              <m:oMath>
                <m:r>
                  <m:rPr>
                    <m:sty m:val="i"/>
                  </m:rPr>
                  <m:t>h</m:t>
                </m:r>
                <m:r>
                  <m:rPr>
                    <m:sty m:val="p"/>
                  </m:rPr>
                  <m:t>=</m:t>
                </m:r>
                <m:r>
                  <m:rPr>
                    <m:sty m:val="p"/>
                  </m:rPr>
                  <m:t>6</m:t>
                </m:r>
                <m:r>
                  <m:rPr>
                    <m:sty m:val="p"/>
                  </m:rPr>
                  <m:t>,</m:t>
                </m:r>
                <m:r>
                  <m:rPr>
                    <m:sty m:val="p"/>
                  </m:rPr>
                  <m:t>62607015</m:t>
                </m:r>
                <m:r>
                  <m:rPr>
                    <m:sty m:val="p"/>
                  </m:rPr>
                  <m:t>×</m:t>
                </m:r>
                <m:sSup>
                  <m:sSupPr/>
                  <m:e>
                    <m:r>
                      <m:rPr>
                        <m:sty m:val="p"/>
                      </m:rPr>
                      <m:t>10</m:t>
                    </m:r>
                  </m:e>
                  <m:sup>
                    <m:r>
                      <m:rPr>
                        <m:sty m:val="p"/>
                      </m:rPr>
                      <m:t>−</m:t>
                    </m:r>
                    <m:r>
                      <m:rPr>
                        <m:sty m:val="p"/>
                      </m:rPr>
                      <m:t>34</m:t>
                    </m:r>
                  </m:sup>
                </m:sSup>
                <m:r>
                  <m:rPr>
                    <m:nor/>
                  </m:rPr>
                  <m:t xml:space="preserve"> </m:t>
                </m:r>
                <m:r>
                  <m:rPr>
                    <m:sty m:val="p"/>
                  </m:rPr>
                  <m:t>J</m:t>
                </m:r>
                <m:r>
                  <m:rPr>
                    <m:sty m:val="p"/>
                  </m:rPr>
                  <m:t>⋅</m:t>
                </m:r>
                <m:r>
                  <m:rPr>
                    <m:nor/>
                  </m:rPr>
                  <m:t xml:space="preserve"> </m:t>
                </m:r>
                <m:r>
                  <m:rPr>
                    <m:sty m:val="p"/>
                  </m:rPr>
                  <m:t>s</m:t>
                </m:r>
              </m:oMath>
            </m:oMathPara>
          </w:p>
        </w:tc>
      </w:tr>
      <w:tr>
        <w:trPr>
          <w:cantSplit/>
        </w:trPr>
        <w:tc>
          <w:tcPr>
            <w:tcBorders/>
            <w:vAlign w:val="center"/>
          </w:tcPr>
          <w:p>
            <w:pPr>
              <w:spacing w:lineRule="auto"/>
              <w:jc w:val="left"/>
            </w:pPr>
            <w:r>
              <w:rPr>
                <w:rFonts w:eastAsia="Georgia" w:cs="Georgia" w:ascii="Georgia" w:hAnsi="Georgia"/>
              </w:rPr>
              <w:t xml:space="preserve">Charge élémentaire :</w:t>
            </w:r>
          </w:p>
        </w:tc>
        <w:tc>
          <w:tcPr>
            <w:tcBorders/>
            <w:vAlign w:val="center"/>
          </w:tcPr>
          <w:p>
            <w:pPr>
              <w:spacing w:lineRule="auto"/>
              <w:jc w:val="left"/>
            </w:pPr>
            <m:oMathPara>
              <m:oMathParaPr>
                <m:jc m:val="left"/>
              </m:oMathParaPr>
              <m:oMath>
                <m:r>
                  <m:rPr>
                    <m:sty m:val="i"/>
                  </m:rPr>
                  <m:t>e</m:t>
                </m:r>
                <m:r>
                  <m:rPr>
                    <m:sty m:val="p"/>
                  </m:rPr>
                  <m:t>=</m:t>
                </m:r>
                <m:r>
                  <m:rPr>
                    <m:sty m:val="p"/>
                  </m:rPr>
                  <m:t>1</m:t>
                </m:r>
                <m:r>
                  <m:rPr>
                    <m:sty m:val="p"/>
                  </m:rPr>
                  <m:t>,</m:t>
                </m:r>
                <m:r>
                  <m:rPr>
                    <m:sty m:val="p"/>
                  </m:rPr>
                  <m:t>602176634</m:t>
                </m:r>
                <m:r>
                  <m:rPr>
                    <m:sty m:val="p"/>
                  </m:rPr>
                  <m:t>×</m:t>
                </m:r>
                <m:sSup>
                  <m:sSupPr/>
                  <m:e>
                    <m:r>
                      <m:rPr>
                        <m:sty m:val="p"/>
                      </m:rPr>
                      <m:t>10</m:t>
                    </m:r>
                  </m:e>
                  <m:sup>
                    <m:r>
                      <m:rPr>
                        <m:sty m:val="p"/>
                      </m:rPr>
                      <m:t>−</m:t>
                    </m:r>
                    <m:r>
                      <m:rPr>
                        <m:sty m:val="p"/>
                      </m:rPr>
                      <m:t>19</m:t>
                    </m:r>
                  </m:sup>
                </m:sSup>
                <m:r>
                  <m:rPr>
                    <m:sty m:val="p"/>
                  </m:rPr>
                  <m:t>C</m:t>
                </m:r>
              </m:oMath>
            </m:oMathPara>
          </w:p>
        </w:tc>
      </w:tr>
      <w:tr>
        <w:trPr>
          <w:cantSplit/>
        </w:trPr>
        <w:tc>
          <w:tcPr>
            <w:tcBorders/>
            <w:vAlign w:val="center"/>
          </w:tcPr>
          <w:p>
            <w:pPr>
              <w:spacing w:lineRule="auto"/>
              <w:jc w:val="left"/>
            </w:pPr>
            <w:r>
              <w:rPr/>
              <w:t xml:space="preserve">Constante de gravitation universelle :</w:t>
            </w:r>
          </w:p>
        </w:tc>
        <w:tc>
          <w:tcPr>
            <w:tcBorders/>
            <w:vAlign w:val="center"/>
          </w:tcPr>
          <w:p>
            <w:pPr>
              <w:spacing w:lineRule="auto"/>
              <w:jc w:val="left"/>
            </w:pPr>
            <m:oMathPara>
              <m:oMathParaPr>
                <m:jc m:val="left"/>
              </m:oMathParaPr>
              <m:oMath>
                <m:r>
                  <m:rPr>
                    <m:sty m:val="i"/>
                  </m:rPr>
                  <m:t>G</m:t>
                </m:r>
                <m:r>
                  <m:rPr>
                    <m:sty m:val="p"/>
                  </m:rPr>
                  <m:t>=</m:t>
                </m:r>
                <m:r>
                  <m:rPr>
                    <m:sty m:val="p"/>
                  </m:rPr>
                  <m:t>6</m:t>
                </m:r>
                <m:r>
                  <m:rPr>
                    <m:sty m:val="p"/>
                  </m:rPr>
                  <m:t>,</m:t>
                </m:r>
                <m:r>
                  <m:rPr>
                    <m:sty m:val="p"/>
                  </m:rPr>
                  <m:t>67430</m:t>
                </m:r>
                <m:r>
                  <m:rPr>
                    <m:sty m:val="p"/>
                  </m:rPr>
                  <m:t>×</m:t>
                </m:r>
                <m:sSup>
                  <m:sSupPr/>
                  <m:e>
                    <m:r>
                      <m:rPr>
                        <m:sty m:val="p"/>
                      </m:rPr>
                      <m:t>10</m:t>
                    </m:r>
                  </m:e>
                  <m:sup>
                    <m:r>
                      <m:rPr>
                        <m:sty m:val="p"/>
                      </m:rPr>
                      <m:t>−</m:t>
                    </m:r>
                    <m:r>
                      <m:rPr>
                        <m:sty m:val="p"/>
                      </m:rPr>
                      <m:t>11</m:t>
                    </m:r>
                  </m:sup>
                </m:sSup>
                <m:r>
                  <m:rPr>
                    <m:sty m:val="p"/>
                  </m:rPr>
                  <m:t>USI</m:t>
                </m:r>
              </m:oMath>
            </m:oMathPara>
          </w:p>
        </w:tc>
      </w:tr>
    </w:tbl>
    <w:p>
      <w:pPr>
        <w:spacing w:lineRule="auto"/>
      </w:pPr>
    </w:p>
    <w:p>
      <w:pPr>
        <w:spacing w:line="271" w:before="330" w:lineRule="auto"/>
      </w:pPr>
      <w:r>
        <w:rPr>
          <w:b/>
          <w:sz w:val="42"/>
        </w:rPr>
        <w:t xml:space="preserve">Formulaire :</w:t>
      </w:r>
    </w:p>
    <w:p>
      <w:pPr>
        <w:spacing w:after="220" w:lineRule="auto"/>
      </w:pPr>
      <m:oMathPara>
        <m:oMath>
          <m:m>
            <m:mPr>
              <m:plcHide m:val="1"/>
              <m:cGpRule m:val="0"/>
              <m:mcs>
                <m:mc>
                  <m:mcPr>
                    <m:count m:val="1"/>
                    <m:mcJc m:val="left"/>
                  </m:mcPr>
                </m:mc>
                <m:mc>
                  <m:mcPr>
                    <m:count m:val="1"/>
                    <m:mcJc m:val="left"/>
                  </m:mcPr>
                </m:mc>
              </m:mcs>
              <m:ctrlPr>
                <w:rPr>
                  <w:rFonts w:ascii="Cambria Math" w:hAnsi="Cambria Math"/>
                  <w:i/>
                </w:rPr>
              </m:ctrlPr>
            </m:mPr>
            <m:mr>
              <m:e>
                <m:r>
                  <m:rPr>
                    <m:nor/>
                  </m:rPr>
                  <m:t> Masse de la Terre : </m:t>
                </m:r>
              </m:e>
              <m:e>
                <m:sSub>
                  <m:sSubPr/>
                  <m:e>
                    <m:r>
                      <m:rPr>
                        <m:sty m:val="i"/>
                      </m:rPr>
                      <m:t>M</m:t>
                    </m:r>
                  </m:e>
                  <m:sub>
                    <m:r>
                      <m:rPr>
                        <m:sty m:val="i"/>
                      </m:rPr>
                      <m:t>T</m:t>
                    </m:r>
                  </m:sub>
                </m:sSub>
                <m:r>
                  <m:rPr>
                    <m:sty m:val="p"/>
                  </m:rPr>
                  <m:t>=</m:t>
                </m:r>
                <m:r>
                  <m:rPr>
                    <m:sty m:val="p"/>
                  </m:rPr>
                  <m:t>5</m:t>
                </m:r>
                <m:r>
                  <m:rPr>
                    <m:sty m:val="p"/>
                  </m:rPr>
                  <m:t>,</m:t>
                </m:r>
                <m:r>
                  <m:rPr>
                    <m:sty m:val="p"/>
                  </m:rPr>
                  <m:t>9722</m:t>
                </m:r>
                <m:r>
                  <m:rPr>
                    <m:sty m:val="p"/>
                  </m:rPr>
                  <m:t>×</m:t>
                </m:r>
                <m:sSup>
                  <m:sSupPr/>
                  <m:e>
                    <m:r>
                      <m:rPr>
                        <m:sty m:val="p"/>
                      </m:rPr>
                      <m:t>10</m:t>
                    </m:r>
                  </m:e>
                  <m:sup>
                    <m:r>
                      <m:rPr>
                        <m:sty m:val="p"/>
                      </m:rPr>
                      <m:t>24</m:t>
                    </m:r>
                  </m:sup>
                </m:sSup>
                <m:r>
                  <m:rPr>
                    <m:nor/>
                  </m:rPr>
                  <m:t xml:space="preserve"> </m:t>
                </m:r>
                <m:r>
                  <m:rPr>
                    <m:sty m:val="p"/>
                  </m:rPr>
                  <m:t>kg</m:t>
                </m:r>
              </m:e>
            </m:mr>
            <m:mr>
              <m:e>
                <m:r>
                  <m:rPr>
                    <m:nor/>
                  </m:rPr>
                  <m:t> Rayon terrestre : </m:t>
                </m:r>
              </m:e>
              <m:e>
                <m:sSub>
                  <m:sSubPr/>
                  <m:e>
                    <m:r>
                      <m:rPr>
                        <m:sty m:val="i"/>
                      </m:rPr>
                      <m:t>R</m:t>
                    </m:r>
                  </m:e>
                  <m:sub>
                    <m:r>
                      <m:rPr>
                        <m:sty m:val="i"/>
                      </m:rPr>
                      <m:t>T</m:t>
                    </m:r>
                  </m:sub>
                </m:sSub>
                <m:r>
                  <m:rPr>
                    <m:sty m:val="p"/>
                  </m:rPr>
                  <m:t>=</m:t>
                </m:r>
                <m:r>
                  <m:rPr>
                    <m:sty m:val="p"/>
                  </m:rPr>
                  <m:t>6</m:t>
                </m:r>
                <m:r>
                  <m:rPr>
                    <m:sty m:val="p"/>
                  </m:rPr>
                  <m:t>,</m:t>
                </m:r>
                <m:r>
                  <m:rPr>
                    <m:sty m:val="p"/>
                  </m:rPr>
                  <m:t>371</m:t>
                </m:r>
                <m:r>
                  <m:rPr>
                    <m:sty m:val="p"/>
                  </m:rPr>
                  <m:t>×</m:t>
                </m:r>
                <m:sSup>
                  <m:sSupPr/>
                  <m:e>
                    <m:r>
                      <m:rPr>
                        <m:sty m:val="p"/>
                      </m:rPr>
                      <m:t>10</m:t>
                    </m:r>
                  </m:e>
                  <m:sup>
                    <m:r>
                      <m:rPr>
                        <m:sty m:val="p"/>
                      </m:rPr>
                      <m:t>3</m:t>
                    </m:r>
                  </m:sup>
                </m:sSup>
                <m:r>
                  <m:rPr>
                    <m:nor/>
                  </m:rPr>
                  <m:t xml:space="preserve"> </m:t>
                </m:r>
                <m:r>
                  <m:rPr>
                    <m:sty m:val="p"/>
                  </m:rPr>
                  <m:t>km</m:t>
                </m:r>
              </m:e>
            </m:mr>
            <m:mr>
              <m:e>
                <m:r>
                  <m:rPr>
                    <m:nor/>
                  </m:rPr>
                  <m:t> Masse de l'électron : </m:t>
                </m:r>
              </m:e>
              <m:e>
                <m:sSub>
                  <m:sSubPr/>
                  <m:e>
                    <m:r>
                      <m:rPr>
                        <m:sty m:val="i"/>
                      </m:rPr>
                      <m:t>m</m:t>
                    </m:r>
                  </m:e>
                  <m:sub>
                    <m:r>
                      <m:rPr>
                        <m:sty m:val="i"/>
                      </m:rPr>
                      <m:t>e</m:t>
                    </m:r>
                  </m:sub>
                </m:sSub>
                <m:r>
                  <m:rPr>
                    <m:sty m:val="p"/>
                  </m:rPr>
                  <m:t>=</m:t>
                </m:r>
                <m:r>
                  <m:rPr>
                    <m:sty m:val="p"/>
                  </m:rPr>
                  <m:t>9</m:t>
                </m:r>
                <m:r>
                  <m:rPr>
                    <m:sty m:val="p"/>
                  </m:rPr>
                  <m:t>,</m:t>
                </m:r>
                <m:r>
                  <m:rPr>
                    <m:sty m:val="p"/>
                  </m:rPr>
                  <m:t>109</m:t>
                </m:r>
                <m:r>
                  <m:rPr>
                    <m:sty m:val="p"/>
                  </m:rPr>
                  <m:t>×</m:t>
                </m:r>
                <m:sSup>
                  <m:sSupPr/>
                  <m:e>
                    <m:r>
                      <m:rPr>
                        <m:sty m:val="p"/>
                      </m:rPr>
                      <m:t>10</m:t>
                    </m:r>
                  </m:e>
                  <m:sup>
                    <m:r>
                      <m:rPr>
                        <m:sty m:val="p"/>
                      </m:rPr>
                      <m:t>−</m:t>
                    </m:r>
                    <m:r>
                      <m:rPr>
                        <m:sty m:val="p"/>
                      </m:rPr>
                      <m:t>31</m:t>
                    </m:r>
                  </m:sup>
                </m:sSup>
                <m:r>
                  <m:rPr>
                    <m:nor/>
                  </m:rPr>
                  <m:t xml:space="preserve"> </m:t>
                </m:r>
                <m:r>
                  <m:rPr>
                    <m:sty m:val="p"/>
                  </m:rPr>
                  <m:t>kg</m:t>
                </m:r>
              </m:e>
            </m:mr>
            <m:mr>
              <m:e>
                <m:r>
                  <m:rPr>
                    <m:nor/>
                  </m:rPr>
                  <m:t> Permittivité du vide : </m:t>
                </m:r>
              </m:e>
              <m:e>
                <m:sSub>
                  <m:sSubPr/>
                  <m:e>
                    <m:r>
                      <m:rPr>
                        <m:sty m:val="i"/>
                      </m:rPr>
                      <m:t>ε</m:t>
                    </m:r>
                  </m:e>
                  <m:sub>
                    <m:r>
                      <m:rPr>
                        <m:sty m:val="p"/>
                      </m:rPr>
                      <m:t>0</m:t>
                    </m:r>
                  </m:sub>
                </m:sSub>
                <m:r>
                  <m:rPr>
                    <m:sty m:val="p"/>
                  </m:rPr>
                  <m:t>=</m:t>
                </m:r>
                <m:r>
                  <m:rPr>
                    <m:sty m:val="p"/>
                  </m:rPr>
                  <m:t>8</m:t>
                </m:r>
                <m:r>
                  <m:rPr>
                    <m:sty m:val="p"/>
                  </m:rPr>
                  <m:t>,</m:t>
                </m:r>
                <m:r>
                  <m:rPr>
                    <m:sty m:val="p"/>
                  </m:rPr>
                  <m:t>85</m:t>
                </m:r>
                <m:r>
                  <m:rPr>
                    <m:sty m:val="p"/>
                  </m:rPr>
                  <m:t>×</m:t>
                </m:r>
                <m:sSup>
                  <m:sSupPr/>
                  <m:e>
                    <m:r>
                      <m:rPr>
                        <m:sty m:val="p"/>
                      </m:rPr>
                      <m:t>10</m:t>
                    </m:r>
                  </m:e>
                  <m:sup>
                    <m:r>
                      <m:rPr>
                        <m:sty m:val="p"/>
                      </m:rPr>
                      <m:t>−</m:t>
                    </m:r>
                    <m:r>
                      <m:rPr>
                        <m:sty m:val="p"/>
                      </m:rPr>
                      <m:t>12</m:t>
                    </m:r>
                  </m:sup>
                </m:sSup>
                <m:r>
                  <m:rPr>
                    <m:nor/>
                  </m:rPr>
                  <m:t xml:space="preserve"> </m:t>
                </m:r>
                <m:r>
                  <m:rPr>
                    <m:sty m:val="p"/>
                  </m:rPr>
                  <m:t>F</m:t>
                </m:r>
                <m:r>
                  <m:rPr>
                    <m:sty m:val="p"/>
                  </m:rPr>
                  <m:t>⋅</m:t>
                </m:r>
                <m:sSup>
                  <m:sSupPr/>
                  <m:e>
                    <m:r>
                      <m:rPr>
                        <m:nor/>
                      </m:rPr>
                      <m:t xml:space="preserve"> </m:t>
                    </m:r>
                    <m:r>
                      <m:rPr>
                        <m:sty m:val="p"/>
                      </m:rPr>
                      <m:t>m</m:t>
                    </m:r>
                  </m:e>
                  <m:sup>
                    <m:r>
                      <m:rPr>
                        <m:sty m:val="p"/>
                      </m:rPr>
                      <m:t>−</m:t>
                    </m:r>
                    <m:r>
                      <m:rPr>
                        <m:sty m:val="p"/>
                      </m:rPr>
                      <m:t>1</m:t>
                    </m:r>
                  </m:sup>
                </m:sSup>
              </m:e>
            </m:mr>
          </m:m>
        </m:oMath>
      </m:oMathPara>
    </w:p>
    <w:p>
      <w:pPr>
        <w:spacing w:line="271" w:before="330" w:lineRule="auto"/>
      </w:pPr>
      <w:r>
        <w:rPr>
          <w:rFonts w:eastAsia="Georgia" w:cs="Georgia" w:ascii="Georgia" w:hAnsi="Georgia"/>
          <w:b/>
          <w:sz w:val="42"/>
        </w:rPr>
        <w:t xml:space="preserve">Troisième loi de Kepler :</w:t>
      </w:r>
    </w:p>
    <w:p>
      <w:pPr>
        <w:spacing w:after="220" w:lineRule="auto"/>
      </w:pPr>
      <m:oMathPara>
        <m:oMath>
          <m:f>
            <m:fPr>
              <m:ctrlPr>
                <w:rPr>
                  <w:rFonts w:ascii="Cambria Math" w:hAnsi="Cambria Math"/>
                </w:rPr>
              </m:ctrlPr>
            </m:fPr>
            <m:num>
              <m:sSup>
                <m:sSupPr/>
                <m:e>
                  <m:r>
                    <m:rPr>
                      <m:sty m:val="i"/>
                    </m:rPr>
                    <m:t>T</m:t>
                  </m:r>
                </m:e>
                <m:sup>
                  <m:r>
                    <m:rPr>
                      <m:sty m:val="p"/>
                    </m:rPr>
                    <m:t>2</m:t>
                  </m:r>
                </m:sup>
              </m:sSup>
            </m:num>
            <m:den>
              <m:sSup>
                <m:sSupPr/>
                <m:e>
                  <m:r>
                    <m:rPr>
                      <m:sty m:val="i"/>
                    </m:rPr>
                    <m:t>a</m:t>
                  </m:r>
                </m:e>
                <m:sup>
                  <m:r>
                    <m:rPr>
                      <m:sty m:val="p"/>
                    </m:rPr>
                    <m:t>3</m:t>
                  </m:r>
                </m:sup>
              </m:sSup>
            </m:den>
          </m:f>
          <m:r>
            <m:rPr>
              <m:sty m:val="p"/>
            </m:rPr>
            <m:t>=</m:t>
          </m:r>
          <m:f>
            <m:fPr>
              <m:ctrlPr>
                <w:rPr>
                  <w:rFonts w:ascii="Cambria Math" w:hAnsi="Cambria Math"/>
                </w:rPr>
              </m:ctrlPr>
            </m:fPr>
            <m:num>
              <m:r>
                <m:rPr>
                  <m:sty m:val="p"/>
                </m:rPr>
                <m:t>4</m:t>
              </m:r>
              <m:sSup>
                <m:sSupPr/>
                <m:e>
                  <m:r>
                    <m:rPr>
                      <m:sty m:val="i"/>
                    </m:rPr>
                    <m:t>π</m:t>
                  </m:r>
                </m:e>
                <m:sup>
                  <m:r>
                    <m:rPr>
                      <m:sty m:val="p"/>
                    </m:rPr>
                    <m:t>2</m:t>
                  </m:r>
                </m:sup>
              </m:sSup>
            </m:num>
            <m:den>
              <m:r>
                <m:rPr>
                  <m:sty m:val="i"/>
                </m:rPr>
                <m:t>G</m:t>
              </m:r>
              <m:sSub>
                <m:sSubPr/>
                <m:e>
                  <m:r>
                    <m:rPr>
                      <m:sty m:val="i"/>
                    </m:rPr>
                    <m:t>M</m:t>
                  </m:r>
                </m:e>
                <m:sub>
                  <m:r>
                    <m:rPr>
                      <m:sty m:val="i"/>
                    </m:rPr>
                    <m:t>T</m:t>
                  </m:r>
                </m:sub>
              </m:sSub>
            </m:den>
          </m:f>
          <m:r>
            <m:rPr>
              <m:sty m:val="p"/>
            </m:rPr>
            <m:t>,</m:t>
          </m:r>
        </m:oMath>
      </m:oMathPara>
    </w:p>
    <w:p>
      <w:pPr>
        <w:spacing w:after="220" w:lineRule="auto"/>
      </w:pPr>
      <w:r>
        <w:rPr>
          <w:rFonts w:eastAsia="Georgia" w:cs="Georgia" w:ascii="Georgia" w:hAnsi="Georgia"/>
        </w:rPr>
        <w:t xml:space="preserve">où </w:t>
      </w:r>
      <m:oMath>
        <m:r>
          <m:rPr>
            <m:sty m:val="i"/>
          </m:rPr>
          <m:t>T</m:t>
        </m:r>
      </m:oMath>
      <w:r>
        <w:rPr>
          <w:rFonts w:eastAsia="Georgia" w:cs="Georgia" w:ascii="Georgia" w:hAnsi="Georgia"/>
        </w:rPr>
        <w:t xml:space="preserve"> est la période révolution et </w:t>
      </w:r>
      <m:oMath>
        <m:r>
          <m:rPr>
            <m:sty m:val="i"/>
          </m:rPr>
          <m:t>a</m:t>
        </m:r>
      </m:oMath>
      <w:r>
        <w:rPr/>
        <w:t xml:space="preserve"> le demi-grand axe de l'ellipse.</w:t>
      </w:r>
    </w:p>
    <w:p>
      <w:pPr>
        <w:spacing w:line="271" w:before="330" w:lineRule="auto"/>
      </w:pPr>
      <w:r>
        <w:rPr>
          <w:rFonts w:eastAsia="Georgia" w:cs="Georgia" w:ascii="Georgia" w:hAnsi="Georgia"/>
          <w:b/>
          <w:sz w:val="42"/>
        </w:rPr>
        <w:t xml:space="preserve">Opérateurs différentiels :</w:t>
      </w:r>
    </w:p>
    <w:p>
      <w:pPr>
        <w:spacing w:after="220" w:lineRule="auto"/>
      </w:pPr>
      <m:oMathPara>
        <m:oMath>
          <m:acc>
            <m:accPr>
              <m:chr m:val="⃗"/>
            </m:accPr>
            <m:e>
              <m:r>
                <m:rPr>
                  <m:sty m:val="p"/>
                </m:rPr>
                <m:t>rot</m:t>
              </m:r>
            </m:e>
          </m:acc>
          <m:r>
            <m:rPr>
              <m:sty m:val="p"/>
            </m:rPr>
            <m:t>(</m:t>
          </m:r>
          <m:acc>
            <m:accPr>
              <m:chr m:val="⃗"/>
            </m:accPr>
            <m:e>
              <m:r>
                <m:rPr>
                  <m:sty m:val="p"/>
                </m:rPr>
                <m:t>rot</m:t>
              </m:r>
            </m:e>
          </m:acc>
          <m:acc>
            <m:accPr>
              <m:chr m:val="⃗"/>
            </m:accPr>
            <m:e>
              <m:r>
                <m:rPr>
                  <m:sty m:val="i"/>
                </m:rPr>
                <m:t>A</m:t>
              </m:r>
            </m:e>
          </m:acc>
          <m:r>
            <m:rPr>
              <m:sty m:val="p"/>
            </m:rPr>
            <m:t>)</m:t>
          </m:r>
          <m:r>
            <m:rPr>
              <m:sty m:val="p"/>
            </m:rPr>
            <m:t>=</m:t>
          </m:r>
          <m:acc>
            <m:accPr>
              <m:chr m:val="⃗"/>
            </m:accPr>
            <m:e>
              <m:r>
                <m:rPr>
                  <m:sty m:val="p"/>
                </m:rPr>
                <m:t>grad</m:t>
              </m:r>
            </m:e>
          </m:acc>
          <m:r>
            <m:rPr>
              <m:sty m:val="p"/>
            </m:rPr>
            <m:t>(</m:t>
          </m:r>
          <m:r>
            <m:rPr>
              <m:sty m:val="p"/>
            </m:rPr>
            <m:t>div</m:t>
          </m:r>
          <m:acc>
            <m:accPr>
              <m:chr m:val="⃗"/>
            </m:accPr>
            <m:e>
              <m:r>
                <m:rPr>
                  <m:sty m:val="i"/>
                </m:rPr>
                <m:t>A</m:t>
              </m:r>
            </m:e>
          </m:acc>
          <m:r>
            <m:rPr>
              <m:sty m:val="p"/>
            </m:rPr>
            <m:t>)</m:t>
          </m:r>
          <m:r>
            <m:rPr>
              <m:sty m:val="p"/>
            </m:rPr>
            <m:t>−</m:t>
          </m:r>
          <m:acc>
            <m:accPr>
              <m:chr m:val="⃗"/>
            </m:accPr>
            <m:e>
              <m:r>
                <m:rPr>
                  <m:sty m:val="p"/>
                </m:rPr>
                <m:t>Δ</m:t>
              </m:r>
            </m:e>
          </m:acc>
          <m:acc>
            <m:accPr>
              <m:chr m:val="⃗"/>
            </m:accPr>
            <m:e>
              <m:r>
                <m:rPr>
                  <m:sty m:val="i"/>
                </m:rPr>
                <m:t>A</m:t>
              </m:r>
            </m:e>
          </m:acc>
          <m:r>
            <m:rPr>
              <m:sty m:val="p"/>
            </m:rPr>
            <m:t>.</m:t>
          </m:r>
        </m:oMath>
      </m:oMathPara>
    </w:p>
    <w:p>
      <w:pPr>
        <w:spacing w:after="220" w:lineRule="auto"/>
      </w:pPr>
      <w:r>
        <w:rPr>
          <w:rFonts w:eastAsia="Georgia" w:cs="Georgia" w:ascii="Georgia" w:hAnsi="Georgia"/>
        </w:rPr>
        <w:t xml:space="preserve">Développements limités :</w:t>
      </w:r>
    </w:p>
    <w:p>
      <w:pPr>
        <w:spacing w:after="220" w:lineRule="auto"/>
      </w:pPr>
      <m:oMathPara>
        <m:oMath>
          <m:rad>
            <m:radPr>
              <m:degHide m:val="1"/>
              <m:ctrlPr>
                <w:rPr>
                  <w:rFonts w:ascii="Cambria Math" w:hAnsi="Cambria Math"/>
                </w:rPr>
              </m:ctrlPr>
            </m:radPr>
            <m:deg/>
            <m:e>
              <m:r>
                <m:rPr>
                  <m:sty m:val="p"/>
                </m:rPr>
                <m:t>1</m:t>
              </m:r>
              <m:r>
                <m:rPr>
                  <m:sty m:val="p"/>
                </m:rPr>
                <m:t>−</m:t>
              </m:r>
              <m:r>
                <m:rPr>
                  <m:sty m:val="i"/>
                </m:rPr>
                <m:t>ϵ</m:t>
              </m:r>
            </m:e>
          </m:rad>
          <m:r>
            <m:rPr>
              <m:sty m:val="p"/>
            </m:rPr>
            <m:t>≃</m:t>
          </m:r>
          <m:r>
            <m:rPr>
              <m:sty m:val="p"/>
            </m:rPr>
            <m:t>1</m:t>
          </m:r>
          <m:r>
            <m:rPr>
              <m:sty m:val="p"/>
            </m:rPr>
            <m:t>−</m:t>
          </m:r>
          <m:f>
            <m:fPr>
              <m:ctrlPr>
                <w:rPr>
                  <w:rFonts w:ascii="Cambria Math" w:hAnsi="Cambria Math"/>
                </w:rPr>
              </m:ctrlPr>
            </m:fPr>
            <m:num>
              <m:r>
                <m:rPr>
                  <m:sty m:val="i"/>
                </m:rPr>
                <m:t>ϵ</m:t>
              </m:r>
            </m:num>
            <m:den>
              <m:r>
                <m:rPr>
                  <m:sty m:val="p"/>
                </m:rPr>
                <m:t>2</m:t>
              </m:r>
            </m:den>
          </m:f>
          <m:r>
            <m:rPr>
              <m:sty m:val="p"/>
            </m:rPr>
            <m:t xml:space="preserve"> </m:t>
          </m:r>
          <m:r>
            <m:rPr>
              <m:sty m:val="p"/>
            </m:rPr>
            <m:t>;</m:t>
          </m:r>
          <m:r>
            <m:rPr>
              <m:sty m:val="p"/>
            </m:rPr>
            <m:t xml:space="preserve"> </m:t>
          </m:r>
          <m:f>
            <m:fPr>
              <m:ctrlPr>
                <w:rPr>
                  <w:rFonts w:ascii="Cambria Math" w:hAnsi="Cambria Math"/>
                </w:rPr>
              </m:ctrlPr>
            </m:fPr>
            <m:num>
              <m:r>
                <m:rPr>
                  <m:sty m:val="p"/>
                </m:rPr>
                <m:t>1</m:t>
              </m:r>
            </m:num>
            <m:den>
              <m:rad>
                <m:radPr>
                  <m:degHide m:val="1"/>
                  <m:ctrlPr>
                    <w:rPr>
                      <w:rFonts w:ascii="Cambria Math" w:hAnsi="Cambria Math"/>
                    </w:rPr>
                  </m:ctrlPr>
                </m:radPr>
                <m:deg/>
                <m:e>
                  <m:r>
                    <m:rPr>
                      <m:sty m:val="p"/>
                    </m:rPr>
                    <m:t>1</m:t>
                  </m:r>
                  <m:r>
                    <m:rPr>
                      <m:sty m:val="p"/>
                    </m:rPr>
                    <m:t>−</m:t>
                  </m:r>
                  <m:r>
                    <m:rPr>
                      <m:sty m:val="i"/>
                    </m:rPr>
                    <m:t>ϵ</m:t>
                  </m:r>
                </m:e>
              </m:rad>
            </m:den>
          </m:f>
          <m:r>
            <m:rPr>
              <m:sty m:val="p"/>
            </m:rPr>
            <m:t>≃</m:t>
          </m:r>
          <m:r>
            <m:rPr>
              <m:sty m:val="p"/>
            </m:rPr>
            <m:t>1</m:t>
          </m:r>
          <m:r>
            <m:rPr>
              <m:sty m:val="p"/>
            </m:rPr>
            <m:t>+</m:t>
          </m:r>
          <m:f>
            <m:fPr>
              <m:ctrlPr>
                <w:rPr>
                  <w:rFonts w:ascii="Cambria Math" w:hAnsi="Cambria Math"/>
                </w:rPr>
              </m:ctrlPr>
            </m:fPr>
            <m:num>
              <m:r>
                <m:rPr>
                  <m:sty m:val="i"/>
                </m:rPr>
                <m:t>ϵ</m:t>
              </m:r>
            </m:num>
            <m:den>
              <m:r>
                <m:rPr>
                  <m:sty m:val="p"/>
                </m:rPr>
                <m:t>2</m:t>
              </m:r>
            </m:den>
          </m:f>
          <m:r>
            <m:rPr>
              <m:sty m:val="p"/>
            </m:rPr>
            <m:t>.</m:t>
          </m:r>
        </m:oMath>
      </m:oMathPara>
    </w:p>
    <w:p>
      <w:pPr>
        <w:spacing w:line="271" w:before="330" w:lineRule="auto"/>
      </w:pPr>
      <w:r>
        <w:rPr>
          <w:b/>
          <w:sz w:val="42"/>
        </w:rPr>
        <w:t xml:space="preserve">PARTIE CHIMIE</w:t>
      </w:r>
    </w:p>
    <w:p>
      <w:pPr>
        <w:spacing w:after="220" w:lineRule="auto"/>
      </w:pPr>
      <w:r>
        <w:rPr>
          <w:rFonts w:eastAsia="Georgia" w:cs="Georgia" w:ascii="Georgia" w:hAnsi="Georgia"/>
        </w:rPr>
        <w:t xml:space="preserve">L'hydrogène est l'élément le plus abondant et représente </w:t>
      </w:r>
      <m:oMath>
        <m:r>
          <m:rPr>
            <m:sty m:val="p"/>
          </m:rPr>
          <m:t>75</m:t>
        </m:r>
        <m:r>
          <m:rPr>
            <m:sty m:val="p"/>
          </m:rPr>
          <m:t>%</m:t>
        </m:r>
      </m:oMath>
      <w:r>
        <w:rPr>
          <w:rFonts w:eastAsia="Georgia" w:cs="Georgia" w:ascii="Georgia" w:hAnsi="Georgia"/>
        </w:rPr>
        <w:t xml:space="preserve"> du contenu détectable de l'Univers. Le mot «hydrogène» provient des termes grecs « hudôr » et « gennen » signifiant «qui génère de l'eau ». Le dihydrogène a été isolé pour la première fois au XVII </w:t>
      </w:r>
      <m:oMath>
        <m:sSup>
          <m:sSupPr/>
          <m:e>
            <m:r>
              <m:t xml:space="preserve"> </m:t>
            </m:r>
          </m:e>
          <m:sup>
            <m:r>
              <m:rPr>
                <m:nor/>
              </m:rPr>
              <m:t>ème </m:t>
            </m:r>
          </m:sup>
        </m:sSup>
      </m:oMath>
      <w:r>
        <w:rPr>
          <w:rFonts w:eastAsia="Georgia" w:cs="Georgia" w:ascii="Georgia" w:hAnsi="Georgia"/>
        </w:rPr>
        <w:t xml:space="preserve"> siècle par le scientifique anglais Henry Cavendish. Ce corps simple, plus léger que l'air, a été utilisé pour faire voler des dirigeables au début du XX </w:t>
      </w:r>
      <m:oMath>
        <m:sSup>
          <m:sSupPr/>
          <m:e>
            <m:r>
              <m:t xml:space="preserve"> </m:t>
            </m:r>
          </m:e>
          <m:sup>
            <m:r>
              <m:rPr>
                <m:nor/>
              </m:rPr>
              <m:t>ème </m:t>
            </m:r>
          </m:sup>
        </m:sSup>
      </m:oMath>
      <w:r>
        <w:rPr>
          <w:rFonts w:eastAsia="Georgia" w:cs="Georgia" w:ascii="Georgia" w:hAnsi="Georgia"/>
        </w:rPr>
        <w:t xml:space="preserve"> siècle, mais l'incendie du LZ </w:t>
      </w:r>
      <m:oMath>
        <m:sSub>
          <m:sSubPr/>
          <m:e>
            <m:r>
              <m:t xml:space="preserve"> </m:t>
            </m:r>
          </m:e>
          <m:sub>
            <m:r>
              <m:rPr>
                <m:sty m:val="p"/>
              </m:rPr>
              <m:t>129</m:t>
            </m:r>
          </m:sub>
        </m:sSub>
      </m:oMath>
      <w:r>
        <w:rPr>
          <w:rFonts w:eastAsia="Georgia" w:cs="Georgia" w:ascii="Georgia" w:hAnsi="Georgia"/>
        </w:rPr>
        <w:t xml:space="preserve"> Hidenbourg en 1937 a mis fin à l'emploi de ces moyens de transport. Actuellement, cette molécule est étudiée comme vecteur d'énergie verte en remplacement des combustibles fossiles.</w:t>
      </w:r>
    </w:p>
    <w:p>
      <w:pPr>
        <w:spacing w:after="220" w:lineRule="auto"/>
      </w:pPr>
      <w:r>
        <w:rPr>
          <w:rFonts w:eastAsia="Georgia" w:cs="Georgia" w:ascii="Georgia" w:hAnsi="Georgia"/>
        </w:rPr>
        <w:t xml:space="preserve">Ce sujet est constitué de différentes parties largement indépendants permettant d'aborder différents aspects de la chimie du dihydrogène.</w:t>
      </w:r>
    </w:p>
    <w:p>
      <w:pPr>
        <w:spacing w:line="271" w:before="330" w:lineRule="auto"/>
      </w:pPr>
      <w:r>
        <w:rPr>
          <w:rFonts w:eastAsia="Georgia" w:cs="Georgia" w:ascii="Georgia" w:hAnsi="Georgia"/>
          <w:b/>
          <w:sz w:val="42"/>
        </w:rPr>
        <w:t xml:space="preserve">Problématiques énergétiques</w:t>
      </w:r>
    </w:p>
    <w:p>
      <w:pPr>
        <w:spacing w:line="271" w:before="330" w:lineRule="auto"/>
      </w:pPr>
      <w:r>
        <w:rPr>
          <w:rFonts w:eastAsia="Georgia" w:cs="Georgia" w:ascii="Georgia" w:hAnsi="Georgia"/>
          <w:b/>
          <w:sz w:val="42"/>
        </w:rPr>
        <w:t xml:space="preserve">A. Le dihydrogène, un vecteur d'énergie verte </w:t>
      </w:r>
      <m:oMath>
        <m:sSup>
          <m:sSupPr>
            <m:ctrlPr>
              <w:rPr>
                <w:rFonts w:ascii="Cambria Math" w:hAnsi="Cambria Math"/>
                <w:sz w:val="42"/>
              </w:rPr>
            </m:ctrlPr>
          </m:sSupPr>
          <m:e>
            <m:r>
              <m:t xml:space="preserve"> </m:t>
            </m:r>
          </m:e>
          <m:sup>
            <m:r>
              <m:rPr>
                <m:sty m:val="p"/>
              </m:rPr>
              <w:rPr>
                <w:sz w:val="42"/>
              </w:rPr>
              <m:t>1</m:t>
            </m:r>
          </m:sup>
        </m:sSup>
      </m:oMath>
    </w:p>
    <w:p>
      <w:pPr>
        <w:spacing w:after="220" w:lineRule="auto"/>
      </w:pPr>
      <w:r>
        <w:rPr>
          <w:rFonts w:eastAsia="Georgia" w:cs="Georgia" w:ascii="Georgia" w:hAnsi="Georgia"/>
        </w:rPr>
        <w:t xml:space="preserve">Nous nous intéresserons dans cette première partie au couplage entre une pile à combustible et un électrolyseur (document 1). L'étude de ce système combiné a pour objectif d'appréhender les problématiques de production et d'utilisation du dihydrogène comme source d'énergie.</w:t>
      </w:r>
    </w:p>
    <w:p>
      <w:pPr>
        <w:spacing w:after="220" w:lineRule="auto"/>
      </w:pPr>
      <w:r>
        <w:rPr>
          <w:rFonts w:eastAsia="Georgia" w:cs="Georgia" w:ascii="Georgia" w:hAnsi="Georgia"/>
        </w:rPr>
        <w:t xml:space="preserve">Étude d'un dispositif expérimental de laboratoire</w:t>
      </w:r>
      <w:r>
        <w:rPr/>
        <w:br w:type="textWrapping"/>
      </w:r>
      <w:r>
        <w:rPr>
          <w:rFonts w:eastAsia="Georgia" w:cs="Georgia" w:ascii="Georgia" w:hAnsi="Georgia"/>
        </w:rPr>
        <w:t xml:space="preserve">Q32 - Écrire les demi-équations de réaction associées aux couples </w:t>
      </w:r>
      <m:oMath>
        <m:sSup>
          <m:sSupPr/>
          <m:e>
            <m:r>
              <m:rPr>
                <m:sty m:val="p"/>
              </m:rPr>
              <m:t>H</m:t>
            </m:r>
          </m:e>
          <m:sup>
            <m:r>
              <m:rPr>
                <m:sty m:val="p"/>
              </m:rPr>
              <m:t>+</m:t>
            </m:r>
          </m:sup>
        </m:sSup>
        <m:sSub>
          <m:sSubPr/>
          <m:e>
            <m:r>
              <m:t xml:space="preserve"> </m:t>
            </m:r>
          </m:e>
          <m:sub>
            <m:r>
              <m:rPr>
                <m:sty m:val="p"/>
              </m:rPr>
              <m:t>(</m:t>
            </m:r>
            <m:r>
              <m:rPr>
                <m:sty m:val="p"/>
              </m:rPr>
              <m:t>aq</m:t>
            </m:r>
            <m:r>
              <m:rPr>
                <m:sty m:val="p"/>
              </m:rPr>
              <m:t>)</m:t>
            </m:r>
          </m:sub>
        </m:sSub>
        <m:r>
          <m:rPr>
            <m:sty m:val="p"/>
          </m:rPr>
          <m:t>/</m:t>
        </m:r>
        <m:sSub>
          <m:sSubPr/>
          <m:e>
            <m:r>
              <m:rPr>
                <m:sty m:val="p"/>
              </m:rPr>
              <m:t>H</m:t>
            </m:r>
          </m:e>
          <m:sub>
            <m:r>
              <m:rPr>
                <m:sty m:val="p"/>
              </m:rPr>
              <m:t>2</m:t>
            </m:r>
          </m:sub>
        </m:sSub>
        <m:sSub>
          <m:sSubPr/>
          <m:e>
            <m:r>
              <m:t xml:space="preserve"> </m:t>
            </m:r>
          </m:e>
          <m:sub>
            <m:r>
              <m:rPr>
                <m:sty m:val="p"/>
              </m:rPr>
              <m:t>(</m:t>
            </m:r>
            <m:r>
              <m:rPr>
                <m:sty m:val="p"/>
              </m:rPr>
              <m:t>g</m:t>
            </m:r>
            <m:r>
              <m:rPr>
                <m:sty m:val="p"/>
              </m:rPr>
              <m:t>)</m:t>
            </m:r>
          </m:sub>
        </m:sSub>
      </m:oMath>
      <w:r>
        <w:rPr/>
        <w:t xml:space="preserve"> et </w:t>
      </w:r>
      <m:oMath>
        <m:sSub>
          <m:sSubPr/>
          <m:e>
            <m:r>
              <m:rPr>
                <m:sty m:val="p"/>
              </m:rPr>
              <m:t>O</m:t>
            </m:r>
          </m:e>
          <m:sub>
            <m:r>
              <m:rPr>
                <m:sty m:val="p"/>
              </m:rPr>
              <m:t>2</m:t>
            </m:r>
          </m:sub>
        </m:sSub>
        <m:sSub>
          <m:sSubPr/>
          <m:e>
            <m:r>
              <m:t xml:space="preserve"> </m:t>
            </m:r>
          </m:e>
          <m:sub>
            <m:r>
              <m:rPr>
                <m:sty m:val="p"/>
              </m:rPr>
              <m:t>(</m:t>
            </m:r>
            <m:r>
              <m:rPr>
                <m:sty m:val="p"/>
              </m:rPr>
              <m:t>g</m:t>
            </m:r>
            <m:r>
              <m:rPr>
                <m:sty m:val="p"/>
              </m:rPr>
              <m:t>)</m:t>
            </m:r>
          </m:sub>
        </m:sSub>
        <m:r>
          <m:rPr>
            <m:sty m:val="p"/>
          </m:rPr>
          <m:t>/</m:t>
        </m:r>
        <m:sSub>
          <m:sSubPr/>
          <m:e>
            <m:r>
              <m:rPr>
                <m:sty m:val="p"/>
              </m:rPr>
              <m:t>H</m:t>
            </m:r>
          </m:e>
          <m:sub>
            <m:r>
              <m:rPr>
                <m:sty m:val="p"/>
              </m:rPr>
              <m:t>2</m:t>
            </m:r>
          </m:sub>
        </m:sSub>
        <m:sSub>
          <m:sSubPr/>
          <m:e>
            <m:r>
              <m:rPr>
                <m:sty m:val="p"/>
              </m:rPr>
              <m:t>O</m:t>
            </m:r>
          </m:e>
          <m:sub>
            <m:r>
              <m:rPr>
                <m:sty m:val="p"/>
              </m:rPr>
              <m:t>(</m:t>
            </m:r>
            <m:r>
              <m:rPr>
                <m:sty m:val="p"/>
              </m:rPr>
              <m:t>l</m:t>
            </m:r>
            <m:r>
              <m:rPr>
                <m:sty m:val="p"/>
              </m:rPr>
              <m:t>)</m:t>
            </m:r>
          </m:sub>
        </m:sSub>
      </m:oMath>
      <w:r>
        <w:rPr/>
        <w:t xml:space="preserve">.</w:t>
      </w:r>
      <w:r>
        <w:rPr/>
        <w:br w:type="textWrapping"/>
      </w:r>
      <w:r>
        <w:rPr>
          <w:rFonts w:eastAsia="Georgia" w:cs="Georgia" w:ascii="Georgia" w:hAnsi="Georgia"/>
        </w:rPr>
        <w:t xml:space="preserve">Q33 - Écrire l'équation de réaction associée au fonctionnement de la pile à combustible et celle associée au fonctionnement de l'électrolyseur. À partir du document 1, déduire quel composé joue le rôle de comburant pour la pile ? de combustible ?</w:t>
      </w:r>
    </w:p>
    <w:p>
      <w:pPr>
        <w:spacing w:after="220" w:lineRule="auto"/>
      </w:pPr>
      <w:r>
        <w:rPr>
          <w:rFonts w:eastAsia="Georgia" w:cs="Georgia" w:ascii="Georgia" w:hAnsi="Georgia"/>
        </w:rPr>
        <w:t xml:space="preserve">Q34 - Compléter le schéma du dispositif expérimental présenté dans le document 1 en indiquant :</w:t>
      </w:r>
    </w:p>
    <w:p>
      <w:pPr>
        <w:numPr>
          <w:ilvl w:val="0"/>
          <w:numId w:val="5"/>
        </w:numPr>
        <w:spacing w:lineRule="auto"/>
      </w:pPr>
      <w:r>
        <w:rPr>
          <w:rFonts w:eastAsia="Georgia" w:cs="Georgia" w:ascii="Georgia" w:hAnsi="Georgia"/>
        </w:rPr>
        <w:t xml:space="preserve">les espèces réagissant aux électrodes ;</w:t>
      </w:r>
    </w:p>
    <w:p>
      <w:pPr>
        <w:numPr>
          <w:ilvl w:val="0"/>
          <w:numId w:val="5"/>
        </w:numPr>
        <w:spacing w:lineRule="auto"/>
      </w:pPr>
      <w:r>
        <w:rPr>
          <w:rFonts w:eastAsia="Georgia" w:cs="Georgia" w:ascii="Georgia" w:hAnsi="Georgia"/>
        </w:rPr>
        <w:t xml:space="preserve">la polarité de chaque électrode tout en précisant si elle joue le rôle de cathode ou d'anode ;</w:t>
      </w:r>
    </w:p>
    <w:p>
      <w:pPr>
        <w:numPr>
          <w:ilvl w:val="0"/>
          <w:numId w:val="5"/>
        </w:numPr>
        <w:spacing w:lineRule="auto"/>
      </w:pPr>
      <w:r>
        <w:rPr>
          <w:rFonts w:eastAsia="Georgia" w:cs="Georgia" w:ascii="Georgia" w:hAnsi="Georgia"/>
        </w:rPr>
        <w:t xml:space="preserve">la nature des porteurs de charge dans les électrolytes ainsi que la nature et le sens de circulation des porteurs de charge dans les fils électriques;</w:t>
      </w:r>
    </w:p>
    <w:p>
      <w:pPr>
        <w:numPr>
          <w:ilvl w:val="0"/>
          <w:numId w:val="5"/>
        </w:numPr>
        <w:spacing w:lineRule="auto"/>
      </w:pPr>
      <w:r>
        <w:rPr>
          <w:rFonts w:eastAsia="Georgia" w:cs="Georgia" w:ascii="Georgia" w:hAnsi="Georgia"/>
        </w:rPr>
        <w:t xml:space="preserve">les tensions (notées </w:t>
      </w:r>
      <m:oMath>
        <m:sSub>
          <m:sSubPr/>
          <m:e>
            <m:r>
              <m:rPr>
                <m:sty m:val="p"/>
              </m:rPr>
              <m:t>U</m:t>
            </m:r>
          </m:e>
          <m:sub>
            <m:r>
              <m:rPr>
                <m:sty m:val="p"/>
              </m:rPr>
              <m:t>e</m:t>
            </m:r>
          </m:sub>
        </m:sSub>
      </m:oMath>
      <w:r>
        <w:rPr/>
        <w:t xml:space="preserve"> et </w:t>
      </w:r>
      <m:oMath>
        <m:sSub>
          <m:sSubPr/>
          <m:e>
            <m:r>
              <m:rPr>
                <m:sty m:val="p"/>
              </m:rPr>
              <m:t>U</m:t>
            </m:r>
          </m:e>
          <m:sub>
            <m:r>
              <m:rPr>
                <m:sty m:val="p"/>
              </m:rPr>
              <m:t>p</m:t>
            </m:r>
          </m:sub>
        </m:sSub>
      </m:oMath>
      <w:r>
        <w:rPr>
          <w:rFonts w:eastAsia="Georgia" w:cs="Georgia" w:ascii="Georgia" w:hAnsi="Georgia"/>
        </w:rPr>
        <w:t xml:space="preserve"> respectivement pour l'électrolyseur et la pile) aux bornes de la résistance (convention récepteur) et du générateur (convention générateur).</w:t>
      </w:r>
    </w:p>
    <w:p>
      <w:pPr>
        <w:spacing w:line="271" w:before="330" w:lineRule="auto"/>
      </w:pPr>
      <w:r>
        <w:rPr>
          <w:b/>
          <w:sz w:val="42"/>
        </w:rPr>
        <w:t xml:space="preserve">Document 1</w:t>
      </w:r>
    </w:p>
    <w:p>
      <w:pPr>
        <w:spacing w:after="220" w:lineRule="auto"/>
      </w:pPr>
      <w:r>
        <w:rPr>
          <w:rFonts w:eastAsia="Georgia" w:cs="Georgia" w:ascii="Georgia" w:hAnsi="Georgia"/>
        </w:rPr>
        <w:t xml:space="preserve">Le système expérimental étudié est composé d'une cellule d'électrolyse alimentant en continu une pile à combustible en dihydrogène. Une telle pile peut donc, en théorie, fonctionner indéfiniment tant que l'on apporte le combustible à l'anode et le comburant à la cathode. Ci-après un schéma simplifié du dispositif.</w:t>
      </w:r>
    </w:p>
    <w:p>
      <w:pPr>
        <w:spacing w:after="220" w:lineRule="auto"/>
      </w:pPr>
      <w:r>
        <w:rPr>
          <w:rFonts w:eastAsia="Georgia" w:cs="Georgia" w:ascii="Georgia" w:hAnsi="Georgia"/>
        </w:rPr>
        <w:t xml:space="preserve">Les deux cellules électrochimiques sont séparées par un réservoir à eau à deux compartiments permettant de réguler, à l'aide de vannes, le flux de dihydrogène envoyé vers la pile. Elles possèdent</w:t>
      </w:r>
    </w:p>
    <w:p>
      <w:pPr>
        <w:spacing w:lineRule="auto"/>
      </w:pPr>
      <w:r>
        <w:rPr>
          <w:rFonts w:eastAsia="Georgia" w:cs="Georgia" w:ascii="Georgia" w:hAnsi="Georgia"/>
        </w:rPr>
        <w:t xml:space="preserve">toutes les deux comme «électrolyte» une membrane polymère échangeuse de protons appelée communément PEM (Proton Exchange Transfert).</w:t>
      </w:r>
      <w:r>
        <w:rPr/>
        <w:br w:type="textWrapping"/>
      </w:r>
    </w:p>
    <w:p>
      <w:pPr>
        <w:spacing w:lineRule="auto"/>
        <w:jc w:val="center"/>
      </w:pPr>
      <w:r>
        <w:rPr/>
        <w:drawing>
          <wp:inline distB="0" distL="0" distR="0" distT="0">
            <wp:extent cx="5486400" cy="2345331"/>
            <wp:effectExtent b="0" l="0" r="0" t="0"/>
            <wp:docPr id="9" name="image-e0ab92efe8afcd4be266ef2091a4e4214b1562d2.jpg"/>
            <a:graphic>
              <a:graphicData uri="http://schemas.openxmlformats.org/drawingml/2006/picture">
                <pic:pic>
                  <pic:nvPicPr>
                    <pic:cNvPr id="9" name="image-e0ab92efe8afcd4be266ef2091a4e4214b1562d2.jpg" descr=""/>
                    <pic:cNvPicPr/>
                  </pic:nvPicPr>
                  <pic:blipFill>
                    <a:blip r:embed="rId15" cstate="print"/>
                    <a:srcRect b="0" l="0" r="0" t="0"/>
                    <a:stretch>
                      <a:fillRect/>
                    </a:stretch>
                  </pic:blipFill>
                  <pic:spPr>
                    <a:xfrm>
                      <a:off x="0" y="0"/>
                      <a:ext cx="5486400" cy="2345331"/>
                    </a:xfrm>
                    <a:prstGeom prst="rect"/>
                  </pic:spPr>
                </pic:pic>
              </a:graphicData>
            </a:graphic>
          </wp:inline>
        </w:drawing>
      </w:r>
    </w:p>
    <w:p>
      <w:pPr>
        <w:spacing w:after="220" w:lineRule="auto"/>
      </w:pPr>
      <w:r>
        <w:rPr>
          <w:rFonts w:eastAsia="Georgia" w:cs="Georgia" w:ascii="Georgia" w:hAnsi="Georgia"/>
        </w:rPr>
        <w:t xml:space="preserve">La pile fonctionne en « respiration » : le dioxygène provient de l'air qui est en contact direct avec la cathode par le biais de perforations pratiquées dans le châssis côté cathodique. Le compartiment anodique est équipé d'un diffuseur poreux pour permettre au dihydrogène de se répartir uniformément sur toute la surface de l'anode.</w:t>
      </w:r>
    </w:p>
    <w:p>
      <w:pPr>
        <w:spacing w:after="220" w:lineRule="auto"/>
      </w:pPr>
      <w:r>
        <w:rPr>
          <w:rFonts w:eastAsia="Georgia" w:cs="Georgia" w:ascii="Georgia" w:hAnsi="Georgia"/>
        </w:rPr>
        <w:t xml:space="preserve">Étude spécifique de la cellule d'électrolyse</w:t>
      </w:r>
    </w:p>
    <w:p>
      <w:pPr>
        <w:spacing w:line="271" w:before="330" w:lineRule="auto"/>
      </w:pPr>
      <w:r>
        <w:rPr>
          <w:b/>
          <w:sz w:val="42"/>
        </w:rPr>
        <w:t xml:space="preserve">Document 2</w:t>
      </w:r>
    </w:p>
    <w:p>
      <w:pPr>
        <w:spacing w:after="220" w:lineRule="auto"/>
      </w:pPr>
      <w:r>
        <w:rPr>
          <w:rFonts w:eastAsia="Georgia" w:cs="Georgia" w:ascii="Georgia" w:hAnsi="Georgia"/>
        </w:rPr>
        <w:t xml:space="preserve">La courbe courant-potentiel de fonctionnement de la cellule d'électrolyse du dispositif expérimental est donnée ci-dessous. Les réactions d'oxydation et de réduction ont lieu à l'interface électrolyte/catalyseur au Pt.</w:t>
      </w:r>
      <w:r>
        <w:rPr/>
        <w:br w:type="textWrapping"/>
      </w:r>
    </w:p>
    <w:p>
      <w:pPr>
        <w:spacing w:lineRule="auto"/>
        <w:jc w:val="center"/>
      </w:pPr>
      <w:r>
        <w:rPr/>
        <w:drawing>
          <wp:inline distB="0" distL="0" distR="0" distT="0">
            <wp:extent cx="5486400" cy="2411137"/>
            <wp:effectExtent b="0" l="0" r="0" t="0"/>
            <wp:docPr id="10" name="image-e573a73894f076bd5f4d59b183a23972382ef883.jpg"/>
            <a:graphic>
              <a:graphicData uri="http://schemas.openxmlformats.org/drawingml/2006/picture">
                <pic:pic>
                  <pic:nvPicPr>
                    <pic:cNvPr id="10" name="image-e573a73894f076bd5f4d59b183a23972382ef883.jpg" descr=""/>
                    <pic:cNvPicPr/>
                  </pic:nvPicPr>
                  <pic:blipFill>
                    <a:blip r:embed="rId16" cstate="print"/>
                    <a:srcRect b="0" l="0" r="0" t="0"/>
                    <a:stretch>
                      <a:fillRect/>
                    </a:stretch>
                  </pic:blipFill>
                  <pic:spPr>
                    <a:xfrm>
                      <a:off x="0" y="0"/>
                      <a:ext cx="5486400" cy="2411137"/>
                    </a:xfrm>
                    <a:prstGeom prst="rect"/>
                  </pic:spPr>
                </pic:pic>
              </a:graphicData>
            </a:graphic>
          </wp:inline>
        </w:drawing>
      </w:r>
    </w:p>
    <w:p>
      <w:pPr>
        <w:spacing w:after="220" w:lineRule="auto"/>
      </w:pPr>
      <w:r>
        <w:rPr>
          <w:rFonts w:eastAsia="Georgia" w:cs="Georgia" w:ascii="Georgia" w:hAnsi="Georgia"/>
        </w:rPr>
        <w:t xml:space="preserve">Q35 - Justifier l'allure de la courbe courant-potentiel en complétant la figure du document 2. Préciser pourquoi on n'observe pas de plateau de diffusion pour les espèces électroactives.</w:t>
      </w:r>
    </w:p>
    <w:p>
      <w:pPr>
        <w:spacing w:after="220" w:lineRule="auto"/>
      </w:pPr>
      <w:r>
        <w:rPr>
          <w:rFonts w:eastAsia="Georgia" w:cs="Georgia" w:ascii="Georgia" w:hAnsi="Georgia"/>
        </w:rPr>
        <w:t xml:space="preserve">Q36 - Déterminer numériquement la constante d'équilibre </w:t>
      </w:r>
      <m:oMath>
        <m:sSub>
          <m:sSubPr/>
          <m:e>
            <m:r>
              <m:rPr>
                <m:sty m:val="p"/>
              </m:rPr>
              <m:t>K</m:t>
            </m:r>
          </m:e>
          <m:sub>
            <m:r>
              <m:rPr>
                <m:sty m:val="p"/>
              </m:rPr>
              <m:t>e</m:t>
            </m:r>
          </m:sub>
        </m:sSub>
        <m:r>
          <m:rPr>
            <m:sty m:val="p"/>
          </m:rPr>
          <m:t>(</m:t>
        </m:r>
        <m:r>
          <m:rPr>
            <m:sty m:val="p"/>
          </m:rPr>
          <m:t>298</m:t>
        </m:r>
        <m:r>
          <m:rPr>
            <m:nor/>
          </m:rPr>
          <m:t xml:space="preserve"> </m:t>
        </m:r>
        <m:r>
          <m:rPr>
            <m:sty m:val="p"/>
          </m:rPr>
          <m:t>K</m:t>
        </m:r>
        <m:r>
          <m:rPr>
            <m:sty m:val="p"/>
          </m:rPr>
          <m:t>)</m:t>
        </m:r>
      </m:oMath>
      <w:r>
        <w:rPr>
          <w:rFonts w:eastAsia="Georgia" w:cs="Georgia" w:ascii="Georgia" w:hAnsi="Georgia"/>
        </w:rPr>
        <w:t xml:space="preserve"> associée à la réaction de fonctionnement de l'électrolyseur à température ambiante. Justifier la nécessité d'imposer une tension </w:t>
      </w:r>
      <m:oMath>
        <m:sSub>
          <m:sSubPr/>
          <m:e>
            <m:r>
              <m:rPr>
                <m:sty m:val="p"/>
              </m:rPr>
              <m:t>U</m:t>
            </m:r>
          </m:e>
          <m:sub>
            <m:r>
              <m:rPr>
                <m:sty m:val="p"/>
              </m:rPr>
              <m:t>e</m:t>
            </m:r>
          </m:sub>
        </m:sSub>
      </m:oMath>
      <w:r>
        <w:rPr>
          <w:rFonts w:eastAsia="Georgia" w:cs="Georgia" w:ascii="Georgia" w:hAnsi="Georgia"/>
        </w:rPr>
        <w:t xml:space="preserve"> entre les électrodes à l'aide d'un générateur de tension.</w:t>
      </w:r>
    </w:p>
    <w:p>
      <w:pPr>
        <w:spacing w:after="220" w:lineRule="auto"/>
      </w:pPr>
      <w:r>
        <w:rPr>
          <w:rFonts w:eastAsia="Georgia" w:cs="Georgia" w:ascii="Georgia" w:hAnsi="Georgia"/>
        </w:rPr>
        <w:t xml:space="preserve">Q37 - Déterminer graphiquement la tension minimale </w:t>
      </w:r>
      <m:oMath>
        <m:sSub>
          <m:sSubPr/>
          <m:e>
            <m:r>
              <m:rPr>
                <m:sty m:val="p"/>
              </m:rPr>
              <m:t>U</m:t>
            </m:r>
          </m:e>
          <m:sub>
            <m:r>
              <m:rPr>
                <m:sty m:val="p"/>
              </m:rPr>
              <m:t>e</m:t>
            </m:r>
          </m:sub>
        </m:sSub>
      </m:oMath>
      <w:r>
        <w:rPr>
          <w:rFonts w:eastAsia="Georgia" w:cs="Georgia" w:ascii="Georgia" w:hAnsi="Georgia"/>
        </w:rPr>
        <w:t xml:space="preserve"> à appliquer pour observer la formation de dihydrogène.</w:t>
      </w:r>
    </w:p>
    <w:p>
      <w:pPr>
        <w:spacing w:line="271" w:before="330" w:lineRule="auto"/>
      </w:pPr>
      <w:r>
        <w:rPr>
          <w:b/>
          <w:sz w:val="42"/>
        </w:rPr>
        <w:t xml:space="preserve">Document 3</w:t>
      </w:r>
    </w:p>
    <w:p>
      <w:pPr>
        <w:spacing w:after="220" w:lineRule="auto"/>
      </w:pPr>
      <w:r>
        <w:rPr/>
        <w:t xml:space="preserve">La tension </w:t>
      </w:r>
      <m:oMath>
        <m:sSub>
          <m:sSubPr/>
          <m:e>
            <m:r>
              <m:rPr>
                <m:sty m:val="p"/>
              </m:rPr>
              <m:t>U</m:t>
            </m:r>
          </m:e>
          <m:sub>
            <m:r>
              <m:rPr>
                <m:sty m:val="p"/>
              </m:rPr>
              <m:t>e</m:t>
            </m:r>
          </m:sub>
        </m:sSub>
      </m:oMath>
      <w:r>
        <w:rPr>
          <w:rFonts w:eastAsia="Georgia" w:cs="Georgia" w:ascii="Georgia" w:hAnsi="Georgia"/>
        </w:rPr>
        <w:t xml:space="preserve"> à appliquer étant relativement importante, des expériences ont été menées afin d'optimiser le dispositif expérimental. Des courbes courant-potentiel ont ainsi été tracées pour plusieurs électrodes de travail de nature différente.</w:t>
      </w:r>
    </w:p>
    <w:p>
      <w:pPr>
        <w:spacing w:after="220" w:lineRule="auto"/>
      </w:pPr>
      <w:r>
        <w:rPr>
          <w:rFonts w:eastAsia="Georgia" w:cs="Georgia" w:ascii="Georgia" w:hAnsi="Georgia"/>
        </w:rPr>
        <w:t xml:space="preserve">Les courbes ont été obtenues dans l'acide chlorhydrique </w:t>
      </w:r>
      <m:oMath>
        <m:r>
          <m:rPr>
            <m:sty m:val="p"/>
          </m:rPr>
          <m:t>1</m:t>
        </m:r>
        <m:r>
          <m:rPr>
            <m:nor/>
          </m:rPr>
          <m:t xml:space="preserve"> </m:t>
        </m:r>
        <m:r>
          <m:rPr>
            <m:sty m:val="p"/>
          </m:rPr>
          <m:t>mol</m:t>
        </m:r>
        <m:r>
          <m:rPr>
            <m:sty m:val="p"/>
          </m:rPr>
          <m:t>.</m:t>
        </m:r>
        <m:sSup>
          <m:sSupPr/>
          <m:e>
            <m:r>
              <m:rPr>
                <m:sty m:val="p"/>
              </m:rPr>
              <m:t>L</m:t>
            </m:r>
          </m:e>
          <m:sup>
            <m:r>
              <m:rPr>
                <m:sty m:val="p"/>
              </m:rPr>
              <m:t>−</m:t>
            </m:r>
            <m:r>
              <m:rPr>
                <m:sty m:val="p"/>
              </m:rPr>
              <m:t>1</m:t>
            </m:r>
          </m:sup>
        </m:sSup>
      </m:oMath>
      <w:r>
        <w:rPr>
          <w:rFonts w:eastAsia="Georgia" w:cs="Georgia" w:ascii="Georgia" w:hAnsi="Georgia"/>
        </w:rPr>
        <w:t xml:space="preserve"> (qui simule la membrane échangeuse de protons) grâce à un potentiostat et en utilisant un montage électrochimique classique à trois électrodes : une électrode de travail (platine, cuivre, carbone ou titane iridié), une électrode de référence au calomel saturée (ECS) et une contre électrode en platine.</w:t>
      </w:r>
      <w:r>
        <w:rPr/>
        <w:br w:type="textWrapping"/>
      </w:r>
    </w:p>
    <w:p>
      <w:pPr>
        <w:spacing w:lineRule="auto"/>
        <w:jc w:val="center"/>
      </w:pPr>
      <w:r>
        <w:rPr/>
        <w:drawing>
          <wp:inline distB="0" distL="0" distR="0" distT="0">
            <wp:extent cx="5486400" cy="6327228"/>
            <wp:effectExtent b="0" l="0" r="0" t="0"/>
            <wp:docPr id="11" name="image-728afcf60cad391bc1ef6ec36709e5d261208936.jpg"/>
            <a:graphic>
              <a:graphicData uri="http://schemas.openxmlformats.org/drawingml/2006/picture">
                <pic:pic>
                  <pic:nvPicPr>
                    <pic:cNvPr id="11" name="image-728afcf60cad391bc1ef6ec36709e5d261208936.jpg" descr=""/>
                    <pic:cNvPicPr/>
                  </pic:nvPicPr>
                  <pic:blipFill>
                    <a:blip r:embed="rId17" cstate="print"/>
                    <a:srcRect b="0" l="0" r="0" t="0"/>
                    <a:stretch>
                      <a:fillRect/>
                    </a:stretch>
                  </pic:blipFill>
                  <pic:spPr>
                    <a:xfrm>
                      <a:off x="0" y="0"/>
                      <a:ext cx="5486400" cy="6327228"/>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6354147"/>
            <wp:effectExtent b="0" l="0" r="0" t="0"/>
            <wp:docPr id="12" name="image-2308aa045ebde137ebca64447d1005c7942771c6.jpg"/>
            <a:graphic>
              <a:graphicData uri="http://schemas.openxmlformats.org/drawingml/2006/picture">
                <pic:pic>
                  <pic:nvPicPr>
                    <pic:cNvPr id="12" name="image-2308aa045ebde137ebca64447d1005c7942771c6.jpg" descr=""/>
                    <pic:cNvPicPr/>
                  </pic:nvPicPr>
                  <pic:blipFill>
                    <a:blip r:embed="rId18" cstate="print"/>
                    <a:srcRect b="0" l="0" r="0" t="0"/>
                    <a:stretch>
                      <a:fillRect/>
                    </a:stretch>
                  </pic:blipFill>
                  <pic:spPr>
                    <a:xfrm>
                      <a:off x="0" y="0"/>
                      <a:ext cx="5486400" cy="6354147"/>
                    </a:xfrm>
                    <a:prstGeom prst="rect"/>
                  </pic:spPr>
                </pic:pic>
              </a:graphicData>
            </a:graphic>
          </wp:inline>
        </w:drawing>
      </w:r>
    </w:p>
    <w:p>
      <w:pPr>
        <w:spacing w:after="220" w:lineRule="auto"/>
      </w:pPr>
      <w:r>
        <w:rPr>
          <w:rFonts w:eastAsia="Georgia" w:cs="Georgia" w:ascii="Georgia" w:hAnsi="Georgia"/>
        </w:rPr>
        <w:t xml:space="preserve">On définit les surtensions </w:t>
      </w:r>
      <m:oMath>
        <m:r>
          <m:rPr>
            <m:sty m:val="i"/>
          </m:rPr>
          <m:t>η</m:t>
        </m:r>
        <m:r>
          <m:rPr>
            <m:sty m:val="p"/>
          </m:rPr>
          <m:t>=</m:t>
        </m:r>
        <m:r>
          <m:rPr>
            <m:sty m:val="p"/>
          </m:rPr>
          <m:t>E</m:t>
        </m:r>
        <m:r>
          <m:rPr>
            <m:sty m:val="p"/>
          </m:rPr>
          <m:t>−</m:t>
        </m:r>
        <m:sSub>
          <m:sSubPr/>
          <m:e>
            <m:r>
              <m:rPr>
                <m:sty m:val="p"/>
              </m:rPr>
              <m:t>E</m:t>
            </m:r>
          </m:e>
          <m:sub>
            <m:r>
              <m:rPr>
                <m:sty m:val="p"/>
              </m:rPr>
              <m:t>eq</m:t>
            </m:r>
          </m:sub>
        </m:sSub>
      </m:oMath>
      <w:r>
        <w:rPr>
          <w:rFonts w:eastAsia="Georgia" w:cs="Georgia" w:ascii="Georgia" w:hAnsi="Georgia"/>
        </w:rPr>
        <w:t xml:space="preserve"> avec E le potentiel de l'électrode de travail et </w:t>
      </w:r>
      <m:oMath>
        <m:sSub>
          <m:sSubPr/>
          <m:e>
            <m:r>
              <m:rPr>
                <m:sty m:val="p"/>
              </m:rPr>
              <m:t>E</m:t>
            </m:r>
          </m:e>
          <m:sub>
            <m:r>
              <m:rPr>
                <m:sty m:val="p"/>
              </m:rPr>
              <m:t>eq</m:t>
            </m:r>
          </m:sub>
        </m:sSub>
      </m:oMath>
      <w:r>
        <w:rPr>
          <w:rFonts w:eastAsia="Georgia" w:cs="Georgia" w:ascii="Georgia" w:hAnsi="Georgia"/>
        </w:rPr>
        <w:t xml:space="preserve"> le potentiel d'équilibre du couple </w:t>
      </w:r>
      <m:oMath>
        <m:r>
          <m:rPr>
            <m:sty m:val="p"/>
          </m:rPr>
          <m:t>Ox</m:t>
        </m:r>
        <m:r>
          <m:rPr>
            <m:sty m:val="p"/>
          </m:rPr>
          <m:t>/</m:t>
        </m:r>
      </m:oMath>
      <w:r>
        <w:rPr>
          <w:rFonts w:eastAsia="Georgia" w:cs="Georgia" w:ascii="Georgia" w:hAnsi="Georgia"/>
        </w:rPr>
        <w:t xml:space="preserve"> Red impliqué.</w:t>
      </w:r>
    </w:p>
    <w:p>
      <w:pPr>
        <w:spacing w:after="220" w:lineRule="auto"/>
      </w:pPr>
      <w:r>
        <w:rPr>
          <w:rFonts w:eastAsia="Georgia" w:cs="Georgia" w:ascii="Georgia" w:hAnsi="Georgia"/>
        </w:rPr>
        <w:t xml:space="preserve">Q38 - Donner l'expression littérale de </w:t>
      </w:r>
      <m:oMath>
        <m:sSub>
          <m:sSubPr/>
          <m:e>
            <m:r>
              <m:rPr>
                <m:sty m:val="p"/>
              </m:rPr>
              <m:t>E</m:t>
            </m:r>
          </m:e>
          <m:sub>
            <m:r>
              <m:rPr>
                <m:sty m:val="p"/>
              </m:rPr>
              <m:t>eq</m:t>
            </m:r>
          </m:sub>
        </m:sSub>
        <m:d>
          <m:dPr>
            <m:begChr m:val="("/>
            <m:endChr m:val=")"/>
            <m:ctrlPr>
              <w:rPr>
                <w:rFonts w:ascii="Cambria Math" w:hAnsi="Cambria Math"/>
              </w:rPr>
            </m:ctrlPr>
          </m:dPr>
          <m:e>
            <m:sSup>
              <m:sSupPr/>
              <m:e>
                <m:r>
                  <m:rPr>
                    <m:sty m:val="p"/>
                  </m:rPr>
                  <m:t>H</m:t>
                </m:r>
              </m:e>
              <m:sup>
                <m:r>
                  <m:rPr>
                    <m:sty m:val="p"/>
                  </m:rPr>
                  <m:t>+</m:t>
                </m:r>
              </m:sup>
            </m:sSup>
            <m:r>
              <m:rPr>
                <m:sty m:val="p"/>
              </m:rPr>
              <m:t>/</m:t>
            </m:r>
            <m:sSub>
              <m:sSubPr/>
              <m:e>
                <m:r>
                  <m:rPr>
                    <m:sty m:val="p"/>
                  </m:rPr>
                  <m:t>H</m:t>
                </m:r>
              </m:e>
              <m:sub>
                <m:r>
                  <m:rPr>
                    <m:sty m:val="p"/>
                  </m:rPr>
                  <m:t>2</m:t>
                </m:r>
              </m:sub>
            </m:sSub>
          </m:e>
        </m:d>
      </m:oMath>
      <w:r>
        <w:rPr>
          <w:rFonts w:eastAsia="Georgia" w:cs="Georgia" w:ascii="Georgia" w:hAnsi="Georgia"/>
        </w:rPr>
        <w:t xml:space="preserve"> puis calculer sa valeur numérique sachant qu'au cours de l'expérience on suppose que la pression partielle en dihydrogène à la surface de l'électrode de travail est </w:t>
      </w:r>
      <m:oMath>
        <m:r>
          <m:rPr>
            <m:sty m:val="p"/>
          </m:rPr>
          <m:t>P</m:t>
        </m:r>
        <m:d>
          <m:dPr>
            <m:begChr m:val="("/>
            <m:endChr m:val=")"/>
            <m:ctrlPr>
              <w:rPr>
                <w:rFonts w:ascii="Cambria Math" w:hAnsi="Cambria Math"/>
              </w:rPr>
            </m:ctrlPr>
          </m:dPr>
          <m:e>
            <m:sSub>
              <m:sSubPr/>
              <m:e>
                <m:r>
                  <m:rPr>
                    <m:sty m:val="p"/>
                  </m:rPr>
                  <m:t>H</m:t>
                </m:r>
              </m:e>
              <m:sub>
                <m:r>
                  <m:rPr>
                    <m:sty m:val="p"/>
                  </m:rPr>
                  <m:t>2</m:t>
                </m:r>
              </m:sub>
            </m:sSub>
          </m:e>
        </m:d>
        <m:r>
          <m:rPr>
            <m:sty m:val="p"/>
          </m:rPr>
          <m:t>=</m:t>
        </m:r>
        <m:r>
          <m:rPr>
            <m:sty m:val="p"/>
          </m:rPr>
          <m:t>1</m:t>
        </m:r>
        <m:r>
          <m:rPr>
            <m:sty m:val="p"/>
          </m:rPr>
          <m:t>,</m:t>
        </m:r>
        <m:r>
          <m:rPr>
            <m:sty m:val="p"/>
          </m:rPr>
          <m:t>0</m:t>
        </m:r>
      </m:oMath>
      <w:r>
        <w:rPr/>
        <w:t xml:space="preserve"> bar.</w:t>
      </w:r>
    </w:p>
    <w:p>
      <w:pPr>
        <w:spacing w:after="220" w:lineRule="auto"/>
      </w:pPr>
      <w:r>
        <w:rPr>
          <w:rFonts w:eastAsia="Georgia" w:cs="Georgia" w:ascii="Georgia" w:hAnsi="Georgia"/>
        </w:rPr>
        <w:t xml:space="preserve">Q39 - En déduire les surtensions «seuils » cathodiques </w:t>
      </w:r>
      <m:oMath>
        <m:sSub>
          <m:sSubPr/>
          <m:e>
            <m:r>
              <m:rPr>
                <m:sty m:val="i"/>
              </m:rPr>
              <m:t>η</m:t>
            </m:r>
          </m:e>
          <m:sub>
            <m:r>
              <m:rPr>
                <m:sty m:val="p"/>
              </m:rPr>
              <m:t>c</m:t>
            </m:r>
          </m:sub>
        </m:sSub>
      </m:oMath>
      <w:r>
        <w:rPr>
          <w:rFonts w:eastAsia="Georgia" w:cs="Georgia" w:ascii="Georgia" w:hAnsi="Georgia"/>
        </w:rPr>
        <w:t xml:space="preserve"> pour chacune des trois électrodes ( </w:t>
      </w:r>
      <m:oMath>
        <m:r>
          <m:rPr>
            <m:sty m:val="p"/>
          </m:rPr>
          <m:t>Pt</m:t>
        </m:r>
        <m:r>
          <m:rPr>
            <m:sty m:val="p"/>
          </m:rPr>
          <m:t>,</m:t>
        </m:r>
        <m:r>
          <m:rPr>
            <m:sty m:val="p"/>
          </m:rPr>
          <m:t>Cu</m:t>
        </m:r>
      </m:oMath>
      <w:r>
        <w:rPr>
          <w:rFonts w:eastAsia="Georgia" w:cs="Georgia" w:ascii="Georgia" w:hAnsi="Georgia"/>
        </w:rPr>
        <w:t xml:space="preserve"> et C) et proposer un matériau pour la cathode et un matériau pour l'anode permettant de minimiser la tension </w:t>
      </w:r>
      <m:oMath>
        <m:sSub>
          <m:sSubPr/>
          <m:e>
            <m:r>
              <m:rPr>
                <m:sty m:val="p"/>
              </m:rPr>
              <m:t>U</m:t>
            </m:r>
          </m:e>
          <m:sub>
            <m:r>
              <m:rPr>
                <m:sty m:val="p"/>
              </m:rPr>
              <m:t>e</m:t>
            </m:r>
          </m:sub>
        </m:sSub>
      </m:oMath>
      <w:r>
        <w:rPr>
          <w:rFonts w:eastAsia="Georgia" w:cs="Georgia" w:ascii="Georgia" w:hAnsi="Georgia"/>
        </w:rPr>
        <w:t xml:space="preserve"> (et donc l'énergie) à appliquer pour observer la formation de dihydrogène.</w:t>
      </w:r>
    </w:p>
    <w:p>
      <w:pPr>
        <w:spacing w:line="271" w:before="330" w:lineRule="auto"/>
      </w:pPr>
      <w:r>
        <w:rPr>
          <w:b/>
          <w:sz w:val="42"/>
        </w:rPr>
        <w:t xml:space="preserve">Document 4</w:t>
      </w:r>
    </w:p>
    <w:p>
      <w:pPr>
        <w:spacing w:after="220" w:lineRule="auto"/>
      </w:pPr>
      <w:r>
        <w:rPr>
          <w:rFonts w:eastAsia="Georgia" w:cs="Georgia" w:ascii="Georgia" w:hAnsi="Georgia"/>
        </w:rPr>
        <w:t xml:space="preserve">Une pile peut être modélisée par une source non idéale de tension suivant le modèle de Thévenin.</w:t>
      </w:r>
      <w:r>
        <w:rPr/>
        <w:br w:type="textWrapping"/>
      </w:r>
    </w:p>
    <w:p>
      <w:pPr>
        <w:spacing w:lineRule="auto"/>
        <w:jc w:val="center"/>
      </w:pPr>
      <w:r>
        <w:rPr/>
        <w:drawing>
          <wp:inline distB="0" distL="0" distR="0" distT="0">
            <wp:extent cx="4962525" cy="2371725"/>
            <wp:effectExtent b="0" l="0" r="0" t="0"/>
            <wp:docPr id="13" name="image-fe4fbbf1e31a3643a62fcd28a1f5872d1197656c.jpg"/>
            <a:graphic>
              <a:graphicData uri="http://schemas.openxmlformats.org/drawingml/2006/picture">
                <pic:pic>
                  <pic:nvPicPr>
                    <pic:cNvPr id="13" name="image-fe4fbbf1e31a3643a62fcd28a1f5872d1197656c.jpg" descr=""/>
                    <pic:cNvPicPr/>
                  </pic:nvPicPr>
                  <pic:blipFill>
                    <a:blip r:embed="rId19" cstate="print"/>
                    <a:srcRect b="0" l="0" r="0" t="0"/>
                    <a:stretch>
                      <a:fillRect/>
                    </a:stretch>
                  </pic:blipFill>
                  <pic:spPr>
                    <a:xfrm>
                      <a:off x="0" y="0"/>
                      <a:ext cx="4962525" cy="2371725"/>
                    </a:xfrm>
                    <a:prstGeom prst="rect"/>
                  </pic:spPr>
                </pic:pic>
              </a:graphicData>
            </a:graphic>
          </wp:inline>
        </w:drawing>
      </w:r>
    </w:p>
    <w:p>
      <w:pPr>
        <w:spacing w:after="220" w:lineRule="auto"/>
      </w:pPr>
      <w:r>
        <w:rPr>
          <w:rFonts w:eastAsia="Georgia" w:cs="Georgia" w:ascii="Georgia" w:hAnsi="Georgia"/>
        </w:rPr>
        <w:t xml:space="preserve">La tension réelle débitée par la pile s'exprime suivant la relation </w:t>
      </w:r>
      <m:oMath>
        <m:sSub>
          <m:sSubPr/>
          <m:e>
            <m:r>
              <m:rPr>
                <m:sty m:val="i"/>
              </m:rPr>
              <m:t>U</m:t>
            </m:r>
          </m:e>
          <m:sub>
            <m:r>
              <m:rPr>
                <m:sty m:val="i"/>
              </m:rPr>
              <m:t>p</m:t>
            </m:r>
          </m:sub>
        </m:sSub>
        <m:r>
          <m:rPr>
            <m:sty m:val="p"/>
          </m:rPr>
          <m:t>=</m:t>
        </m:r>
        <m:sSub>
          <m:sSubPr/>
          <m:e>
            <m:r>
              <m:rPr>
                <m:sty m:val="i"/>
              </m:rPr>
              <m:t>U</m:t>
            </m:r>
          </m:e>
          <m:sub>
            <m:r>
              <m:rPr>
                <m:sty m:val="i"/>
              </m:rPr>
              <m:t>i</m:t>
            </m:r>
          </m:sub>
        </m:sSub>
        <m:r>
          <m:rPr>
            <m:sty m:val="p"/>
          </m:rPr>
          <m:t>−</m:t>
        </m:r>
        <m:r>
          <m:rPr>
            <m:sty m:val="i"/>
          </m:rPr>
          <m:t>r</m:t>
        </m:r>
        <m:r>
          <m:rPr>
            <m:sty m:val="p"/>
          </m:rPr>
          <m:t>I</m:t>
        </m:r>
      </m:oMath>
      <w:r>
        <w:rPr/>
        <w:t xml:space="preserve"> avec </w:t>
      </w:r>
      <m:oMath>
        <m:sSub>
          <m:sSubPr/>
          <m:e>
            <m:r>
              <m:rPr>
                <m:sty m:val="i"/>
              </m:rPr>
              <m:t>U</m:t>
            </m:r>
          </m:e>
          <m:sub>
            <m:r>
              <m:rPr>
                <m:sty m:val="i"/>
              </m:rPr>
              <m:t>i</m:t>
            </m:r>
          </m:sub>
        </m:sSub>
      </m:oMath>
      <w:r>
        <w:rPr>
          <w:rFonts w:eastAsia="Georgia" w:cs="Georgia" w:ascii="Georgia" w:hAnsi="Georgia"/>
        </w:rPr>
        <w:t xml:space="preserve"> la tension débitée par la pile si cette dernière était idéale, r la résistance interne et I le courant débité par la pile.</w:t>
      </w:r>
    </w:p>
    <w:p>
      <w:pPr>
        <w:spacing w:after="220" w:lineRule="auto"/>
      </w:pPr>
      <w:r>
        <w:rPr>
          <w:rFonts w:eastAsia="Georgia" w:cs="Georgia" w:ascii="Georgia" w:hAnsi="Georgia"/>
        </w:rPr>
        <w:t xml:space="preserve">Des courbes courant-tension ont été tracées pour pouvoir étudier les caractéristiques internes de la pile à combustible et l'optimiser.</w:t>
      </w:r>
      <w:r>
        <w:rPr/>
        <w:br w:type="textWrapping"/>
      </w:r>
    </w:p>
    <w:p>
      <w:pPr>
        <w:spacing w:lineRule="auto"/>
        <w:jc w:val="center"/>
      </w:pPr>
      <w:r>
        <w:rPr/>
        <w:drawing>
          <wp:inline distB="0" distL="0" distR="0" distT="0">
            <wp:extent cx="5486400" cy="3405188"/>
            <wp:effectExtent b="0" l="0" r="0" t="0"/>
            <wp:docPr id="14" name="image-555a52b0fc36f681a677f73e5901c9bdbcec50fe.jpg"/>
            <a:graphic>
              <a:graphicData uri="http://schemas.openxmlformats.org/drawingml/2006/picture">
                <pic:pic>
                  <pic:nvPicPr>
                    <pic:cNvPr id="14" name="image-555a52b0fc36f681a677f73e5901c9bdbcec50fe.jpg" descr=""/>
                    <pic:cNvPicPr/>
                  </pic:nvPicPr>
                  <pic:blipFill>
                    <a:blip r:embed="rId20" cstate="print"/>
                    <a:srcRect b="0" l="0" r="0" t="0"/>
                    <a:stretch>
                      <a:fillRect/>
                    </a:stretch>
                  </pic:blipFill>
                  <pic:spPr>
                    <a:xfrm>
                      <a:off x="0" y="0"/>
                      <a:ext cx="5486400" cy="3405188"/>
                    </a:xfrm>
                    <a:prstGeom prst="rect"/>
                  </pic:spPr>
                </pic:pic>
              </a:graphicData>
            </a:graphic>
          </wp:inline>
        </w:drawing>
      </w:r>
    </w:p>
    <w:p>
      <w:pPr>
        <w:spacing w:after="220" w:lineRule="auto"/>
      </w:pPr>
      <w:r>
        <w:rPr>
          <w:rFonts w:eastAsia="Georgia" w:cs="Georgia" w:ascii="Georgia" w:hAnsi="Georgia"/>
        </w:rPr>
        <w:t xml:space="preserve">Les courbes courant-tension ont été obtenues avec une pile en «respiration» de </w:t>
      </w:r>
      <m:oMath>
        <m:r>
          <m:rPr>
            <m:sty m:val="p"/>
          </m:rPr>
          <m:t>25</m:t>
        </m:r>
        <m:sSup>
          <m:sSupPr/>
          <m:e>
            <m:r>
              <m:rPr>
                <m:nor/>
              </m:rPr>
              <m:t xml:space="preserve"> </m:t>
            </m:r>
            <m:r>
              <m:rPr>
                <m:sty m:val="p"/>
              </m:rPr>
              <m:t>cm</m:t>
            </m:r>
          </m:e>
          <m:sup>
            <m:r>
              <m:rPr>
                <m:sty m:val="p"/>
              </m:rPr>
              <m:t>2</m:t>
            </m:r>
          </m:sup>
        </m:sSup>
      </m:oMath>
      <w:r>
        <w:rPr>
          <w:rFonts w:eastAsia="Georgia" w:cs="Georgia" w:ascii="Georgia" w:hAnsi="Georgia"/>
        </w:rPr>
        <w:t xml:space="preserve"> en faisant varier la résistance R du circuit de décharge (voir document 1). Les deux courbes correspondent à deux assemblages membrane-électrodes qui diffèrent par la quantité de platine présente dans les couches catalytiques ( </w:t>
      </w:r>
      <m:oMath>
        <m:r>
          <m:rPr>
            <m:sty m:val="p"/>
          </m:rPr>
          <m:t>0</m:t>
        </m:r>
        <m:r>
          <m:rPr>
            <m:sty m:val="p"/>
          </m:rPr>
          <m:t>,</m:t>
        </m:r>
        <m:r>
          <m:rPr>
            <m:sty m:val="p"/>
          </m:rPr>
          <m:t>7</m:t>
        </m:r>
        <m:r>
          <m:rPr>
            <m:sty m:val="p"/>
          </m:rPr>
          <m:t>mg</m:t>
        </m:r>
        <m:r>
          <m:rPr>
            <m:sty m:val="p"/>
          </m:rPr>
          <m:t>.</m:t>
        </m:r>
        <m:sSup>
          <m:sSupPr/>
          <m:e>
            <m:r>
              <m:rPr>
                <m:sty m:val="p"/>
              </m:rPr>
              <m:t>cm</m:t>
            </m:r>
          </m:e>
          <m:sup>
            <m:r>
              <m:rPr>
                <m:sty m:val="p"/>
              </m:rPr>
              <m:t>−</m:t>
            </m:r>
            <m:r>
              <m:rPr>
                <m:sty m:val="p"/>
              </m:rPr>
              <m:t>2</m:t>
            </m:r>
          </m:sup>
        </m:sSup>
      </m:oMath>
      <w:r>
        <w:rPr/>
        <w:t xml:space="preserve"> ou </w:t>
      </w:r>
      <m:oMath>
        <m:r>
          <m:rPr>
            <m:sty m:val="p"/>
          </m:rPr>
          <m:t>0</m:t>
        </m:r>
        <m:r>
          <m:rPr>
            <m:sty m:val="p"/>
          </m:rPr>
          <m:t>,</m:t>
        </m:r>
        <m:r>
          <m:rPr>
            <m:sty m:val="p"/>
          </m:rPr>
          <m:t>4</m:t>
        </m:r>
        <m:r>
          <m:rPr>
            <m:sty m:val="p"/>
          </m:rPr>
          <m:t>mg</m:t>
        </m:r>
        <m:r>
          <m:rPr>
            <m:sty m:val="p"/>
          </m:rPr>
          <m:t>.</m:t>
        </m:r>
        <m:sSup>
          <m:sSupPr/>
          <m:e>
            <m:r>
              <m:rPr>
                <m:sty m:val="p"/>
              </m:rPr>
              <m:t>cm</m:t>
            </m:r>
          </m:e>
          <m:sup>
            <m:r>
              <m:rPr>
                <m:sty m:val="p"/>
              </m:rPr>
              <m:t>−</m:t>
            </m:r>
            <m:r>
              <m:rPr>
                <m:sty m:val="p"/>
              </m:rPr>
              <m:t>2</m:t>
            </m:r>
          </m:sup>
        </m:sSup>
      </m:oMath>
      <w:r>
        <w:rPr>
          <w:rFonts w:eastAsia="Georgia" w:cs="Georgia" w:ascii="Georgia" w:hAnsi="Georgia"/>
        </w:rPr>
        <w:t xml:space="preserve"> ). Pour cette expérience, le débit volumique de dihydrogène était de </w:t>
      </w:r>
      <m:oMath>
        <m:r>
          <m:rPr>
            <m:sty m:val="p"/>
          </m:rPr>
          <m:t>30</m:t>
        </m:r>
        <m:sSup>
          <m:sSupPr/>
          <m:e>
            <m:r>
              <m:rPr>
                <m:nor/>
              </m:rPr>
              <m:t xml:space="preserve"> </m:t>
            </m:r>
            <m:r>
              <m:rPr>
                <m:sty m:val="p"/>
              </m:rPr>
              <m:t>cm</m:t>
            </m:r>
          </m:e>
          <m:sup>
            <m:r>
              <m:rPr>
                <m:sty m:val="p"/>
              </m:rPr>
              <m:t>3</m:t>
            </m:r>
          </m:sup>
        </m:sSup>
        <m:r>
          <m:rPr>
            <m:sty m:val="p"/>
          </m:rPr>
          <m:t>⋅</m:t>
        </m:r>
        <m:sSup>
          <m:sSupPr/>
          <m:e>
            <m:r>
              <m:rPr>
                <m:nor/>
              </m:rPr>
              <m:t xml:space="preserve"> </m:t>
            </m:r>
            <m:r>
              <m:rPr>
                <m:sty m:val="p"/>
              </m:rPr>
              <m:t>min</m:t>
            </m:r>
          </m:e>
          <m:sup>
            <m:r>
              <m:rPr>
                <m:sty m:val="p"/>
              </m:rPr>
              <m:t>−</m:t>
            </m:r>
            <m:r>
              <m:rPr>
                <m:sty m:val="p"/>
              </m:rPr>
              <m:t>1</m:t>
            </m:r>
          </m:sup>
        </m:sSup>
      </m:oMath>
      <w:r>
        <w:rPr/>
        <w:t xml:space="preserve">.</w:t>
      </w:r>
    </w:p>
    <w:p>
      <w:pPr>
        <w:spacing w:after="220" w:lineRule="auto"/>
      </w:pPr>
      <w:r>
        <w:rPr>
          <w:rFonts w:eastAsia="Georgia" w:cs="Georgia" w:ascii="Georgia" w:hAnsi="Georgia"/>
        </w:rPr>
        <w:t xml:space="preserve">Q40 - D'après la courbe du document 4, dans quelle zone (A ou B) la pile étudiée peut-elle être considérée comme une source non idéale de tension suivant le modèle de Thévenin? En déduire graphiquement la résistance interne des deux dispositifs ( </w:t>
      </w:r>
      <m:oMath>
        <m:r>
          <m:rPr>
            <m:sty m:val="p"/>
          </m:rPr>
          <m:t>Pt</m:t>
        </m:r>
        <m:r>
          <m:rPr>
            <m:sty m:val="p"/>
          </m:rPr>
          <m:t>:</m:t>
        </m:r>
        <m:r>
          <m:rPr>
            <m:sty m:val="p"/>
          </m:rPr>
          <m:t>0</m:t>
        </m:r>
        <m:r>
          <m:rPr>
            <m:sty m:val="p"/>
          </m:rPr>
          <m:t>,</m:t>
        </m:r>
        <m:r>
          <m:rPr>
            <m:sty m:val="p"/>
          </m:rPr>
          <m:t>4</m:t>
        </m:r>
        <m:r>
          <m:rPr>
            <m:sty m:val="p"/>
          </m:rPr>
          <m:t>mg</m:t>
        </m:r>
        <m:r>
          <m:rPr>
            <m:sty m:val="p"/>
          </m:rPr>
          <m:t>.</m:t>
        </m:r>
        <m:sSup>
          <m:sSupPr/>
          <m:e>
            <m:r>
              <m:rPr>
                <m:sty m:val="p"/>
              </m:rPr>
              <m:t>cm</m:t>
            </m:r>
          </m:e>
          <m:sup>
            <m:r>
              <m:rPr>
                <m:sty m:val="p"/>
              </m:rPr>
              <m:t>−</m:t>
            </m:r>
            <m:r>
              <m:rPr>
                <m:sty m:val="p"/>
              </m:rPr>
              <m:t>2</m:t>
            </m:r>
          </m:sup>
        </m:sSup>
      </m:oMath>
      <w:r>
        <w:rPr/>
        <w:t xml:space="preserve"> et </w:t>
      </w:r>
      <m:oMath>
        <m:r>
          <m:rPr>
            <m:sty m:val="p"/>
          </m:rPr>
          <m:t>Pt</m:t>
        </m:r>
        <m:r>
          <m:rPr>
            <m:sty m:val="p"/>
          </m:rPr>
          <m:t>:</m:t>
        </m:r>
        <m:r>
          <m:rPr>
            <m:sty m:val="p"/>
          </m:rPr>
          <m:t>0</m:t>
        </m:r>
        <m:r>
          <m:rPr>
            <m:sty m:val="p"/>
          </m:rPr>
          <m:t>,</m:t>
        </m:r>
        <m:r>
          <m:rPr>
            <m:sty m:val="p"/>
          </m:rPr>
          <m:t>7</m:t>
        </m:r>
        <m:r>
          <m:rPr>
            <m:sty m:val="p"/>
          </m:rPr>
          <m:t>mg</m:t>
        </m:r>
        <m:r>
          <m:rPr>
            <m:sty m:val="p"/>
          </m:rPr>
          <m:t>.</m:t>
        </m:r>
        <m:sSup>
          <m:sSupPr/>
          <m:e>
            <m:r>
              <m:rPr>
                <m:sty m:val="p"/>
              </m:rPr>
              <m:t>cm</m:t>
            </m:r>
          </m:e>
          <m:sup>
            <m:r>
              <m:rPr>
                <m:sty m:val="p"/>
              </m:rPr>
              <m:t>−</m:t>
            </m:r>
            <m:r>
              <m:rPr>
                <m:sty m:val="p"/>
              </m:rPr>
              <m:t>2</m:t>
            </m:r>
          </m:sup>
        </m:sSup>
      </m:oMath>
      <w:r>
        <w:rPr>
          <w:rFonts w:eastAsia="Georgia" w:cs="Georgia" w:ascii="Georgia" w:hAnsi="Georgia"/>
        </w:rPr>
        <w:t xml:space="preserve"> ) étudiés en expliquant succinctement la méthode. Justifier quel assemblage membrane-électrodes est énergétiquement plus intéressant à utiliser.</w:t>
      </w:r>
    </w:p>
    <w:p>
      <w:pPr>
        <w:spacing w:line="271" w:before="330" w:lineRule="auto"/>
      </w:pPr>
      <w:r>
        <w:rPr>
          <w:rFonts w:eastAsia="Georgia" w:cs="Georgia" w:ascii="Georgia" w:hAnsi="Georgia"/>
          <w:b/>
          <w:sz w:val="42"/>
        </w:rPr>
        <w:t xml:space="preserve">B. Stockage du dihydrogène : étude du phénomène d'adsorption</w:t>
      </w:r>
    </w:p>
    <w:p>
      <w:pPr>
        <w:spacing w:after="220" w:lineRule="auto"/>
      </w:pPr>
      <w:r>
        <w:rPr>
          <w:rFonts w:eastAsia="Georgia" w:cs="Georgia" w:ascii="Georgia" w:hAnsi="Georgia"/>
        </w:rPr>
        <w:t xml:space="preserve">Nous nous intéresserons dans cette partie à la problématique du stockage du dihydrogène. Il existe actuellement trois façons de procéder : le stockage sous forme gazeuse à haute pression utilisé pour alimenter les piles à combustible (entre 350 et 700 bars, </w:t>
      </w:r>
      <m:oMath>
        <m:sSup>
          <m:sSupPr/>
          <m:e>
            <m:r>
              <m:rPr>
                <m:sty m:val="p"/>
              </m:rPr>
              <m:t>25</m:t>
            </m:r>
          </m:e>
          <m:sup>
            <m:r>
              <m:rPr>
                <m:sty m:val="p"/>
              </m:rPr>
              <m:t>∘</m:t>
            </m:r>
          </m:sup>
        </m:sSup>
        <m:r>
          <m:rPr>
            <m:sty m:val="p"/>
          </m:rPr>
          <m:t>C</m:t>
        </m:r>
      </m:oMath>
      <w:r>
        <w:rPr>
          <w:rFonts w:eastAsia="Georgia" w:cs="Georgia" w:ascii="Georgia" w:hAnsi="Georgia"/>
        </w:rPr>
        <w:t xml:space="preserve"> ), le stockage sous forme liquide à très basse température utilisé pour les lanceurs spatiaux ( </w:t>
      </w:r>
      <m:oMath>
        <m:r>
          <m:rPr>
            <m:sty m:val="p"/>
          </m:rPr>
          <m:t>−</m:t>
        </m:r>
        <m:sSup>
          <m:sSupPr/>
          <m:e>
            <m:r>
              <m:rPr>
                <m:sty m:val="p"/>
              </m:rPr>
              <m:t>253</m:t>
            </m:r>
          </m:e>
          <m:sup>
            <m:r>
              <m:rPr>
                <m:sty m:val="p"/>
              </m:rPr>
              <m:t>∘</m:t>
            </m:r>
          </m:sup>
        </m:sSup>
        <m:r>
          <m:rPr>
            <m:sty m:val="p"/>
          </m:rPr>
          <m:t>C</m:t>
        </m:r>
      </m:oMath>
      <w:r>
        <w:rPr>
          <w:rFonts w:eastAsia="Georgia" w:cs="Georgia" w:ascii="Georgia" w:hAnsi="Georgia"/>
        </w:rPr>
        <w:t xml:space="preserve">, 1 à 2 bars) et le stockage sous forme solide.</w:t>
      </w:r>
    </w:p>
    <w:p>
      <w:pPr>
        <w:spacing w:after="220" w:lineRule="auto"/>
      </w:pPr>
      <w:r>
        <w:rPr>
          <w:rFonts w:eastAsia="Georgia" w:cs="Georgia" w:ascii="Georgia" w:hAnsi="Georgia"/>
        </w:rPr>
        <w:t xml:space="preserve">Les techniques de stockage «à haute pression » et «à très basse température » bien qu'extrêmement efficaces, peuvent se révéler très coûteuses et dangereuses. Afin de pallier ces problèmes, de nombreuses études sont actuellement menées autour du développement d'une technique de stockage sous forme solide.</w:t>
      </w:r>
    </w:p>
    <w:p>
      <w:pPr>
        <w:spacing w:after="220" w:lineRule="auto"/>
      </w:pPr>
      <w:r>
        <w:rPr>
          <w:rFonts w:eastAsia="Georgia" w:cs="Georgia" w:ascii="Georgia" w:hAnsi="Georgia"/>
        </w:rPr>
        <w:t xml:space="preserve">Le stockage sous forme solide repose sur le phénomène d'adsorption du dihydrogène gazeux à la surface d'un matériau.</w:t>
      </w:r>
    </w:p>
    <w:p>
      <w:pPr>
        <w:spacing w:line="271" w:before="330" w:lineRule="auto"/>
      </w:pPr>
      <w:r>
        <w:rPr>
          <w:b/>
          <w:sz w:val="42"/>
        </w:rPr>
        <w:t xml:space="preserve">Document 5</w:t>
      </w:r>
    </w:p>
    <w:p>
      <w:pPr>
        <w:spacing w:after="220" w:lineRule="auto"/>
      </w:pPr>
      <w:r>
        <w:rPr>
          <w:rFonts w:eastAsia="Georgia" w:cs="Georgia" w:ascii="Georgia" w:hAnsi="Georgia"/>
        </w:rPr>
        <w:t xml:space="preserve">On donne les courbes énergétiques associées aux phénomènes de physisorption et de chimisorption dissociative du dihydrogène sur une surface de nickel solide.</w:t>
      </w:r>
      <w:r>
        <w:rPr/>
        <w:br w:type="textWrapping"/>
      </w:r>
    </w:p>
    <w:p>
      <w:pPr>
        <w:spacing w:lineRule="auto"/>
        <w:jc w:val="center"/>
      </w:pPr>
      <w:r>
        <w:rPr/>
        <w:drawing>
          <wp:inline distB="0" distL="0" distR="0" distT="0">
            <wp:extent cx="5486400" cy="3014113"/>
            <wp:effectExtent b="0" l="0" r="0" t="0"/>
            <wp:docPr id="15" name="image-d383773a35ab7136a10201e5257ad94a5a261a55.jpg"/>
            <a:graphic>
              <a:graphicData uri="http://schemas.openxmlformats.org/drawingml/2006/picture">
                <pic:pic>
                  <pic:nvPicPr>
                    <pic:cNvPr id="15" name="image-d383773a35ab7136a10201e5257ad94a5a261a55.jpg" descr=""/>
                    <pic:cNvPicPr/>
                  </pic:nvPicPr>
                  <pic:blipFill>
                    <a:blip r:embed="rId21" cstate="print"/>
                    <a:srcRect b="0" l="0" r="0" t="0"/>
                    <a:stretch>
                      <a:fillRect/>
                    </a:stretch>
                  </pic:blipFill>
                  <pic:spPr>
                    <a:xfrm>
                      <a:off x="0" y="0"/>
                      <a:ext cx="5486400" cy="3014113"/>
                    </a:xfrm>
                    <a:prstGeom prst="rect"/>
                  </pic:spPr>
                </pic:pic>
              </a:graphicData>
            </a:graphic>
          </wp:inline>
        </w:drawing>
      </w:r>
    </w:p>
    <w:p>
      <w:pPr>
        <w:spacing w:after="220" w:lineRule="auto"/>
      </w:pPr>
      <w:r>
        <w:rPr>
          <w:rFonts w:eastAsia="Georgia" w:cs="Georgia" w:ascii="Georgia" w:hAnsi="Georgia"/>
        </w:rPr>
        <w:t xml:space="preserve">Q41 - Nommer les trois différentes interactions de Van der Waals. De quel(s) paramètre(s) moléculaire(s) dépend(ent) chacune d'entre elles ?</w:t>
      </w:r>
      <w:r>
        <w:rPr/>
        <w:br w:type="textWrapping"/>
      </w:r>
      <w:r>
        <w:rPr>
          <w:rFonts w:eastAsia="Georgia" w:cs="Georgia" w:ascii="Georgia" w:hAnsi="Georgia"/>
        </w:rPr>
        <w:t xml:space="preserve">Q42 - Laquelle ou lesquelles de ces interactions faut-il considérer pour appréhender le phénomène de physisorption du dihydrogène sur le nickel ?</w:t>
      </w:r>
    </w:p>
    <w:p>
      <w:pPr>
        <w:spacing w:after="220" w:lineRule="auto"/>
      </w:pPr>
      <w:r>
        <w:rPr>
          <w:rFonts w:eastAsia="Georgia" w:cs="Georgia" w:ascii="Georgia" w:hAnsi="Georgia"/>
        </w:rPr>
        <w:t xml:space="preserve">Q43 - En déduire une explication pour l'évolution des énergies de physisorption du tableau cidessous.</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Adsorbat</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nor/>
                      </m:rPr>
                      <m:t xml:space="preserve"> </m:t>
                    </m:r>
                    <m:r>
                      <m:rPr>
                        <m:sty m:val="p"/>
                      </m:rPr>
                      <m:t>N</m:t>
                    </m:r>
                  </m:e>
                  <m:sub>
                    <m:r>
                      <m:rPr>
                        <m:sty m:val="p"/>
                      </m:rPr>
                      <m:t>2</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Propane</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Benzène</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b"/>
                      </m:rPr>
                      <m:t>E</m:t>
                    </m:r>
                  </m:e>
                  <m:sub>
                    <m:r>
                      <m:rPr>
                        <m:nor/>
                      </m:rPr>
                      <m:t>phy </m:t>
                    </m:r>
                  </m:sub>
                </m:sSub>
                <m:d>
                  <m:dPr>
                    <m:begChr m:val="("/>
                    <m:endChr m:val=")"/>
                    <m:ctrlPr>
                      <w:rPr>
                        <w:rFonts w:ascii="Cambria Math" w:hAnsi="Cambria Math"/>
                      </w:rPr>
                    </m:ctrlPr>
                  </m:dPr>
                  <m:e>
                    <m:sSup>
                      <m:sSupPr/>
                      <m:e>
                        <m:r>
                          <m:rPr>
                            <m:sty m:val="b"/>
                          </m:rPr>
                          <m:t>k</m:t>
                        </m:r>
                        <m:r>
                          <m:rPr>
                            <m:sty m:val="b"/>
                          </m:rPr>
                          <m:t>J</m:t>
                        </m:r>
                        <m:r>
                          <m:rPr>
                            <m:sty m:val="b"/>
                          </m:rPr>
                          <m:t>.</m:t>
                        </m:r>
                        <m:r>
                          <m:rPr>
                            <m:sty m:val="b"/>
                          </m:rPr>
                          <m:t>m</m:t>
                        </m:r>
                        <m:r>
                          <m:rPr>
                            <m:sty m:val="b"/>
                          </m:rPr>
                          <m:t>o</m:t>
                        </m:r>
                        <m:r>
                          <m:rPr>
                            <m:sty m:val="b"/>
                          </m:rPr>
                          <m:t>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3,8</w:t>
            </w:r>
          </w:p>
        </w:tc>
        <w:tc>
          <w:tcPr>
            <w:tcBorders>
              <w:bottom w:val="single" w:sz="8" w:space="0" w:color="000000"/>
              <w:right w:val="single" w:sz="8" w:space="0" w:color="000000"/>
            </w:tcBorders>
            <w:vAlign w:val="center"/>
          </w:tcPr>
          <w:p>
            <w:pPr>
              <w:spacing w:lineRule="auto"/>
              <w:jc w:val="center"/>
            </w:pPr>
            <w:r>
              <w:rPr/>
              <w:t xml:space="preserve">11,7</w:t>
            </w:r>
          </w:p>
        </w:tc>
        <w:tc>
          <w:tcPr>
            <w:tcBorders>
              <w:bottom w:val="single" w:sz="8" w:space="0" w:color="000000"/>
              <w:right w:val="single" w:sz="8" w:space="0" w:color="000000"/>
            </w:tcBorders>
            <w:vAlign w:val="center"/>
          </w:tcPr>
          <w:p>
            <w:pPr>
              <w:spacing w:lineRule="auto"/>
              <w:jc w:val="center"/>
            </w:pPr>
            <w:r>
              <w:rPr/>
              <w:t xml:space="preserve">27,2</w:t>
            </w:r>
          </w:p>
        </w:tc>
        <w:tc>
          <w:tcPr>
            <w:tcBorders>
              <w:bottom w:val="single" w:sz="8" w:space="0" w:color="000000"/>
              <w:right w:val="single" w:sz="8" w:space="0" w:color="000000"/>
            </w:tcBorders>
            <w:vAlign w:val="center"/>
          </w:tcPr>
          <w:p>
            <w:pPr>
              <w:spacing w:lineRule="auto"/>
              <w:jc w:val="center"/>
            </w:pPr>
            <w:r>
              <w:rPr/>
              <w:t xml:space="preserve">42</w:t>
            </w:r>
          </w:p>
        </w:tc>
      </w:tr>
    </w:tbl>
    <w:p>
      <w:pPr>
        <w:spacing w:lineRule="auto"/>
      </w:pPr>
    </w:p>
    <w:p>
      <w:pPr>
        <w:spacing w:after="220" w:lineRule="auto"/>
      </w:pPr>
      <w:r>
        <w:rPr>
          <w:rFonts w:eastAsia="Georgia" w:cs="Georgia" w:ascii="Georgia" w:hAnsi="Georgia"/>
        </w:rPr>
        <w:t xml:space="preserve">Énergie de physisorption expérimentale de quelques adsorbats sur une surface de graphite</w:t>
      </w:r>
      <w:r>
        <w:rPr/>
        <w:br w:type="textWrapping"/>
      </w:r>
      <w:r>
        <w:rPr>
          <w:rFonts w:eastAsia="Georgia" w:cs="Georgia" w:ascii="Georgia" w:hAnsi="Georgia"/>
        </w:rPr>
        <w:t xml:space="preserve">Au cours du phénomène de chimisorption dissociative, la molécule de dihydrogène perd son intégrité.</w:t>
      </w:r>
      <w:r>
        <w:rPr/>
        <w:br w:type="textWrapping"/>
      </w:r>
      <w:r>
        <w:rPr>
          <w:rFonts w:eastAsia="Georgia" w:cs="Georgia" w:ascii="Georgia" w:hAnsi="Georgia"/>
        </w:rPr>
        <w:t xml:space="preserve">Q44 - En vous basant sur le document 5, déterminer graphiquement l'énergie d'activation, notée « </w:t>
      </w:r>
      <m:oMath>
        <m:sSub>
          <m:sSubPr/>
          <m:e>
            <m:r>
              <m:rPr>
                <m:sty m:val="p"/>
              </m:rPr>
              <m:t>E</m:t>
            </m:r>
          </m:e>
          <m:sub>
            <m:r>
              <m:rPr>
                <m:sty m:val="p"/>
              </m:rPr>
              <m:t>a</m:t>
            </m:r>
          </m:sub>
        </m:sSub>
      </m:oMath>
      <w:r>
        <w:rPr>
          <w:rFonts w:eastAsia="Georgia" w:cs="Georgia" w:ascii="Georgia" w:hAnsi="Georgia"/>
        </w:rPr>
        <w:t xml:space="preserve"> », nécessaire pour qu'une molécule de dihydrogène physisorbée à la surface du nickel se chimisorbe de façon dissociative. Quelle serait la longueur des liaisons </w:t>
      </w:r>
      <m:oMath>
        <m:r>
          <m:rPr>
            <m:sty m:val="p"/>
          </m:rPr>
          <m:t>Ni</m:t>
        </m:r>
        <m:r>
          <m:rPr>
            <m:sty m:val="p"/>
          </m:rPr>
          <m:t>−</m:t>
        </m:r>
        <m:r>
          <m:rPr>
            <m:sty m:val="p"/>
          </m:rPr>
          <m:t>H</m:t>
        </m:r>
      </m:oMath>
      <w:r>
        <w:rPr>
          <w:rFonts w:eastAsia="Georgia" w:cs="Georgia" w:ascii="Georgia" w:hAnsi="Georgia"/>
        </w:rPr>
        <w:t xml:space="preserve"> ainsi formées ?</w:t>
      </w:r>
    </w:p>
    <w:p>
      <w:pPr>
        <w:spacing w:after="220" w:lineRule="auto"/>
      </w:pPr>
      <w:r>
        <w:rPr>
          <w:rFonts w:eastAsia="Georgia" w:cs="Georgia" w:ascii="Georgia" w:hAnsi="Georgia"/>
        </w:rPr>
        <w:t xml:space="preserve">L'enjeu majeur dans le domaine du stockage sous forme solide est de développer des matériaux sur lesquels il est possible de stocker une grande quantité de dihydrogène qui soit facilement disponible par désorption.</w:t>
      </w:r>
    </w:p>
    <w:p>
      <w:pPr>
        <w:spacing w:after="220" w:lineRule="auto"/>
      </w:pPr>
      <w:r>
        <w:rPr>
          <w:rFonts w:eastAsia="Georgia" w:cs="Georgia" w:ascii="Georgia" w:hAnsi="Georgia"/>
        </w:rPr>
        <w:t xml:space="preserve">Afin de comprendre le principe et les enjeux du stockage par adsorption, on s'intéresse à la cinétique de la physisorption de </w:t>
      </w:r>
      <m:oMath>
        <m:sSub>
          <m:sSubPr/>
          <m:e>
            <m:r>
              <m:rPr>
                <m:sty m:val="p"/>
              </m:rPr>
              <m:t>H</m:t>
            </m:r>
          </m:e>
          <m:sub>
            <m:r>
              <m:rPr>
                <m:sty m:val="p"/>
              </m:rPr>
              <m:t>2</m:t>
            </m:r>
            <m:r>
              <m:rPr>
                <m:sty m:val="p"/>
              </m:rPr>
              <m:t>(</m:t>
            </m:r>
            <m:r>
              <m:rPr>
                <m:nor/>
              </m:rPr>
              <m:t xml:space="preserve"> </m:t>
            </m:r>
            <m:r>
              <m:rPr>
                <m:sty m:val="p"/>
              </m:rPr>
              <m:t>g</m:t>
            </m:r>
            <m:r>
              <m:rPr>
                <m:sty m:val="p"/>
              </m:rPr>
              <m:t>)</m:t>
            </m:r>
          </m:sub>
        </m:sSub>
      </m:oMath>
      <w:r>
        <w:rPr/>
        <w:t xml:space="preserve"> sur une surface de </w:t>
      </w:r>
      <m:oMath>
        <m:sSub>
          <m:sSubPr/>
          <m:e>
            <m:r>
              <m:rPr>
                <m:sty m:val="p"/>
              </m:rPr>
              <m:t>Ni</m:t>
            </m:r>
          </m:e>
          <m:sub>
            <m:r>
              <m:rPr>
                <m:sty m:val="p"/>
              </m:rPr>
              <m:t>(</m:t>
            </m:r>
            <m:r>
              <m:rPr>
                <m:sty m:val="p"/>
              </m:rPr>
              <m:t>s</m:t>
            </m:r>
            <m:r>
              <m:rPr>
                <m:sty m:val="p"/>
              </m:rPr>
              <m:t>)</m:t>
            </m:r>
          </m:sub>
        </m:sSub>
      </m:oMath>
      <w:r>
        <w:rPr>
          <w:rFonts w:eastAsia="Georgia" w:cs="Georgia" w:ascii="Georgia" w:hAnsi="Georgia"/>
        </w:rPr>
        <w:t xml:space="preserve"> possédant N sites d'adsorption et une concentration surfacique en site d'adsorption disponible </w:t>
      </w:r>
      <m:oMath>
        <m:r>
          <m:rPr>
            <m:sty m:val="p"/>
          </m:rPr>
          <m:t>Π</m:t>
        </m:r>
      </m:oMath>
      <w:r>
        <w:rPr/>
        <w:t xml:space="preserve"> (en mol. </w:t>
      </w:r>
      <m:oMath>
        <m:sSup>
          <m:sSupPr/>
          <m:e>
            <m:r>
              <m:rPr>
                <m:sty m:val="p"/>
              </m:rPr>
              <m:t>m</m:t>
            </m:r>
          </m:e>
          <m:sup>
            <m:r>
              <m:rPr>
                <m:sty m:val="p"/>
              </m:rPr>
              <m:t>−</m:t>
            </m:r>
            <m:r>
              <m:rPr>
                <m:sty m:val="p"/>
              </m:rPr>
              <m:t>2</m:t>
            </m:r>
          </m:sup>
        </m:sSup>
      </m:oMath>
      <w:r>
        <w:rPr/>
        <w:t xml:space="preserve"> ) :</w:t>
      </w:r>
    </w:p>
    <w:p>
      <w:pPr>
        <w:spacing w:after="220" w:lineRule="auto"/>
      </w:pPr>
      <m:oMathPara>
        <m:oMath>
          <m:sSub>
            <m:sSubPr/>
            <m:e>
              <m:r>
                <m:rPr>
                  <m:sty m:val="p"/>
                </m:rPr>
                <m:t>H</m:t>
              </m:r>
            </m:e>
            <m:sub>
              <m:r>
                <m:rPr>
                  <m:sty m:val="p"/>
                </m:rPr>
                <m:t>2</m:t>
              </m:r>
              <m:r>
                <m:rPr>
                  <m:sty m:val="p"/>
                </m:rPr>
                <m:t>(</m:t>
              </m:r>
              <m:r>
                <m:rPr>
                  <m:nor/>
                </m:rPr>
                <m:t xml:space="preserve"> </m:t>
              </m:r>
              <m:r>
                <m:rPr>
                  <m:sty m:val="p"/>
                </m:rPr>
                <m:t>g</m:t>
              </m:r>
              <m:r>
                <m:rPr>
                  <m:sty m:val="p"/>
                </m:rPr>
                <m:t>)</m:t>
              </m:r>
            </m:sub>
          </m:sSub>
          <m:r>
            <m:rPr>
              <m:sty m:val="p"/>
            </m:rPr>
            <m:t>+</m:t>
          </m:r>
          <m:sSub>
            <m:sSubPr/>
            <m:e>
              <m:r>
                <m:rPr>
                  <m:sty m:val="p"/>
                </m:rPr>
                <m:t>Ni</m:t>
              </m:r>
            </m:e>
            <m:sub>
              <m:r>
                <m:rPr>
                  <m:sty m:val="p"/>
                </m:rPr>
                <m:t>(</m:t>
              </m:r>
              <m:r>
                <m:rPr>
                  <m:nor/>
                </m:rPr>
                <m:t>site </m:t>
              </m:r>
              <m:r>
                <m:rPr>
                  <m:sty m:val="p"/>
                </m:rPr>
                <m:t>)</m:t>
              </m:r>
            </m:sub>
          </m:sSub>
          <m:r>
            <m:rPr>
              <m:sty m:val="p"/>
            </m:rPr>
            <m:t>⇄</m:t>
          </m:r>
          <m:r>
            <m:rPr>
              <m:sty m:val="p"/>
            </m:rPr>
            <m:t>Ni</m:t>
          </m:r>
          <m:d>
            <m:dPr>
              <m:begChr m:val="("/>
              <m:endChr m:val=")"/>
              <m:ctrlPr>
                <w:rPr>
                  <w:rFonts w:ascii="Cambria Math" w:hAnsi="Cambria Math"/>
                </w:rPr>
              </m:ctrlPr>
            </m:dPr>
            <m:e>
              <m:sSub>
                <m:sSubPr/>
                <m:e>
                  <m:r>
                    <m:rPr>
                      <m:sty m:val="p"/>
                    </m:rPr>
                    <m:t>H</m:t>
                  </m:r>
                </m:e>
                <m:sub>
                  <m:r>
                    <m:rPr>
                      <m:sty m:val="p"/>
                    </m:rPr>
                    <m:t>2</m:t>
                  </m:r>
                </m:sub>
              </m:sSub>
            </m:e>
          </m:d>
        </m:oMath>
      </m:oMathPara>
    </w:p>
    <w:p>
      <w:pPr>
        <w:spacing w:after="220" w:lineRule="auto"/>
      </w:pPr>
      <w:r>
        <w:rPr>
          <w:rFonts w:eastAsia="Georgia" w:cs="Georgia" w:ascii="Georgia" w:hAnsi="Georgia"/>
        </w:rPr>
        <w:t xml:space="preserve">On définit </w:t>
      </w:r>
      <m:oMath>
        <m:sSub>
          <m:sSubPr/>
          <m:e>
            <m:r>
              <m:rPr>
                <m:sty m:val="p"/>
              </m:rPr>
              <m:t>k</m:t>
            </m:r>
          </m:e>
          <m:sub>
            <m:r>
              <m:rPr>
                <m:sty m:val="p"/>
              </m:rPr>
              <m:t>a</m:t>
            </m:r>
          </m:sub>
        </m:sSub>
      </m:oMath>
      <w:r>
        <w:rPr/>
        <w:t xml:space="preserve"> et </w:t>
      </w:r>
      <m:oMath>
        <m:sSub>
          <m:sSubPr/>
          <m:e>
            <m:r>
              <m:rPr>
                <m:sty m:val="p"/>
              </m:rPr>
              <m:t>k</m:t>
            </m:r>
          </m:e>
          <m:sub>
            <m:r>
              <m:rPr>
                <m:sty m:val="p"/>
              </m:rPr>
              <m:t>d</m:t>
            </m:r>
          </m:sub>
        </m:sSub>
      </m:oMath>
      <w:r>
        <w:rPr>
          <w:rFonts w:eastAsia="Georgia" w:cs="Georgia" w:ascii="Georgia" w:hAnsi="Georgia"/>
        </w:rPr>
        <w:t xml:space="preserve"> les constantes de vitesse associées respectivement aux phénomènes d'adsorption et de désorption. Les expériences sont menées dans une enceinte fermée dans laquelle la pression partielle en dihydrogène </w:t>
      </w:r>
      <m:oMath>
        <m:r>
          <m:rPr>
            <m:sty m:val="p"/>
          </m:rPr>
          <m:t>P</m:t>
        </m:r>
        <m:d>
          <m:dPr>
            <m:begChr m:val="("/>
            <m:endChr m:val=")"/>
            <m:ctrlPr>
              <w:rPr>
                <w:rFonts w:ascii="Cambria Math" w:hAnsi="Cambria Math"/>
              </w:rPr>
            </m:ctrlPr>
          </m:dPr>
          <m:e>
            <m:sSub>
              <m:sSubPr/>
              <m:e>
                <m:r>
                  <m:rPr>
                    <m:sty m:val="p"/>
                  </m:rPr>
                  <m:t>H</m:t>
                </m:r>
              </m:e>
              <m:sub>
                <m:r>
                  <m:rPr>
                    <m:sty m:val="p"/>
                  </m:rPr>
                  <m:t>2</m:t>
                </m:r>
              </m:sub>
            </m:sSub>
          </m:e>
        </m:d>
      </m:oMath>
      <w:r>
        <w:rPr>
          <w:rFonts w:eastAsia="Georgia" w:cs="Georgia" w:ascii="Georgia" w:hAnsi="Georgia"/>
        </w:rPr>
        <w:t xml:space="preserve"> et la température sont supposées constantes et sont imposées par l'expérimentateur.</w:t>
      </w:r>
    </w:p>
    <w:p>
      <w:pPr>
        <w:spacing w:after="220" w:lineRule="auto"/>
      </w:pPr>
      <w:r>
        <w:rPr>
          <w:rFonts w:eastAsia="Georgia" w:cs="Georgia" w:ascii="Georgia" w:hAnsi="Georgia"/>
        </w:rPr>
        <w:t xml:space="preserve">On suppose pour cette étude que l'adsorption est monocouche, que tous les sites atomiques sont équivalents, que la surface est parfaitement plate à l'échelle macroscopique et que l'aptitude d'une molécule à s'adsorber sur un site donné est indépendante de l'occupation des sites voisins.</w:t>
      </w:r>
    </w:p>
    <w:p>
      <w:pPr>
        <w:spacing w:after="220" w:lineRule="auto"/>
      </w:pPr>
      <w:r>
        <w:rPr>
          <w:rFonts w:eastAsia="Georgia" w:cs="Georgia" w:ascii="Georgia" w:hAnsi="Georgia"/>
        </w:rPr>
        <w:t xml:space="preserve">Les vitesses d'adsorption et de désorption (en mol. </w:t>
      </w:r>
      <m:oMath>
        <m:sSup>
          <m:sSupPr/>
          <m:e>
            <m:r>
              <m:rPr>
                <m:sty m:val="p"/>
              </m:rPr>
              <m:t>m</m:t>
            </m:r>
          </m:e>
          <m:sup>
            <m:r>
              <m:rPr>
                <m:sty m:val="p"/>
              </m:rPr>
              <m:t>−</m:t>
            </m:r>
            <m:r>
              <m:rPr>
                <m:sty m:val="p"/>
              </m:rPr>
              <m:t>2</m:t>
            </m:r>
          </m:sup>
        </m:sSup>
        <m:r>
          <m:rPr>
            <m:sty m:val="p"/>
          </m:rPr>
          <m:t>.</m:t>
        </m:r>
        <m:sSup>
          <m:sSupPr/>
          <m:e>
            <m:r>
              <m:rPr>
                <m:sty m:val="p"/>
              </m:rPr>
              <m:t>s</m:t>
            </m:r>
          </m:e>
          <m:sup>
            <m:r>
              <m:rPr>
                <m:sty m:val="p"/>
              </m:rPr>
              <m:t>−</m:t>
            </m:r>
            <m:r>
              <m:rPr>
                <m:sty m:val="p"/>
              </m:rPr>
              <m:t>1</m:t>
            </m:r>
          </m:sup>
        </m:sSup>
      </m:oMath>
      <w:r>
        <w:rPr/>
        <w:t xml:space="preserve"> ) s'expriment en fonction du taux de recouvrement </w:t>
      </w:r>
      <m:oMath>
        <m:r>
          <m:rPr>
            <m:sty m:val="i"/>
          </m:rPr>
          <m:t>θ</m:t>
        </m:r>
      </m:oMath>
      <w:r>
        <w:rPr>
          <w:rFonts w:eastAsia="Georgia" w:cs="Georgia" w:ascii="Georgia" w:hAnsi="Georgia"/>
        </w:rPr>
        <w:t xml:space="preserve"> correspondant au rapport entre le nombre de sites occupés par une molécule de dihydrogène et le nombre total de sites disponibles :</w:t>
      </w:r>
    </w:p>
    <w:p>
      <w:pPr>
        <w:spacing w:after="220" w:lineRule="auto"/>
      </w:pPr>
      <m:oMathPara>
        <m:oMath>
          <m:sSub>
            <m:sSubPr/>
            <m:e>
              <m:r>
                <m:rPr>
                  <m:sty m:val="i"/>
                </m:rPr>
                <m:t>v</m:t>
              </m:r>
            </m:e>
            <m:sub>
              <m:r>
                <m:rPr>
                  <m:sty m:val="i"/>
                </m:rPr>
                <m:t>a</m:t>
              </m:r>
            </m:sub>
          </m:sSub>
          <m:r>
            <m:rPr>
              <m:sty m:val="p"/>
            </m:rPr>
            <m:t>=</m:t>
          </m:r>
          <m:sSub>
            <m:sSubPr/>
            <m:e>
              <m:r>
                <m:rPr>
                  <m:sty m:val="i"/>
                </m:rPr>
                <m:t>k</m:t>
              </m:r>
            </m:e>
            <m:sub>
              <m:r>
                <m:rPr>
                  <m:sty m:val="i"/>
                </m:rPr>
                <m:t>a</m:t>
              </m:r>
            </m:sub>
          </m:sSub>
          <m:r>
            <m:rPr>
              <m:sty m:val="p"/>
            </m:rPr>
            <m:t>(</m:t>
          </m:r>
          <m:r>
            <m:rPr>
              <m:sty m:val="p"/>
            </m:rPr>
            <m:t>1</m:t>
          </m:r>
          <m:r>
            <m:rPr>
              <m:sty m:val="p"/>
            </m:rPr>
            <m:t>−</m:t>
          </m:r>
          <m:r>
            <m:rPr>
              <m:sty m:val="i"/>
            </m:rPr>
            <m:t>θ</m:t>
          </m:r>
          <m:r>
            <m:rPr>
              <m:sty m:val="p"/>
            </m:rPr>
            <m:t>)</m:t>
          </m:r>
          <m:r>
            <m:rPr>
              <m:sty m:val="i"/>
            </m:rPr>
            <m:t>P</m:t>
          </m:r>
          <m:d>
            <m:dPr>
              <m:begChr m:val="("/>
              <m:endChr m:val=")"/>
              <m:ctrlPr>
                <w:rPr>
                  <w:rFonts w:ascii="Cambria Math" w:hAnsi="Cambria Math"/>
                </w:rPr>
              </m:ctrlPr>
            </m:dPr>
            <m:e>
              <m:sSub>
                <m:sSubPr/>
                <m:e>
                  <m:r>
                    <m:rPr>
                      <m:sty m:val="i"/>
                    </m:rPr>
                    <m:t>H</m:t>
                  </m:r>
                </m:e>
                <m:sub>
                  <m:r>
                    <m:rPr>
                      <m:sty m:val="p"/>
                    </m:rPr>
                    <m:t>2</m:t>
                  </m:r>
                </m:sub>
              </m:sSub>
            </m:e>
          </m:d>
          <m:r>
            <m:rPr>
              <m:sty m:val="p"/>
            </m:rPr>
            <m:t xml:space="preserve"> </m:t>
          </m:r>
          <m:r>
            <m:rPr>
              <m:nor/>
            </m:rPr>
            <m:t> et </m:t>
          </m:r>
          <m:r>
            <m:rPr>
              <m:sty m:val="p"/>
            </m:rPr>
            <m:t xml:space="preserve"> </m:t>
          </m:r>
          <m:sSub>
            <m:sSubPr/>
            <m:e>
              <m:r>
                <m:rPr>
                  <m:sty m:val="i"/>
                </m:rPr>
                <m:t>v</m:t>
              </m:r>
            </m:e>
            <m:sub>
              <m:r>
                <m:rPr>
                  <m:sty m:val="i"/>
                </m:rPr>
                <m:t>d</m:t>
              </m:r>
            </m:sub>
          </m:sSub>
          <m:r>
            <m:rPr>
              <m:sty m:val="p"/>
            </m:rPr>
            <m:t>=</m:t>
          </m:r>
          <m:sSub>
            <m:sSubPr/>
            <m:e>
              <m:r>
                <m:rPr>
                  <m:sty m:val="i"/>
                </m:rPr>
                <m:t>k</m:t>
              </m:r>
            </m:e>
            <m:sub>
              <m:r>
                <m:rPr>
                  <m:sty m:val="i"/>
                </m:rPr>
                <m:t>d</m:t>
              </m:r>
            </m:sub>
          </m:sSub>
          <m:r>
            <m:rPr>
              <m:sty m:val="i"/>
            </m:rPr>
            <m:t>θ</m:t>
          </m:r>
        </m:oMath>
      </m:oMathPara>
    </w:p>
    <w:p>
      <w:pPr>
        <w:spacing w:after="220" w:lineRule="auto"/>
      </w:pPr>
      <w:r>
        <w:rPr>
          <w:rFonts w:eastAsia="Georgia" w:cs="Georgia" w:ascii="Georgia" w:hAnsi="Georgia"/>
        </w:rPr>
        <w:t xml:space="preserve">Q45 - Donner l'unité (unités dérivées du Système International autorisées) des constantes de vitesse </w:t>
      </w:r>
      <m:oMath>
        <m:sSub>
          <m:sSubPr/>
          <m:e>
            <m:r>
              <m:rPr>
                <m:sty m:val="p"/>
              </m:rPr>
              <m:t>k</m:t>
            </m:r>
          </m:e>
          <m:sub>
            <m:r>
              <m:rPr>
                <m:sty m:val="p"/>
              </m:rPr>
              <m:t>a</m:t>
            </m:r>
          </m:sub>
        </m:sSub>
      </m:oMath>
      <w:r>
        <w:rPr/>
        <w:t xml:space="preserve"> et </w:t>
      </w:r>
      <m:oMath>
        <m:sSub>
          <m:sSubPr/>
          <m:e>
            <m:r>
              <m:rPr>
                <m:sty m:val="p"/>
              </m:rPr>
              <m:t>k</m:t>
            </m:r>
          </m:e>
          <m:sub>
            <m:r>
              <m:rPr>
                <m:sty m:val="p"/>
              </m:rPr>
              <m:t>d</m:t>
            </m:r>
          </m:sub>
        </m:sSub>
      </m:oMath>
      <w:r>
        <w:rPr/>
        <w:t xml:space="preserve">.</w:t>
      </w:r>
    </w:p>
    <w:p>
      <w:pPr>
        <w:spacing w:after="220" w:lineRule="auto"/>
      </w:pPr>
      <w:r>
        <w:rPr>
          <w:rFonts w:eastAsia="Georgia" w:cs="Georgia" w:ascii="Georgia" w:hAnsi="Georgia"/>
        </w:rPr>
        <w:t xml:space="preserve">Le taux de recouvrement évolue au cours du temps selon l'équation :</w:t>
      </w:r>
    </w:p>
    <w:p>
      <w:pPr>
        <w:spacing w:after="220" w:lineRule="auto"/>
      </w:pPr>
      <m:oMathPara>
        <m:oMath>
          <m:r>
            <m:rPr>
              <m:sty m:val="p"/>
            </m:rPr>
            <m:t>Π</m:t>
          </m:r>
          <m:f>
            <m:fPr>
              <m:ctrlPr>
                <w:rPr>
                  <w:rFonts w:ascii="Cambria Math" w:hAnsi="Cambria Math"/>
                </w:rPr>
              </m:ctrlPr>
            </m:fPr>
            <m:num>
              <m:r>
                <m:rPr>
                  <m:sty m:val="i"/>
                </m:rPr>
                <m:t>d</m:t>
              </m:r>
              <m:r>
                <m:rPr>
                  <m:sty m:val="i"/>
                </m:rPr>
                <m:t>θ</m:t>
              </m:r>
            </m:num>
            <m:den>
              <m:r>
                <m:rPr>
                  <m:sty m:val="i"/>
                </m:rPr>
                <m:t>d</m:t>
              </m:r>
              <m:r>
                <m:rPr>
                  <m:sty m:val="i"/>
                </m:rPr>
                <m:t>t</m:t>
              </m:r>
            </m:den>
          </m:f>
          <m:r>
            <m:rPr>
              <m:sty m:val="p"/>
            </m:rPr>
            <m:t>=</m:t>
          </m:r>
          <m:sSub>
            <m:sSubPr/>
            <m:e>
              <m:r>
                <m:rPr>
                  <m:sty m:val="i"/>
                </m:rPr>
                <m:t>v</m:t>
              </m:r>
            </m:e>
            <m:sub>
              <m:r>
                <m:rPr>
                  <m:sty m:val="i"/>
                </m:rPr>
                <m:t>a</m:t>
              </m:r>
            </m:sub>
          </m:sSub>
          <m:r>
            <m:rPr>
              <m:sty m:val="p"/>
            </m:rPr>
            <m:t>−</m:t>
          </m:r>
          <m:sSub>
            <m:sSubPr/>
            <m:e>
              <m:r>
                <m:rPr>
                  <m:sty m:val="i"/>
                </m:rPr>
                <m:t>v</m:t>
              </m:r>
            </m:e>
            <m:sub>
              <m:r>
                <m:rPr>
                  <m:sty m:val="i"/>
                </m:rPr>
                <m:t>d</m:t>
              </m:r>
            </m:sub>
          </m:sSub>
        </m:oMath>
      </m:oMathPara>
    </w:p>
    <w:p>
      <w:pPr>
        <w:spacing w:after="220" w:lineRule="auto"/>
      </w:pPr>
      <w:r>
        <w:rPr>
          <w:rFonts w:eastAsia="Georgia" w:cs="Georgia" w:ascii="Georgia" w:hAnsi="Georgia"/>
        </w:rPr>
        <w:t xml:space="preserve">Q46 - Sachant qu'à </w:t>
      </w:r>
      <m:oMath>
        <m:r>
          <m:rPr>
            <m:sty m:val="i"/>
          </m:rPr>
          <m:t>t</m:t>
        </m:r>
        <m:r>
          <m:rPr>
            <m:sty m:val="p"/>
          </m:rPr>
          <m:t>=</m:t>
        </m:r>
        <m:r>
          <m:rPr>
            <m:sty m:val="p"/>
          </m:rPr>
          <m:t>0</m:t>
        </m:r>
      </m:oMath>
      <w:r>
        <w:rPr>
          <w:rFonts w:eastAsia="Georgia" w:cs="Georgia" w:ascii="Georgia" w:hAnsi="Georgia"/>
        </w:rPr>
        <w:t xml:space="preserve"> le taux de recouvrement est nul, déterminer l'équation </w:t>
      </w:r>
      <m:oMath>
        <m:r>
          <m:rPr>
            <m:sty m:val="i"/>
          </m:rPr>
          <m:t>θ</m:t>
        </m:r>
        <m:r>
          <m:rPr>
            <m:sty m:val="p"/>
          </m:rPr>
          <m:t>=</m:t>
        </m:r>
        <m:r>
          <m:rPr>
            <m:sty m:val="i"/>
          </m:rPr>
          <m:t>f</m:t>
        </m:r>
        <m:r>
          <m:rPr>
            <m:sty m:val="p"/>
          </m:rPr>
          <m:t>(</m:t>
        </m:r>
        <m:r>
          <m:rPr>
            <m:sty m:val="i"/>
          </m:rPr>
          <m:t>t</m:t>
        </m:r>
        <m:r>
          <m:rPr>
            <m:sty m:val="p"/>
          </m:rPr>
          <m:t>)</m:t>
        </m:r>
      </m:oMath>
      <w:r>
        <w:rPr/>
        <w:t xml:space="preserve"> en fonction de </w:t>
      </w:r>
      <m:oMath>
        <m:sSub>
          <m:sSubPr/>
          <m:e>
            <m:r>
              <m:rPr>
                <m:sty m:val="p"/>
              </m:rPr>
              <m:t>k</m:t>
            </m:r>
          </m:e>
          <m:sub>
            <m:r>
              <m:rPr>
                <m:sty m:val="p"/>
              </m:rPr>
              <m:t>a</m:t>
            </m:r>
          </m:sub>
        </m:sSub>
        <m:r>
          <m:rPr>
            <m:sty m:val="p"/>
          </m:rPr>
          <m:t>,</m:t>
        </m:r>
        <m:sSub>
          <m:sSubPr/>
          <m:e>
            <m:r>
              <m:rPr>
                <m:sty m:val="p"/>
              </m:rPr>
              <m:t>k</m:t>
            </m:r>
          </m:e>
          <m:sub>
            <m:r>
              <m:rPr>
                <m:sty m:val="p"/>
              </m:rPr>
              <m:t>d</m:t>
            </m:r>
          </m:sub>
        </m:sSub>
        <m:r>
          <m:rPr>
            <m:sty m:val="p"/>
          </m:rPr>
          <m:t>,</m:t>
        </m:r>
        <m:r>
          <m:rPr>
            <m:sty m:val="p"/>
          </m:rPr>
          <m:t>P</m:t>
        </m:r>
        <m:d>
          <m:dPr>
            <m:begChr m:val="("/>
            <m:endChr m:val=")"/>
            <m:ctrlPr>
              <w:rPr>
                <w:rFonts w:ascii="Cambria Math" w:hAnsi="Cambria Math"/>
              </w:rPr>
            </m:ctrlPr>
          </m:dPr>
          <m:e>
            <m:sSub>
              <m:sSubPr/>
              <m:e>
                <m:r>
                  <m:rPr>
                    <m:sty m:val="p"/>
                  </m:rPr>
                  <m:t>H</m:t>
                </m:r>
              </m:e>
              <m:sub>
                <m:r>
                  <m:rPr>
                    <m:sty m:val="p"/>
                  </m:rPr>
                  <m:t>2</m:t>
                </m:r>
              </m:sub>
            </m:sSub>
          </m:e>
        </m:d>
      </m:oMath>
      <w:r>
        <w:rPr/>
        <w:t xml:space="preserve"> et </w:t>
      </w:r>
      <m:oMath>
        <m:r>
          <m:rPr>
            <m:sty m:val="p"/>
          </m:rPr>
          <m:t>Π</m:t>
        </m:r>
      </m:oMath>
      <w:r>
        <w:rPr/>
        <w:t xml:space="preserve">.</w:t>
      </w:r>
    </w:p>
    <w:p>
      <w:pPr>
        <w:spacing w:after="220" w:lineRule="auto"/>
      </w:pPr>
      <w:r>
        <w:rPr>
          <w:rFonts w:eastAsia="Georgia" w:cs="Georgia" w:ascii="Georgia" w:hAnsi="Georgia"/>
        </w:rPr>
        <w:t xml:space="preserve">Q47 - En déduire que lorsque l'équilibre de physisorption est atteint, on a :</w:t>
      </w:r>
    </w:p>
    <w:p>
      <w:pPr>
        <w:spacing w:after="220" w:lineRule="auto"/>
      </w:pPr>
      <m:oMathPara>
        <m:oMath>
          <m:r>
            <m:rPr>
              <m:sty m:val="i"/>
            </m:rPr>
            <m:t>θ</m:t>
          </m:r>
          <m:r>
            <m:rPr>
              <m:sty m:val="p"/>
            </m:rPr>
            <m:t>=</m:t>
          </m:r>
          <m:sSub>
            <m:sSubPr/>
            <m:e>
              <m:r>
                <m:rPr>
                  <m:sty m:val="i"/>
                </m:rPr>
                <m:t>θ</m:t>
              </m:r>
            </m:e>
            <m:sub>
              <m:r>
                <m:rPr>
                  <m:sty m:val="p"/>
                </m:rPr>
                <m:t>eq</m:t>
              </m:r>
            </m:sub>
          </m:sSub>
          <m:r>
            <m:rPr>
              <m:sty m:val="p"/>
            </m:rPr>
            <m:t>=</m:t>
          </m:r>
          <m:f>
            <m:fPr>
              <m:ctrlPr>
                <w:rPr>
                  <w:rFonts w:ascii="Cambria Math" w:hAnsi="Cambria Math"/>
                </w:rPr>
              </m:ctrlPr>
            </m:fPr>
            <m:num>
              <m:r>
                <m:rPr>
                  <m:sty m:val="p"/>
                </m:rPr>
                <m:t>KP</m:t>
              </m:r>
              <m:d>
                <m:dPr>
                  <m:begChr m:val="("/>
                  <m:endChr m:val=")"/>
                  <m:ctrlPr>
                    <w:rPr>
                      <w:rFonts w:ascii="Cambria Math" w:hAnsi="Cambria Math"/>
                    </w:rPr>
                  </m:ctrlPr>
                </m:dPr>
                <m:e>
                  <m:sSub>
                    <m:sSubPr/>
                    <m:e>
                      <m:r>
                        <m:rPr>
                          <m:sty m:val="p"/>
                        </m:rPr>
                        <m:t>H</m:t>
                      </m:r>
                    </m:e>
                    <m:sub>
                      <m:r>
                        <m:rPr>
                          <m:sty m:val="p"/>
                        </m:rPr>
                        <m:t>2</m:t>
                      </m:r>
                    </m:sub>
                  </m:sSub>
                </m:e>
              </m:d>
            </m:num>
            <m:den>
              <m:r>
                <m:rPr>
                  <m:sty m:val="p"/>
                </m:rPr>
                <m:t>1</m:t>
              </m:r>
              <m:r>
                <m:rPr>
                  <m:sty m:val="p"/>
                </m:rPr>
                <m:t>+</m:t>
              </m:r>
              <m:r>
                <m:rPr>
                  <m:sty m:val="p"/>
                </m:rPr>
                <m:t>KP</m:t>
              </m:r>
              <m:d>
                <m:dPr>
                  <m:begChr m:val="("/>
                  <m:endChr m:val=")"/>
                  <m:ctrlPr>
                    <w:rPr>
                      <w:rFonts w:ascii="Cambria Math" w:hAnsi="Cambria Math"/>
                    </w:rPr>
                  </m:ctrlPr>
                </m:dPr>
                <m:e>
                  <m:sSub>
                    <m:sSubPr/>
                    <m:e>
                      <m:r>
                        <m:rPr>
                          <m:sty m:val="p"/>
                        </m:rPr>
                        <m:t>H</m:t>
                      </m:r>
                    </m:e>
                    <m:sub>
                      <m:r>
                        <m:rPr>
                          <m:sty m:val="p"/>
                        </m:rPr>
                        <m:t>2</m:t>
                      </m:r>
                    </m:sub>
                  </m:sSub>
                </m:e>
              </m:d>
            </m:den>
          </m:f>
        </m:oMath>
      </m:oMathPara>
    </w:p>
    <w:p>
      <w:pPr>
        <w:spacing w:after="220" w:lineRule="auto"/>
      </w:pPr>
      <w:r>
        <w:rPr/>
        <w:t xml:space="preserve">Exprimer K (coefficient d'adsorption) en fonction de </w:t>
      </w:r>
      <m:oMath>
        <m:sSub>
          <m:sSubPr/>
          <m:e>
            <m:r>
              <m:rPr>
                <m:sty m:val="p"/>
              </m:rPr>
              <m:t>k</m:t>
            </m:r>
          </m:e>
          <m:sub>
            <m:r>
              <m:rPr>
                <m:sty m:val="p"/>
              </m:rPr>
              <m:t>a</m:t>
            </m:r>
          </m:sub>
        </m:sSub>
      </m:oMath>
      <w:r>
        <w:rPr/>
        <w:t xml:space="preserve"> et </w:t>
      </w:r>
      <m:oMath>
        <m:sSub>
          <m:sSubPr/>
          <m:e>
            <m:r>
              <m:rPr>
                <m:sty m:val="p"/>
              </m:rPr>
              <m:t>k</m:t>
            </m:r>
          </m:e>
          <m:sub>
            <m:r>
              <m:rPr>
                <m:sty m:val="p"/>
              </m:rPr>
              <m:t>d</m:t>
            </m:r>
          </m:sub>
        </m:sSub>
      </m:oMath>
      <w:r>
        <w:rPr/>
        <w:t xml:space="preserve">.</w:t>
      </w:r>
    </w:p>
    <w:p>
      <w:pPr>
        <w:spacing w:after="220" w:lineRule="auto"/>
      </w:pPr>
      <w:r>
        <w:rPr/>
        <w:t xml:space="preserve">Q48 - Sachant que </w:t>
      </w:r>
      <m:oMath>
        <m:r>
          <m:rPr>
            <m:sty m:val="i"/>
          </m:rPr>
          <m:t>θ</m:t>
        </m:r>
      </m:oMath>
      <w:r>
        <w:rPr>
          <w:rFonts w:eastAsia="Georgia" w:cs="Georgia" w:ascii="Georgia" w:hAnsi="Georgia"/>
        </w:rPr>
        <w:t xml:space="preserve"> est un paramètre intensif, calculer la variance du système. Justifier que la fonction </w:t>
      </w:r>
      <m:oMath>
        <m:sSub>
          <m:sSubPr/>
          <m:e>
            <m:r>
              <m:rPr>
                <m:sty m:val="i"/>
              </m:rPr>
              <m:t>θ</m:t>
            </m:r>
          </m:e>
          <m:sub>
            <m:r>
              <m:rPr>
                <m:sty m:val="p"/>
              </m:rPr>
              <m:t>eq</m:t>
            </m:r>
          </m:sub>
        </m:sSub>
        <m:r>
          <m:rPr>
            <m:sty m:val="p"/>
          </m:rPr>
          <m:t>=</m:t>
        </m:r>
        <m:r>
          <m:rPr>
            <m:sty m:val="p"/>
          </m:rPr>
          <m:t>f</m:t>
        </m:r>
        <m:d>
          <m:dPr>
            <m:begChr m:val="("/>
            <m:endChr m:val=")"/>
            <m:ctrlPr>
              <w:rPr>
                <w:rFonts w:ascii="Cambria Math" w:hAnsi="Cambria Math"/>
              </w:rPr>
            </m:ctrlPr>
          </m:dPr>
          <m:e>
            <m:r>
              <m:rPr>
                <m:sty m:val="p"/>
              </m:rPr>
              <m:t>P</m:t>
            </m:r>
            <m:d>
              <m:dPr>
                <m:begChr m:val="("/>
                <m:endChr m:val=")"/>
                <m:ctrlPr>
                  <w:rPr>
                    <w:rFonts w:ascii="Cambria Math" w:hAnsi="Cambria Math"/>
                  </w:rPr>
                </m:ctrlPr>
              </m:dPr>
              <m:e>
                <m:sSub>
                  <m:sSubPr/>
                  <m:e>
                    <m:r>
                      <m:rPr>
                        <m:sty m:val="p"/>
                      </m:rPr>
                      <m:t>H</m:t>
                    </m:r>
                  </m:e>
                  <m:sub>
                    <m:r>
                      <m:rPr>
                        <m:sty m:val="p"/>
                      </m:rPr>
                      <m:t>2</m:t>
                    </m:r>
                  </m:sub>
                </m:sSub>
              </m:e>
            </m:d>
          </m:e>
        </m:d>
      </m:oMath>
      <w:r>
        <w:rPr>
          <w:rFonts w:eastAsia="Georgia" w:cs="Georgia" w:ascii="Georgia" w:hAnsi="Georgia"/>
        </w:rPr>
        <w:t xml:space="preserve"> soit appelée </w:t>
      </w:r>
      <m:oMath>
        <m:r>
          <m:rPr>
            <m:sty m:val="p"/>
          </m:rPr>
          <m:t>&lt;</m:t>
        </m:r>
      </m:oMath>
      <w:r>
        <w:rPr/>
        <w:t xml:space="preserve"> isotherme </w:t>
      </w:r>
      <m:oMath>
        <m:r>
          <m:rPr>
            <m:sty m:val="p"/>
          </m:rPr>
          <m:t>&gt;</m:t>
        </m:r>
      </m:oMath>
      <w:r>
        <w:rPr/>
        <w:t xml:space="preserve"> de Langmuir.</w:t>
      </w:r>
    </w:p>
    <w:p>
      <w:pPr>
        <w:spacing w:after="220" w:lineRule="auto"/>
      </w:pPr>
      <w:r>
        <w:rPr>
          <w:rFonts w:eastAsia="Georgia" w:cs="Georgia" w:ascii="Georgia" w:hAnsi="Georgia"/>
        </w:rPr>
        <w:t xml:space="preserve">Dans l'hypothèse où toutes les molécules de dihydrogène seraient non plus physisorbées, mais chimisorbées de façon dissociative à la surface du catalyseur, il est possible de montrer que l'expression de l'isotherme de Langmuir s'écrit :</w:t>
      </w:r>
    </w:p>
    <w:p>
      <w:pPr>
        <w:spacing w:after="220" w:lineRule="auto"/>
      </w:pPr>
      <m:oMathPara>
        <m:oMath>
          <m:sSub>
            <m:sSubPr/>
            <m:e>
              <m:r>
                <m:rPr>
                  <m:sty m:val="i"/>
                </m:rPr>
                <m:t>θ</m:t>
              </m:r>
            </m:e>
            <m:sub>
              <m:r>
                <m:rPr>
                  <m:sty m:val="p"/>
                </m:rPr>
                <m:t>eq</m:t>
              </m:r>
            </m:sub>
          </m:sSub>
          <m:r>
            <m:rPr>
              <m:sty m:val="p"/>
            </m:rPr>
            <m:t>=</m:t>
          </m:r>
          <m:f>
            <m:fPr>
              <m:ctrlPr>
                <w:rPr>
                  <w:rFonts w:ascii="Cambria Math" w:hAnsi="Cambria Math"/>
                </w:rPr>
              </m:ctrlPr>
            </m:fPr>
            <m:num>
              <m:rad>
                <m:radPr>
                  <m:degHide m:val="1"/>
                  <m:ctrlPr>
                    <w:rPr>
                      <w:rFonts w:ascii="Cambria Math" w:hAnsi="Cambria Math"/>
                    </w:rPr>
                  </m:ctrlPr>
                </m:radPr>
                <m:deg/>
                <m:e>
                  <m:r>
                    <m:rPr>
                      <m:sty m:val="p"/>
                    </m:rPr>
                    <m:t>KP</m:t>
                  </m:r>
                  <m:d>
                    <m:dPr>
                      <m:begChr m:val="("/>
                      <m:endChr m:val=")"/>
                      <m:ctrlPr>
                        <w:rPr>
                          <w:rFonts w:ascii="Cambria Math" w:hAnsi="Cambria Math"/>
                        </w:rPr>
                      </m:ctrlPr>
                    </m:dPr>
                    <m:e>
                      <m:sSub>
                        <m:sSubPr/>
                        <m:e>
                          <m:r>
                            <m:rPr>
                              <m:sty m:val="p"/>
                            </m:rPr>
                            <m:t>H</m:t>
                          </m:r>
                        </m:e>
                        <m:sub>
                          <m:r>
                            <m:rPr>
                              <m:sty m:val="p"/>
                            </m:rPr>
                            <m:t>2</m:t>
                          </m:r>
                        </m:sub>
                      </m:sSub>
                    </m:e>
                  </m:d>
                </m:e>
              </m:rad>
            </m:num>
            <m:den>
              <m:r>
                <m:rPr>
                  <m:sty m:val="p"/>
                </m:rPr>
                <m:t>1</m:t>
              </m:r>
              <m:r>
                <m:rPr>
                  <m:sty m:val="p"/>
                </m:rPr>
                <m:t>+</m:t>
              </m:r>
              <m:rad>
                <m:radPr>
                  <m:degHide m:val="1"/>
                  <m:ctrlPr>
                    <w:rPr>
                      <w:rFonts w:ascii="Cambria Math" w:hAnsi="Cambria Math"/>
                    </w:rPr>
                  </m:ctrlPr>
                </m:radPr>
                <m:deg/>
                <m:e>
                  <m:r>
                    <m:rPr>
                      <m:sty m:val="p"/>
                    </m:rPr>
                    <m:t>KP</m:t>
                  </m:r>
                  <m:d>
                    <m:dPr>
                      <m:begChr m:val="("/>
                      <m:endChr m:val=")"/>
                      <m:ctrlPr>
                        <w:rPr>
                          <w:rFonts w:ascii="Cambria Math" w:hAnsi="Cambria Math"/>
                        </w:rPr>
                      </m:ctrlPr>
                    </m:dPr>
                    <m:e>
                      <m:sSub>
                        <m:sSubPr/>
                        <m:e>
                          <m:r>
                            <m:rPr>
                              <m:sty m:val="p"/>
                            </m:rPr>
                            <m:t>H</m:t>
                          </m:r>
                        </m:e>
                        <m:sub>
                          <m:r>
                            <m:rPr>
                              <m:sty m:val="p"/>
                            </m:rPr>
                            <m:t>2</m:t>
                          </m:r>
                        </m:sub>
                      </m:sSub>
                    </m:e>
                  </m:d>
                </m:e>
              </m:rad>
            </m:den>
          </m:f>
          <m:r>
            <m:rPr>
              <m:sty m:val="p"/>
            </m:rPr>
            <m:t>.</m:t>
          </m:r>
        </m:oMath>
      </m:oMathPara>
    </w:p>
    <w:p>
      <w:pPr>
        <w:spacing w:after="220" w:lineRule="auto"/>
      </w:pPr>
      <w:r>
        <w:rPr>
          <w:rFonts w:eastAsia="Georgia" w:cs="Georgia" w:ascii="Georgia" w:hAnsi="Georgia"/>
        </w:rPr>
        <w:t xml:space="preserve">Q49 - À partir du document 6, justifier si les molécules de dihydrogène ont plutôt tendance à se physisorber ou à se chimisorber de façon dissociative à la surface du nickel. Toute démarche d'investigation, même non aboutie, sera valorisée.</w:t>
      </w:r>
    </w:p>
    <w:p>
      <w:pPr>
        <w:spacing w:line="271" w:before="330" w:lineRule="auto"/>
      </w:pPr>
      <w:r>
        <w:rPr>
          <w:b/>
          <w:sz w:val="42"/>
        </w:rPr>
        <w:t xml:space="preserve">Document 6</w:t>
      </w:r>
    </w:p>
    <w:p>
      <w:pPr>
        <w:spacing w:after="220" w:lineRule="auto"/>
      </w:pPr>
      <w:r>
        <w:rPr>
          <w:rFonts w:eastAsia="Georgia" w:cs="Georgia" w:ascii="Georgia" w:hAnsi="Georgia"/>
        </w:rPr>
        <w:t xml:space="preserve">Ci-dessous l'isotherme de Langmuir expérimentale à 298 K associée à l'adsorption du dihydrogène sur une surface de nickel solide. Les abscisses et ordonnées des points expérimentaux sont reportées dans le tableau ci-dessous. Le stockage sous forme solide ne nécessite pas d'utiliser de hautes températures ou pressions comme c'est le cas pour le stockage sous forme gazeuse ou liquide, c'est l'intérêt majeur de ce procédé.</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bi"/>
                      </m:rPr>
                      <m:t>θ</m:t>
                    </m:r>
                  </m:e>
                  <m:sub>
                    <m:r>
                      <m:rPr>
                        <m:sty m:val="p"/>
                      </m:rPr>
                      <m:t>eq</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b"/>
                  </m:rPr>
                  <m:t>P</m:t>
                </m:r>
                <m:d>
                  <m:dPr>
                    <m:begChr m:val="("/>
                    <m:endChr m:val=")"/>
                    <m:ctrlPr>
                      <w:rPr>
                        <w:rFonts w:ascii="Cambria Math" w:hAnsi="Cambria Math"/>
                      </w:rPr>
                    </m:ctrlPr>
                  </m:dPr>
                  <m:e>
                    <m:sSub>
                      <m:sSubPr/>
                      <m:e>
                        <m:r>
                          <m:rPr>
                            <m:sty m:val="b"/>
                          </m:rPr>
                          <m:t>H</m:t>
                        </m:r>
                      </m:e>
                      <m:sub>
                        <m:r>
                          <m:rPr>
                            <m:sty m:val="p"/>
                          </m:rPr>
                          <m:t>2</m:t>
                        </m:r>
                      </m:sub>
                    </m:sSub>
                  </m:e>
                </m:d>
                <m:r>
                  <m:rPr>
                    <m:sty m:val="p"/>
                  </m:rPr>
                  <m:t>(</m:t>
                </m:r>
                <m:r>
                  <m:rPr>
                    <m:sty m:val="b"/>
                  </m:rPr>
                  <m:t>e</m:t>
                </m:r>
                <m:r>
                  <m:rPr>
                    <m:sty m:val="b"/>
                  </m:rPr>
                  <m:t>n</m:t>
                </m:r>
                <m:r>
                  <m:rPr>
                    <m:nor/>
                  </m:rPr>
                  <m:t xml:space="preserve"> </m:t>
                </m:r>
                <m:r>
                  <m:rPr>
                    <m:sty m:val="b"/>
                  </m:rPr>
                  <m:t>P</m:t>
                </m:r>
                <m:r>
                  <m:rPr>
                    <m:sty m:val="b"/>
                  </m:rPr>
                  <m:t>a</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0,287</w:t>
            </w:r>
          </w:p>
        </w:tc>
        <w:tc>
          <w:tcPr>
            <w:tcBorders>
              <w:bottom w:val="single" w:sz="8" w:space="0" w:color="000000"/>
              <w:right w:val="single" w:sz="8" w:space="0" w:color="000000"/>
            </w:tcBorders>
            <w:vAlign w:val="center"/>
          </w:tcPr>
          <w:p>
            <w:pPr>
              <w:spacing w:lineRule="auto"/>
              <w:jc w:val="center"/>
            </w:pPr>
            <w:r>
              <w:rPr/>
              <w:t xml:space="preserve">440,00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0,500</w:t>
            </w:r>
          </w:p>
        </w:tc>
        <w:tc>
          <w:tcPr>
            <w:tcBorders>
              <w:bottom w:val="single" w:sz="8" w:space="0" w:color="000000"/>
              <w:right w:val="single" w:sz="8" w:space="0" w:color="000000"/>
            </w:tcBorders>
            <w:vAlign w:val="center"/>
          </w:tcPr>
          <w:p>
            <w:pPr>
              <w:spacing w:lineRule="auto"/>
              <w:jc w:val="center"/>
            </w:pPr>
            <w:r>
              <w:rPr/>
              <w:t xml:space="preserve">1200,0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0,647</w:t>
            </w:r>
          </w:p>
        </w:tc>
        <w:tc>
          <w:tcPr>
            <w:tcBorders>
              <w:bottom w:val="single" w:sz="8" w:space="0" w:color="000000"/>
              <w:right w:val="single" w:sz="8" w:space="0" w:color="000000"/>
            </w:tcBorders>
            <w:vAlign w:val="center"/>
          </w:tcPr>
          <w:p>
            <w:pPr>
              <w:spacing w:lineRule="auto"/>
              <w:jc w:val="center"/>
            </w:pPr>
            <w:r>
              <w:rPr/>
              <w:t xml:space="preserve">2372,0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0,767</w:t>
            </w:r>
          </w:p>
        </w:tc>
        <w:tc>
          <w:tcPr>
            <w:tcBorders>
              <w:bottom w:val="single" w:sz="8" w:space="0" w:color="000000"/>
              <w:right w:val="single" w:sz="8" w:space="0" w:color="000000"/>
            </w:tcBorders>
            <w:vAlign w:val="center"/>
          </w:tcPr>
          <w:p>
            <w:pPr>
              <w:spacing w:lineRule="auto"/>
              <w:jc w:val="center"/>
            </w:pPr>
            <w:r>
              <w:rPr/>
              <w:t xml:space="preserve">4812,0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0,900</w:t>
            </w:r>
          </w:p>
        </w:tc>
        <w:tc>
          <w:tcPr>
            <w:tcBorders>
              <w:bottom w:val="single" w:sz="8" w:space="0" w:color="000000"/>
              <w:right w:val="single" w:sz="8" w:space="0" w:color="000000"/>
            </w:tcBorders>
            <w:vAlign w:val="center"/>
          </w:tcPr>
          <w:p>
            <w:pPr>
              <w:spacing w:lineRule="auto"/>
              <w:jc w:val="center"/>
            </w:pPr>
            <w:r>
              <w:rPr/>
              <w:t xml:space="preserve">10000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0,967</w:t>
            </w:r>
          </w:p>
        </w:tc>
        <w:tc>
          <w:tcPr>
            <w:tcBorders>
              <w:bottom w:val="single" w:sz="8" w:space="0" w:color="000000"/>
              <w:right w:val="single" w:sz="8" w:space="0" w:color="000000"/>
            </w:tcBorders>
            <w:vAlign w:val="center"/>
          </w:tcPr>
          <w:p>
            <w:pPr>
              <w:spacing w:lineRule="auto"/>
              <w:jc w:val="center"/>
            </w:pPr>
            <w:r>
              <w:rPr/>
              <w:t xml:space="preserve">27326</w:t>
            </w:r>
          </w:p>
        </w:tc>
      </w:tr>
    </w:tbl>
    <w:p>
      <w:pPr>
        <w:spacing w:lineRule="auto"/>
      </w:pPr>
    </w:p>
    <w:p>
      <w:pPr>
        <w:spacing w:lineRule="auto"/>
        <w:jc w:val="center"/>
      </w:pPr>
      <w:r>
        <w:rPr/>
        <w:drawing>
          <wp:inline distB="0" distL="0" distR="0" distT="0">
            <wp:extent cx="5486400" cy="4113443"/>
            <wp:effectExtent b="0" l="0" r="0" t="0"/>
            <wp:docPr id="16" name="image-680b5783f55a21a6b7ee311765c96bdba7ea2621.jpg"/>
            <a:graphic>
              <a:graphicData uri="http://schemas.openxmlformats.org/drawingml/2006/picture">
                <pic:pic>
                  <pic:nvPicPr>
                    <pic:cNvPr id="16" name="image-680b5783f55a21a6b7ee311765c96bdba7ea2621.jpg" descr=""/>
                    <pic:cNvPicPr/>
                  </pic:nvPicPr>
                  <pic:blipFill>
                    <a:blip r:embed="rId22" cstate="print"/>
                    <a:srcRect b="0" l="0" r="0" t="0"/>
                    <a:stretch>
                      <a:fillRect/>
                    </a:stretch>
                  </pic:blipFill>
                  <pic:spPr>
                    <a:xfrm>
                      <a:off x="0" y="0"/>
                      <a:ext cx="5486400" cy="4113443"/>
                    </a:xfrm>
                    <a:prstGeom prst="rect"/>
                  </pic:spPr>
                </pic:pic>
              </a:graphicData>
            </a:graphic>
          </wp:inline>
        </w:drawing>
      </w:r>
    </w:p>
    <w:p>
      <w:pPr>
        <w:spacing w:line="271" w:before="330" w:lineRule="auto"/>
      </w:pPr>
      <w:r>
        <w:rPr>
          <w:rFonts w:eastAsia="Georgia" w:cs="Georgia" w:ascii="Georgia" w:hAnsi="Georgia"/>
          <w:b/>
          <w:sz w:val="42"/>
        </w:rPr>
        <w:t xml:space="preserve">Le dihydrogène en synthèse organique</w:t>
      </w:r>
    </w:p>
    <w:p>
      <w:pPr>
        <w:spacing w:line="271" w:before="330" w:lineRule="auto"/>
      </w:pPr>
      <w:r>
        <w:rPr>
          <w:rFonts w:eastAsia="Georgia" w:cs="Georgia" w:ascii="Georgia" w:hAnsi="Georgia"/>
          <w:b/>
          <w:sz w:val="42"/>
        </w:rPr>
        <w:t xml:space="preserve">C. Synthèse totale de la Japonilure </w:t>
      </w:r>
      <m:oMath>
        <m:sSup>
          <m:sSupPr>
            <m:ctrlPr>
              <w:rPr>
                <w:rFonts w:ascii="Cambria Math" w:hAnsi="Cambria Math"/>
                <w:sz w:val="42"/>
              </w:rPr>
            </m:ctrlPr>
          </m:sSupPr>
          <m:e>
            <m:r>
              <m:t xml:space="preserve"> </m:t>
            </m:r>
          </m:e>
          <m:sup>
            <m:r>
              <m:rPr>
                <m:sty m:val="p"/>
              </m:rPr>
              <w:rPr>
                <w:sz w:val="42"/>
              </w:rPr>
              <m:t>2</m:t>
            </m:r>
          </m:sup>
        </m:sSup>
      </m:oMath>
    </w:p>
    <w:p>
      <w:pPr>
        <w:spacing w:after="220" w:lineRule="auto"/>
      </w:pPr>
      <w:r>
        <w:rPr>
          <w:rFonts w:eastAsia="Georgia" w:cs="Georgia" w:ascii="Georgia" w:hAnsi="Georgia"/>
        </w:rPr>
        <w:t xml:space="preserve">On s'intéresse dans cette partie à la synthèse totale de la Japonilure 12 dont la dernière étape utilise le dihydrogène comme réactif. Il s'agit d'une phéromone produite par le scarabée japonais femelle (Popillia japonica, voir photo ci-dessous). Cette phéromone présente un intérêt pour les industriels qui souhaitent s'en servir comme piège pour attirer les scarabées responsables de nombreux dégâts sur les arbres et les cultures. L'effet de cette phéromone étant inhibé en présence de l'un de ses stéréoisomères 12', la dernière étape d'hydrogénation doit être hautement sélective.</w:t>
      </w:r>
    </w:p>
    <w:p>
      <w:pPr>
        <w:spacing w:lineRule="auto"/>
      </w:pPr>
      <w:r>
        <w:rPr/>
        <w:drawing>
          <wp:inline distB="0" distL="0" distR="0" distT="0">
            <wp:extent cx="3181350" cy="2181225"/>
            <wp:effectExtent b="0" l="0" r="0" t="0"/>
            <wp:docPr id="17" name="image-svg-7859080314f3b1571ab4ebcc040e0706f6eef314.svg"/>
            <a:graphic>
              <a:graphicData uri="http://schemas.openxmlformats.org/drawingml/2006/picture">
                <pic:pic>
                  <pic:nvPicPr>
                    <pic:cNvPr id="17" name="image-svg-7859080314f3b1571ab4ebcc040e0706f6eef314.svg" descr=""/>
                    <pic:cNvPicPr/>
                  </pic:nvPicPr>
                  <pic:blipFill>
                    <a:blip r:embed="rId24" cstate="print">
                      <a:extLst>
                        <a:ext uri="">
                          <a14:useLocalDpi val="0"/>
                        </a:ext>
                        <a:ext uri="">
                          <asvg:svgBlip r:embed="rId23"/>
                        </a:ext>
                      </a:extLst>
                    </a:blip>
                    <a:srcRect b="0" l="0" r="0" t="0"/>
                    <a:stretch>
                      <a:fillRect/>
                    </a:stretch>
                  </pic:blipFill>
                  <pic:spPr>
                    <a:xfrm>
                      <a:off x="0" y="0"/>
                      <a:ext cx="3181350" cy="2181225"/>
                    </a:xfrm>
                    <a:prstGeom prst="rect"/>
                  </pic:spPr>
                </pic:pic>
              </a:graphicData>
            </a:graphic>
          </wp:inline>
        </w:drawing>
      </w:r>
    </w:p>
    <w:p>
      <w:pPr>
        <w:spacing w:after="220" w:lineRule="auto"/>
      </w:pPr>
      <w:r>
        <w:rPr/>
        <w:t xml:space="preserve">12</w:t>
      </w:r>
      <w:r>
        <w:rPr/>
        <w:br w:type="textWrapping"/>
      </w:r>
    </w:p>
    <w:p>
      <w:pPr>
        <w:spacing w:lineRule="auto"/>
        <w:jc w:val="center"/>
      </w:pPr>
      <w:r>
        <w:rPr/>
        <w:drawing>
          <wp:inline distB="0" distL="0" distR="0" distT="0">
            <wp:extent cx="4714875" cy="4010025"/>
            <wp:effectExtent b="0" l="0" r="0" t="0"/>
            <wp:docPr id="19" name="image-a3a6b4d9d345f63bec38214188546129c7e8e4ab.jpg"/>
            <a:graphic>
              <a:graphicData uri="http://schemas.openxmlformats.org/drawingml/2006/picture">
                <pic:pic>
                  <pic:nvPicPr>
                    <pic:cNvPr id="19" name="image-a3a6b4d9d345f63bec38214188546129c7e8e4ab.jpg" descr=""/>
                    <pic:cNvPicPr/>
                  </pic:nvPicPr>
                  <pic:blipFill>
                    <a:blip r:embed="rId25" cstate="print"/>
                    <a:srcRect b="0" l="0" r="0" t="0"/>
                    <a:stretch>
                      <a:fillRect/>
                    </a:stretch>
                  </pic:blipFill>
                  <pic:spPr>
                    <a:xfrm>
                      <a:off x="0" y="0"/>
                      <a:ext cx="4714875" cy="4010025"/>
                    </a:xfrm>
                    <a:prstGeom prst="rect"/>
                  </pic:spPr>
                </pic:pic>
              </a:graphicData>
            </a:graphic>
          </wp:inline>
        </w:drawing>
      </w:r>
    </w:p>
    <w:p>
      <w:pPr>
        <w:spacing w:after="220" w:lineRule="auto"/>
      </w:pPr>
      <w:r>
        <w:rPr/>
        <w:br w:type="textWrapping"/>
      </w:r>
    </w:p>
    <w:p>
      <w:pPr>
        <w:spacing w:lineRule="auto"/>
      </w:pPr>
      <w:r>
        <w:rPr/>
        <w:drawing>
          <wp:inline distB="0" distL="0" distR="0" distT="0">
            <wp:extent cx="3876675" cy="1181100"/>
            <wp:effectExtent b="0" l="0" r="0" t="0"/>
            <wp:docPr id="20" name="image-svg-ad3a2948f8f58be0835594e4f869435be9e035a5.svg"/>
            <a:graphic>
              <a:graphicData uri="http://schemas.openxmlformats.org/drawingml/2006/picture">
                <pic:pic>
                  <pic:nvPicPr>
                    <pic:cNvPr id="20" name="image-svg-ad3a2948f8f58be0835594e4f869435be9e035a5.svg" descr=""/>
                    <pic:cNvPicPr/>
                  </pic:nvPicPr>
                  <pic:blipFill>
                    <a:blip r:embed="rId27" cstate="print">
                      <a:extLst>
                        <a:ext uri="">
                          <a14:useLocalDpi val="0"/>
                        </a:ext>
                        <a:ext uri="">
                          <asvg:svgBlip r:embed="rId26"/>
                        </a:ext>
                      </a:extLst>
                    </a:blip>
                    <a:srcRect b="0" l="0" r="0" t="0"/>
                    <a:stretch>
                      <a:fillRect/>
                    </a:stretch>
                  </pic:blipFill>
                  <pic:spPr>
                    <a:xfrm>
                      <a:off x="0" y="0"/>
                      <a:ext cx="3876675" cy="1181100"/>
                    </a:xfrm>
                    <a:prstGeom prst="rect"/>
                  </pic:spPr>
                </pic:pic>
              </a:graphicData>
            </a:graphic>
          </wp:inline>
        </w:drawing>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APTS PPTS</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Acide paratoluènesulfonique Paratoluènesulfonate de pyridinium</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CH</m:t>
                    </m:r>
                  </m:e>
                  <m:sub>
                    <m:r>
                      <m:rPr>
                        <m:sty m:val="p"/>
                      </m:rPr>
                      <m:t>3</m:t>
                    </m:r>
                  </m:sub>
                </m:sSub>
                <m:sSub>
                  <m:sSubPr/>
                  <m:e>
                    <m:r>
                      <m:rPr>
                        <m:sty m:val="p"/>
                      </m:rPr>
                      <m:t>C</m:t>
                    </m:r>
                  </m:e>
                  <m:sub>
                    <m:r>
                      <m:rPr>
                        <m:sty m:val="p"/>
                      </m:rPr>
                      <m:t>6</m:t>
                    </m:r>
                  </m:sub>
                </m:sSub>
                <m:sSub>
                  <m:sSubPr/>
                  <m:e>
                    <m:r>
                      <m:rPr>
                        <m:sty m:val="p"/>
                      </m:rPr>
                      <m:t>H</m:t>
                    </m:r>
                  </m:e>
                  <m:sub>
                    <m:r>
                      <m:rPr>
                        <m:sty m:val="p"/>
                      </m:rPr>
                      <m:t>4</m:t>
                    </m:r>
                  </m:sub>
                </m:sSub>
                <m:sSub>
                  <m:sSubPr/>
                  <m:e>
                    <m:r>
                      <m:rPr>
                        <m:sty m:val="p"/>
                      </m:rPr>
                      <m:t>SO</m:t>
                    </m:r>
                  </m:e>
                  <m:sub>
                    <m:r>
                      <m:rPr>
                        <m:sty m:val="p"/>
                      </m:rPr>
                      <m:t>3</m:t>
                    </m:r>
                  </m:sub>
                </m:sSub>
                <m:r>
                  <m:rPr>
                    <m:sty m:val="p"/>
                  </m:rPr>
                  <m:t>H</m:t>
                </m:r>
                <m:sSub>
                  <m:sSubPr/>
                  <m:e>
                    <m:r>
                      <m:rPr>
                        <m:sty m:val="p"/>
                      </m:rPr>
                      <m:t>CH</m:t>
                    </m:r>
                  </m:e>
                  <m:sub>
                    <m:r>
                      <m:rPr>
                        <m:sty m:val="p"/>
                      </m:rPr>
                      <m:t>3</m:t>
                    </m:r>
                  </m:sub>
                </m:sSub>
                <m:sSub>
                  <m:sSubPr/>
                  <m:e>
                    <m:r>
                      <m:rPr>
                        <m:sty m:val="p"/>
                      </m:rPr>
                      <m:t>C</m:t>
                    </m:r>
                  </m:e>
                  <m:sub>
                    <m:r>
                      <m:rPr>
                        <m:sty m:val="p"/>
                      </m:rPr>
                      <m:t>6</m:t>
                    </m:r>
                  </m:sub>
                </m:sSub>
                <m:sSub>
                  <m:sSubPr/>
                  <m:e>
                    <m:r>
                      <m:rPr>
                        <m:sty m:val="p"/>
                      </m:rPr>
                      <m:t>H</m:t>
                    </m:r>
                  </m:e>
                  <m:sub>
                    <m:r>
                      <m:rPr>
                        <m:sty m:val="p"/>
                      </m:rPr>
                      <m:t>4</m:t>
                    </m:r>
                  </m:sub>
                </m:sSub>
                <m:sSub>
                  <m:sSubPr/>
                  <m:e>
                    <m:r>
                      <m:rPr>
                        <m:sty m:val="p"/>
                      </m:rPr>
                      <m:t>SO</m:t>
                    </m:r>
                  </m:e>
                  <m:sub>
                    <m:r>
                      <m:rPr>
                        <m:sty m:val="p"/>
                      </m:rPr>
                      <m:t>3</m:t>
                    </m:r>
                  </m:sub>
                </m:sSub>
                <m:sSub>
                  <m:sSubPr/>
                  <m:e>
                    <m:r>
                      <m:rPr>
                        <m:sty m:val="p"/>
                      </m:rPr>
                      <m:t>C</m:t>
                    </m:r>
                  </m:e>
                  <m:sub>
                    <m:r>
                      <m:rPr>
                        <m:sty m:val="p"/>
                      </m:rPr>
                      <m:t>5</m:t>
                    </m:r>
                  </m:sub>
                </m:sSub>
                <m:sSub>
                  <m:sSubPr/>
                  <m:e>
                    <m:r>
                      <m:rPr>
                        <m:sty m:val="p"/>
                      </m:rPr>
                      <m:t>H</m:t>
                    </m:r>
                  </m:e>
                  <m:sub>
                    <m:r>
                      <m:rPr>
                        <m:sty m:val="p"/>
                      </m:rPr>
                      <m:t>5</m:t>
                    </m:r>
                  </m:sub>
                </m:sSub>
                <m:r>
                  <m:rPr>
                    <m:sty m:val="p"/>
                  </m:rPr>
                  <m:t>NH</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TsCl</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Chlorure de 4-toluènesulfonyle</w:t>
            </w:r>
          </w:p>
        </w:tc>
        <w:tc>
          <w:tcPr>
            <w:tcBorders>
              <w:bottom w:val="single" w:sz="8" w:space="0" w:color="000000"/>
              <w:right w:val="single" w:sz="8" w:space="0" w:color="000000"/>
            </w:tcBorders>
            <w:vAlign w:val="center"/>
          </w:tcPr>
          <w:p>
            <w:pPr>
              <w:spacing w:lineRule="auto"/>
            </w:pPr>
            <w:r>
              <w:rPr/>
              <w:drawing>
                <wp:inline distB="0" distL="0" distR="0" distT="0">
                  <wp:extent cx="2295525" cy="1000125"/>
                  <wp:effectExtent b="0" l="0" r="0" t="0"/>
                  <wp:docPr id="22" name="image-svg-b79b6555d58fe5dea60e12cb563733f1bfc3db69.svg"/>
                  <a:graphic>
                    <a:graphicData uri="http://schemas.openxmlformats.org/drawingml/2006/picture">
                      <pic:pic>
                        <pic:nvPicPr>
                          <pic:cNvPr id="22" name="image-svg-b79b6555d58fe5dea60e12cb563733f1bfc3db69.svg" descr=""/>
                          <pic:cNvPicPr/>
                        </pic:nvPicPr>
                        <pic:blipFill>
                          <a:blip r:embed="rId29" cstate="print">
                            <a:extLst>
                              <a:ext uri="">
                                <a14:useLocalDpi val="0"/>
                              </a:ext>
                              <a:ext uri="">
                                <asvg:svgBlip r:embed="rId28"/>
                              </a:ext>
                            </a:extLst>
                          </a:blip>
                          <a:srcRect b="0" l="0" r="0" t="0"/>
                          <a:stretch>
                            <a:fillRect/>
                          </a:stretch>
                        </pic:blipFill>
                        <pic:spPr>
                          <a:xfrm>
                            <a:off x="0" y="0"/>
                            <a:ext cx="2295525" cy="100012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THF</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Tétrahydrofurane</w:t>
            </w:r>
          </w:p>
        </w:tc>
        <w:tc>
          <w:tcPr>
            <w:tcBorders>
              <w:bottom w:val="single" w:sz="8" w:space="0" w:color="000000"/>
              <w:right w:val="single" w:sz="8" w:space="0" w:color="000000"/>
            </w:tcBorders>
            <w:vAlign w:val="center"/>
          </w:tcPr>
          <w:p>
            <w:pPr>
              <w:spacing w:lineRule="auto"/>
            </w:pPr>
            <w:r>
              <w:rPr/>
              <w:drawing>
                <wp:inline distB="0" distL="0" distR="0" distT="0">
                  <wp:extent cx="1276350" cy="885825"/>
                  <wp:effectExtent b="0" l="0" r="0" t="0"/>
                  <wp:docPr id="24" name="image-svg-ed536dac8ada9ae10909c0fb9b0c959c8e85867a.svg"/>
                  <a:graphic>
                    <a:graphicData uri="http://schemas.openxmlformats.org/drawingml/2006/picture">
                      <pic:pic>
                        <pic:nvPicPr>
                          <pic:cNvPr id="24" name="image-svg-ed536dac8ada9ae10909c0fb9b0c959c8e85867a.svg" descr=""/>
                          <pic:cNvPicPr/>
                        </pic:nvPicPr>
                        <pic:blipFill>
                          <a:blip r:embed="rId31" cstate="print">
                            <a:extLst>
                              <a:ext uri="">
                                <a14:useLocalDpi val="0"/>
                              </a:ext>
                              <a:ext uri="">
                                <asvg:svgBlip r:embed="rId30"/>
                              </a:ext>
                            </a:extLst>
                          </a:blip>
                          <a:srcRect b="0" l="0" r="0" t="0"/>
                          <a:stretch>
                            <a:fillRect/>
                          </a:stretch>
                        </pic:blipFill>
                        <pic:spPr>
                          <a:xfrm>
                            <a:off x="0" y="0"/>
                            <a:ext cx="1276350" cy="88582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DHP</w:t>
            </w:r>
          </w:p>
        </w:tc>
        <w:tc>
          <w:tcPr>
            <w:tcBorders>
              <w:bottom w:val="single" w:sz="8" w:space="0" w:color="000000"/>
              <w:right w:val="single" w:sz="8" w:space="0" w:color="000000"/>
            </w:tcBorders>
            <w:vAlign w:val="center"/>
          </w:tcPr>
          <w:p>
            <w:pPr>
              <w:spacing w:lineRule="auto"/>
              <w:jc w:val="left"/>
            </w:pPr>
            <w:r>
              <w:rPr/>
              <w:t xml:space="preserve">Dihydropyrane</w:t>
            </w:r>
          </w:p>
        </w:tc>
        <w:tc>
          <w:tcPr>
            <w:tcBorders>
              <w:bottom w:val="single" w:sz="8" w:space="0" w:color="000000"/>
              <w:right w:val="single" w:sz="8" w:space="0" w:color="000000"/>
            </w:tcBorders>
            <w:vAlign w:val="center"/>
          </w:tcPr>
          <w:p>
            <w:pPr>
              <w:spacing w:lineRule="auto"/>
            </w:pPr>
            <w:r>
              <w:rPr/>
              <w:drawing>
                <wp:inline distB="0" distL="0" distR="0" distT="0">
                  <wp:extent cx="1400175" cy="923925"/>
                  <wp:effectExtent b="0" l="0" r="0" t="0"/>
                  <wp:docPr id="26" name="image-svg-4df128b7f5e984396e53562b466d7ba0f84e9d71.svg"/>
                  <a:graphic>
                    <a:graphicData uri="http://schemas.openxmlformats.org/drawingml/2006/picture">
                      <pic:pic>
                        <pic:nvPicPr>
                          <pic:cNvPr id="26" name="image-svg-4df128b7f5e984396e53562b466d7ba0f84e9d71.svg" descr=""/>
                          <pic:cNvPicPr/>
                        </pic:nvPicPr>
                        <pic:blipFill>
                          <a:blip r:embed="rId33" cstate="print">
                            <a:extLst>
                              <a:ext uri="">
                                <a14:useLocalDpi val="0"/>
                              </a:ext>
                              <a:ext uri="">
                                <asvg:svgBlip r:embed="rId32"/>
                              </a:ext>
                            </a:extLst>
                          </a:blip>
                          <a:srcRect b="0" l="0" r="0" t="0"/>
                          <a:stretch>
                            <a:fillRect/>
                          </a:stretch>
                        </pic:blipFill>
                        <pic:spPr>
                          <a:xfrm>
                            <a:off x="0" y="0"/>
                            <a:ext cx="1400175" cy="92392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ROTHP</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Éther de tétrahydropyranyle</w:t>
            </w:r>
          </w:p>
        </w:tc>
        <w:tc>
          <w:tcPr>
            <w:tcBorders>
              <w:bottom w:val="single" w:sz="8" w:space="0" w:color="000000"/>
              <w:right w:val="single" w:sz="8" w:space="0" w:color="000000"/>
            </w:tcBorders>
            <w:vAlign w:val="center"/>
          </w:tcPr>
          <w:p>
            <w:pPr>
              <w:spacing w:lineRule="auto"/>
            </w:pPr>
            <w:r>
              <w:rPr/>
              <w:drawing>
                <wp:inline distB="0" distL="0" distR="0" distT="0">
                  <wp:extent cx="1695450" cy="923925"/>
                  <wp:effectExtent b="0" l="0" r="0" t="0"/>
                  <wp:docPr id="28" name="image-svg-49d0c0dddea59a52c212e22598e50f1e0520ae5b.svg"/>
                  <a:graphic>
                    <a:graphicData uri="http://schemas.openxmlformats.org/drawingml/2006/picture">
                      <pic:pic>
                        <pic:nvPicPr>
                          <pic:cNvPr id="28" name="image-svg-49d0c0dddea59a52c212e22598e50f1e0520ae5b.svg" descr=""/>
                          <pic:cNvPicPr/>
                        </pic:nvPicPr>
                        <pic:blipFill>
                          <a:blip r:embed="rId35" cstate="print">
                            <a:extLst>
                              <a:ext uri="">
                                <a14:useLocalDpi val="0"/>
                              </a:ext>
                              <a:ext uri="">
                                <asvg:svgBlip r:embed="rId34"/>
                              </a:ext>
                            </a:extLst>
                          </a:blip>
                          <a:srcRect b="0" l="0" r="0" t="0"/>
                          <a:stretch>
                            <a:fillRect/>
                          </a:stretch>
                        </pic:blipFill>
                        <pic:spPr>
                          <a:xfrm>
                            <a:off x="0" y="0"/>
                            <a:ext cx="1695450" cy="92392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(-)-DET</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(-)-Tartrate de diéthyle</w:t>
            </w:r>
          </w:p>
        </w:tc>
        <w:tc>
          <w:tcPr>
            <w:tcBorders>
              <w:bottom w:val="single" w:sz="8" w:space="0" w:color="000000"/>
              <w:right w:val="single" w:sz="8" w:space="0" w:color="000000"/>
            </w:tcBorders>
            <w:vAlign w:val="center"/>
          </w:tcPr>
          <w:p>
            <w:pPr>
              <w:spacing w:lineRule="auto"/>
            </w:pPr>
            <w:r>
              <w:rPr/>
              <w:drawing>
                <wp:inline distB="0" distL="0" distR="0" distT="0">
                  <wp:extent cx="3400425" cy="1152525"/>
                  <wp:effectExtent b="0" l="0" r="0" t="0"/>
                  <wp:docPr id="30" name="image-svg-7442c44b9ec4286b072483dfa24358f182f89f5f.svg"/>
                  <a:graphic>
                    <a:graphicData uri="http://schemas.openxmlformats.org/drawingml/2006/picture">
                      <pic:pic>
                        <pic:nvPicPr>
                          <pic:cNvPr id="30" name="image-svg-7442c44b9ec4286b072483dfa24358f182f89f5f.svg" descr=""/>
                          <pic:cNvPicPr/>
                        </pic:nvPicPr>
                        <pic:blipFill>
                          <a:blip r:embed="rId37" cstate="print">
                            <a:extLst>
                              <a:ext uri="">
                                <a14:useLocalDpi val="0"/>
                              </a:ext>
                              <a:ext uri="">
                                <asvg:svgBlip r:embed="rId36"/>
                              </a:ext>
                            </a:extLst>
                          </a:blip>
                          <a:srcRect b="0" l="0" r="0" t="0"/>
                          <a:stretch>
                            <a:fillRect/>
                          </a:stretch>
                        </pic:blipFill>
                        <pic:spPr>
                          <a:xfrm>
                            <a:off x="0" y="0"/>
                            <a:ext cx="3400425" cy="115252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TBSCl</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Chlorotertiobutyldiméthylsilane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d>
                      <m:dPr>
                        <m:begChr m:val="("/>
                        <m:endChr m:val=")"/>
                        <m:ctrlPr>
                          <w:rPr>
                            <w:rFonts w:ascii="Cambria Math" w:hAnsi="Cambria Math"/>
                          </w:rPr>
                        </m:ctrlPr>
                      </m:dPr>
                      <m:e>
                        <m:sSub>
                          <m:sSubPr/>
                          <m:e>
                            <m:r>
                              <m:rPr>
                                <m:sty m:val="p"/>
                              </m:rPr>
                              <m:t>CH</m:t>
                            </m:r>
                          </m:e>
                          <m:sub>
                            <m:r>
                              <m:rPr>
                                <m:sty m:val="p"/>
                              </m:rPr>
                              <m:t>3</m:t>
                            </m:r>
                          </m:sub>
                        </m:sSub>
                      </m:e>
                    </m:d>
                  </m:e>
                  <m:sub>
                    <m:r>
                      <m:rPr>
                        <m:sty m:val="p"/>
                      </m:rPr>
                      <m:t>3</m:t>
                    </m:r>
                  </m:sub>
                </m:sSub>
                <m:r>
                  <m:rPr>
                    <m:sty m:val="p"/>
                  </m:rPr>
                  <m:t>CSi</m:t>
                </m:r>
                <m:sSub>
                  <m:sSubPr/>
                  <m:e>
                    <m:d>
                      <m:dPr>
                        <m:begChr m:val="("/>
                        <m:endChr m:val=")"/>
                        <m:ctrlPr>
                          <w:rPr>
                            <w:rFonts w:ascii="Cambria Math" w:hAnsi="Cambria Math"/>
                          </w:rPr>
                        </m:ctrlPr>
                      </m:dPr>
                      <m:e>
                        <m:sSub>
                          <m:sSubPr/>
                          <m:e>
                            <m:r>
                              <m:rPr>
                                <m:sty m:val="p"/>
                              </m:rPr>
                              <m:t>CH</m:t>
                            </m:r>
                          </m:e>
                          <m:sub>
                            <m:r>
                              <m:rPr>
                                <m:sty m:val="p"/>
                              </m:rPr>
                              <m:t>3</m:t>
                            </m:r>
                          </m:sub>
                        </m:sSub>
                      </m:e>
                    </m:d>
                  </m:e>
                  <m:sub>
                    <m:r>
                      <m:rPr>
                        <m:sty m:val="p"/>
                      </m:rPr>
                      <m:t>2</m:t>
                    </m:r>
                  </m:sub>
                </m:sSub>
                <m:r>
                  <m:rPr>
                    <m:sty m:val="p"/>
                  </m:rPr>
                  <m:t>Cl</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Imidazole</w:t>
            </w:r>
          </w:p>
        </w:tc>
        <w:tc>
          <w:tcPr>
            <w:tcBorders>
              <w:bottom w:val="single" w:sz="8" w:space="0" w:color="000000"/>
              <w:right w:val="single" w:sz="8" w:space="0" w:color="000000"/>
            </w:tcBorders>
            <w:vAlign w:val="center"/>
          </w:tcPr>
          <w:p>
            <w:pPr>
              <w:spacing w:lineRule="auto"/>
            </w:pPr>
            <w:r>
              <w:rPr/>
              <w:drawing>
                <wp:inline distB="0" distL="0" distR="0" distT="0">
                  <wp:extent cx="1276350" cy="885825"/>
                  <wp:effectExtent b="0" l="0" r="0" t="0"/>
                  <wp:docPr id="32" name="image-svg-eb133509d4730517af777f744504e5f1e814dcc4.svg"/>
                  <a:graphic>
                    <a:graphicData uri="http://schemas.openxmlformats.org/drawingml/2006/picture">
                      <pic:pic>
                        <pic:nvPicPr>
                          <pic:cNvPr id="32" name="image-svg-eb133509d4730517af777f744504e5f1e814dcc4.svg" descr=""/>
                          <pic:cNvPicPr/>
                        </pic:nvPicPr>
                        <pic:blipFill>
                          <a:blip r:embed="rId39" cstate="print">
                            <a:extLst>
                              <a:ext uri="">
                                <a14:useLocalDpi val="0"/>
                              </a:ext>
                              <a:ext uri="">
                                <asvg:svgBlip r:embed="rId38"/>
                              </a:ext>
                            </a:extLst>
                          </a:blip>
                          <a:srcRect b="0" l="0" r="0" t="0"/>
                          <a:stretch>
                            <a:fillRect/>
                          </a:stretch>
                        </pic:blipFill>
                        <pic:spPr>
                          <a:xfrm>
                            <a:off x="0" y="0"/>
                            <a:ext cx="1276350" cy="885825"/>
                          </a:xfrm>
                          <a:prstGeom prst="rect"/>
                        </pic:spPr>
                      </pic:pic>
                    </a:graphicData>
                  </a:graphic>
                </wp:inline>
              </w:drawing>
            </w:r>
          </w:p>
        </w:tc>
      </w:tr>
    </w:tbl>
    <w:p>
      <w:pPr>
        <w:spacing w:lineRule="auto"/>
      </w:pP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DMSO</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Diméthylsulfoxyde</w:t>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1323975" cy="847725"/>
                  <wp:effectExtent b="0" l="0" r="0" t="0"/>
                  <wp:docPr id="34" name="image-svg-89889d07c52ed032dea5960f2ce0a6001c779885.svg"/>
                  <a:graphic>
                    <a:graphicData uri="http://schemas.openxmlformats.org/drawingml/2006/picture">
                      <pic:pic>
                        <pic:nvPicPr>
                          <pic:cNvPr id="34" name="image-svg-89889d07c52ed032dea5960f2ce0a6001c779885.svg" descr=""/>
                          <pic:cNvPicPr/>
                        </pic:nvPicPr>
                        <pic:blipFill>
                          <a:blip r:embed="rId41" cstate="print">
                            <a:extLst>
                              <a:ext uri="">
                                <a14:useLocalDpi val="0"/>
                              </a:ext>
                              <a:ext uri="">
                                <asvg:svgBlip r:embed="rId40"/>
                              </a:ext>
                            </a:extLst>
                          </a:blip>
                          <a:srcRect b="0" l="0" r="0" t="0"/>
                          <a:stretch>
                            <a:fillRect/>
                          </a:stretch>
                        </pic:blipFill>
                        <pic:spPr>
                          <a:xfrm>
                            <a:off x="0" y="0"/>
                            <a:ext cx="1323975" cy="84772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DMP</w:t>
            </w:r>
          </w:p>
        </w:tc>
        <w:tc>
          <w:tcPr>
            <w:tcBorders>
              <w:bottom w:val="single" w:sz="8" w:space="0" w:color="000000"/>
              <w:right w:val="single" w:sz="8" w:space="0" w:color="000000"/>
            </w:tcBorders>
            <w:vAlign w:val="center"/>
          </w:tcPr>
          <w:p>
            <w:pPr>
              <w:spacing w:lineRule="auto"/>
              <w:jc w:val="left"/>
            </w:pPr>
            <w:r>
              <w:rPr/>
              <w:t xml:space="preserve">Periodinane de Dess-Martin</w:t>
            </w:r>
          </w:p>
        </w:tc>
        <w:tc>
          <w:tcPr>
            <w:tcBorders>
              <w:bottom w:val="single" w:sz="8" w:space="0" w:color="000000"/>
              <w:right w:val="single" w:sz="8" w:space="0" w:color="000000"/>
            </w:tcBorders>
            <w:vAlign w:val="center"/>
          </w:tcPr>
          <w:p>
            <w:pPr>
              <w:spacing w:lineRule="auto"/>
            </w:pPr>
            <w:r>
              <w:rPr/>
              <w:drawing>
                <wp:inline distB="0" distL="0" distR="0" distT="0">
                  <wp:extent cx="2400300" cy="2343150"/>
                  <wp:effectExtent b="0" l="0" r="0" t="0"/>
                  <wp:docPr id="36" name="image-d2564968a446fccb0483bd33fffa3bcc267566a5.jpg"/>
                  <a:graphic>
                    <a:graphicData uri="http://schemas.openxmlformats.org/drawingml/2006/picture">
                      <pic:pic>
                        <pic:nvPicPr>
                          <pic:cNvPr id="36" name="image-d2564968a446fccb0483bd33fffa3bcc267566a5.jpg" descr=""/>
                          <pic:cNvPicPr/>
                        </pic:nvPicPr>
                        <pic:blipFill>
                          <a:blip r:embed="rId42" cstate="print"/>
                          <a:srcRect b="0" l="0" r="0" t="0"/>
                          <a:stretch>
                            <a:fillRect/>
                          </a:stretch>
                        </pic:blipFill>
                        <pic:spPr>
                          <a:xfrm>
                            <a:off x="0" y="0"/>
                            <a:ext cx="2400300" cy="2343150"/>
                          </a:xfrm>
                          <a:prstGeom prst="rect"/>
                        </pic:spPr>
                      </pic:pic>
                    </a:graphicData>
                  </a:graphic>
                </wp:inline>
              </w:drawing>
            </w:r>
          </w:p>
        </w:tc>
      </w:tr>
    </w:tbl>
    <w:p>
      <w:pPr>
        <w:spacing w:lineRule="auto"/>
      </w:pPr>
    </w:p>
    <w:p>
      <w:pPr>
        <w:spacing w:lineRule="auto"/>
      </w:pPr>
      <w:r>
        <w:rPr>
          <w:rFonts w:eastAsia="Georgia" w:cs="Georgia" w:ascii="Georgia" w:hAnsi="Georgia"/>
        </w:rPr>
        <w:t xml:space="preserve">Tableau 1 - Abréviations utilisées</w:t>
      </w:r>
    </w:p>
    <w:p>
      <w:pPr>
        <w:spacing w:line="271" w:before="330" w:lineRule="auto"/>
      </w:pPr>
      <w:r>
        <w:rPr>
          <w:b/>
          <w:sz w:val="42"/>
        </w:rPr>
        <w:t xml:space="preserve">Document 7</w:t>
      </w:r>
    </w:p>
    <w:p>
      <w:pPr>
        <w:spacing w:after="220" w:lineRule="auto"/>
      </w:pPr>
      <w:r>
        <w:rPr>
          <w:rFonts w:eastAsia="Georgia" w:cs="Georgia" w:ascii="Georgia" w:hAnsi="Georgia"/>
        </w:rPr>
        <w:t xml:space="preserve">La Japonilure 12 a été synthétisée en utilisant le schéma de synthèse suivant.</w:t>
      </w:r>
      <w:r>
        <w:rPr/>
        <w:br w:type="textWrapping"/>
      </w:r>
    </w:p>
    <w:p>
      <w:pPr>
        <w:spacing w:lineRule="auto"/>
        <w:jc w:val="center"/>
      </w:pPr>
      <w:r>
        <w:rPr/>
        <w:drawing>
          <wp:inline distB="0" distL="0" distR="0" distT="0">
            <wp:extent cx="5486400" cy="5566979"/>
            <wp:effectExtent b="0" l="0" r="0" t="0"/>
            <wp:docPr id="37" name="image-3dcab4ea0d4dc7898d3bdecccbd7ec2b17147eac.jpg"/>
            <a:graphic>
              <a:graphicData uri="http://schemas.openxmlformats.org/drawingml/2006/picture">
                <pic:pic>
                  <pic:nvPicPr>
                    <pic:cNvPr id="37" name="image-3dcab4ea0d4dc7898d3bdecccbd7ec2b17147eac.jpg" descr=""/>
                    <pic:cNvPicPr/>
                  </pic:nvPicPr>
                  <pic:blipFill>
                    <a:blip r:embed="rId43" cstate="print"/>
                    <a:srcRect b="0" l="0" r="0" t="0"/>
                    <a:stretch>
                      <a:fillRect/>
                    </a:stretch>
                  </pic:blipFill>
                  <pic:spPr>
                    <a:xfrm>
                      <a:off x="0" y="0"/>
                      <a:ext cx="5486400" cy="5566979"/>
                    </a:xfrm>
                    <a:prstGeom prst="rect"/>
                  </pic:spPr>
                </pic:pic>
              </a:graphicData>
            </a:graphic>
          </wp:inline>
        </w:drawing>
      </w:r>
    </w:p>
    <w:p>
      <w:pPr>
        <w:spacing w:after="220" w:lineRule="auto"/>
      </w:pPr>
      <w:r>
        <w:rPr>
          <w:rFonts w:eastAsia="Georgia" w:cs="Georgia" w:ascii="Georgia" w:hAnsi="Georgia"/>
        </w:rPr>
        <w:t xml:space="preserve">Q50 - Combien la Japonilure 12 possède-t-elle de stéréoisomères? Le(s) représenter, ainsi que le composé 12, et indiquer les relations stéréochimiques qui les lient deux à deux.</w:t>
      </w:r>
    </w:p>
    <w:p>
      <w:pPr>
        <w:spacing w:after="220" w:lineRule="auto"/>
      </w:pPr>
      <w:r>
        <w:rPr>
          <w:rFonts w:eastAsia="Georgia" w:cs="Georgia" w:ascii="Georgia" w:hAnsi="Georgia"/>
        </w:rPr>
        <w:t xml:space="preserve">Q51 - Quelle fonction est formée lors de la transformation de 1 en 2 ? Pourquoi est-il préférable d'utiliser l'APTS plutôt que l'acide sulfurique au cours de cette étape ?</w:t>
      </w:r>
    </w:p>
    <w:p>
      <w:pPr>
        <w:spacing w:after="220" w:lineRule="auto"/>
      </w:pPr>
      <w:r>
        <w:rPr>
          <w:rFonts w:eastAsia="Georgia" w:cs="Georgia" w:ascii="Georgia" w:hAnsi="Georgia"/>
        </w:rPr>
        <w:t xml:space="preserve">La synthèse du composé </w:t>
      </w:r>
      <m:oMath>
        <m:r>
          <m:rPr>
            <m:sty m:val="b"/>
          </m:rPr>
          <m:t>3</m:t>
        </m:r>
      </m:oMath>
      <w:r>
        <w:rPr>
          <w:rFonts w:eastAsia="Georgia" w:cs="Georgia" w:ascii="Georgia" w:hAnsi="Georgia"/>
        </w:rPr>
        <w:t xml:space="preserve"> nécessite d'utiliser un organomagnésien </w:t>
      </w:r>
      <m:oMath>
        <m:sSub>
          <m:sSubPr/>
          <m:e>
            <m:r>
              <m:rPr>
                <m:sty m:val="p"/>
              </m:rPr>
              <m:t>C</m:t>
            </m:r>
          </m:e>
          <m:sub>
            <m:r>
              <m:rPr>
                <m:sty m:val="p"/>
              </m:rPr>
              <m:t>2</m:t>
            </m:r>
          </m:sub>
        </m:sSub>
        <m:sSub>
          <m:sSubPr/>
          <m:e>
            <m:r>
              <m:rPr>
                <m:sty m:val="p"/>
              </m:rPr>
              <m:t>H</m:t>
            </m:r>
          </m:e>
          <m:sub>
            <m:r>
              <m:rPr>
                <m:sty m:val="p"/>
              </m:rPr>
              <m:t>5</m:t>
            </m:r>
          </m:sub>
        </m:sSub>
        <m:r>
          <m:rPr>
            <m:sty m:val="p"/>
          </m:rPr>
          <m:t>MgBr</m:t>
        </m:r>
      </m:oMath>
      <w:r>
        <w:rPr/>
        <w:t xml:space="preserve">.</w:t>
      </w:r>
      <w:r>
        <w:rPr/>
        <w:br w:type="textWrapping"/>
      </w:r>
      <w:r>
        <w:rPr>
          <w:rFonts w:eastAsia="Georgia" w:cs="Georgia" w:ascii="Georgia" w:hAnsi="Georgia"/>
        </w:rPr>
        <w:t xml:space="preserve">Q52 - Écrire l'équation bilan associée à la synthèse magnésienne de </w:t>
      </w:r>
      <m:oMath>
        <m:sSub>
          <m:sSubPr/>
          <m:e>
            <m:r>
              <m:rPr>
                <m:sty m:val="p"/>
              </m:rPr>
              <m:t>C</m:t>
            </m:r>
          </m:e>
          <m:sub>
            <m:r>
              <m:rPr>
                <m:sty m:val="p"/>
              </m:rPr>
              <m:t>2</m:t>
            </m:r>
          </m:sub>
        </m:sSub>
        <m:sSub>
          <m:sSubPr/>
          <m:e>
            <m:r>
              <m:rPr>
                <m:sty m:val="p"/>
              </m:rPr>
              <m:t>H</m:t>
            </m:r>
          </m:e>
          <m:sub>
            <m:r>
              <m:rPr>
                <m:sty m:val="p"/>
              </m:rPr>
              <m:t>5</m:t>
            </m:r>
          </m:sub>
        </m:sSub>
        <m:r>
          <m:rPr>
            <m:sty m:val="p"/>
          </m:rPr>
          <m:t>MgBr</m:t>
        </m:r>
      </m:oMath>
      <w:r>
        <w:rPr>
          <w:rFonts w:eastAsia="Georgia" w:cs="Georgia" w:ascii="Georgia" w:hAnsi="Georgia"/>
        </w:rPr>
        <w:t xml:space="preserve"> à partir du bromoéthane.</w:t>
      </w:r>
    </w:p>
    <w:p>
      <w:pPr>
        <w:spacing w:after="220" w:lineRule="auto"/>
      </w:pPr>
      <w:r>
        <w:rPr>
          <w:rFonts w:eastAsia="Georgia" w:cs="Georgia" w:ascii="Georgia" w:hAnsi="Georgia"/>
        </w:rPr>
        <w:t xml:space="preserve">Plusieurs réactions non souhaitées peuvent intervenir au cours de cette synthèse et avoir des conséquences sur le rendement final en organomagnésien.</w:t>
      </w:r>
    </w:p>
    <w:p>
      <w:pPr>
        <w:spacing w:after="220" w:lineRule="auto"/>
      </w:pPr>
      <w:r>
        <w:rPr>
          <w:rFonts w:eastAsia="Georgia" w:cs="Georgia" w:ascii="Georgia" w:hAnsi="Georgia"/>
        </w:rPr>
        <w:t xml:space="preserve">Q53 - Écrire l'équation bilan associée à la réaction de couplage de Wurtz. Quelle précaution opératoire pourrait permettre de limiter cette réaction?</w:t>
      </w:r>
    </w:p>
    <w:p>
      <w:pPr>
        <w:spacing w:after="220" w:lineRule="auto"/>
      </w:pPr>
      <w:r>
        <w:rPr>
          <w:rFonts w:eastAsia="Georgia" w:cs="Georgia" w:ascii="Georgia" w:hAnsi="Georgia"/>
        </w:rPr>
        <w:t xml:space="preserve">On s'intéresse maintenant à la suite de transformations conduisant au composé 4.</w:t>
      </w:r>
      <w:r>
        <w:rPr/>
        <w:br w:type="textWrapping"/>
      </w:r>
      <w:r>
        <w:rPr>
          <w:rFonts w:eastAsia="Georgia" w:cs="Georgia" w:ascii="Georgia" w:hAnsi="Georgia"/>
        </w:rPr>
        <w:t xml:space="preserve">Q54 - Donner le mécanisme pour la transformation de 2 en 3.</w:t>
      </w:r>
      <w:r>
        <w:rPr/>
        <w:br w:type="textWrapping"/>
      </w:r>
      <w:r>
        <w:rPr>
          <w:rFonts w:eastAsia="Georgia" w:cs="Georgia" w:ascii="Georgia" w:hAnsi="Georgia"/>
        </w:rPr>
        <w:t xml:space="preserve">Q55 - Quel produit 3' aurait-on obtenu si on avait mis le précurseur 1 dans les conditions de réaction </w:t>
      </w:r>
      <m:oMath>
        <m:d>
          <m:dPr>
            <m:begChr m:val="{"/>
            <m:endChr m:val="}"/>
            <m:ctrlPr>
              <w:rPr>
                <w:rFonts w:ascii="Cambria Math" w:hAnsi="Cambria Math"/>
              </w:rPr>
            </m:ctrlPr>
          </m:dPr>
          <m:e>
            <m:sSub>
              <m:sSubPr/>
              <m:e>
                <m:r>
                  <m:rPr>
                    <m:sty m:val="p"/>
                  </m:rPr>
                  <m:t>C</m:t>
                </m:r>
              </m:e>
              <m:sub>
                <m:r>
                  <m:rPr>
                    <m:sty m:val="p"/>
                  </m:rPr>
                  <m:t>2</m:t>
                </m:r>
              </m:sub>
            </m:sSub>
            <m:sSub>
              <m:sSubPr/>
              <m:e>
                <m:r>
                  <m:rPr>
                    <m:sty m:val="p"/>
                  </m:rPr>
                  <m:t>H</m:t>
                </m:r>
              </m:e>
              <m:sub>
                <m:r>
                  <m:rPr>
                    <m:sty m:val="p"/>
                  </m:rPr>
                  <m:t>5</m:t>
                </m:r>
              </m:sub>
            </m:sSub>
            <m:r>
              <m:rPr>
                <m:sty m:val="p"/>
              </m:rPr>
              <m:t>MgBr</m:t>
            </m:r>
            <m:r>
              <m:rPr>
                <m:sty m:val="p"/>
              </m:rPr>
              <m:t>,</m:t>
            </m:r>
            <m:r>
              <m:rPr>
                <m:sty m:val="p"/>
              </m:rPr>
              <m:t>THF</m:t>
            </m:r>
            <m:r>
              <m:rPr>
                <m:sty m:val="p"/>
              </m:rPr>
              <m:t>,</m:t>
            </m:r>
            <m:sSup>
              <m:sSupPr/>
              <m:e>
                <m:r>
                  <m:rPr>
                    <m:sty m:val="p"/>
                  </m:rPr>
                  <m:t>0</m:t>
                </m:r>
              </m:e>
              <m:sup>
                <m:r>
                  <m:rPr>
                    <m:sty m:val="p"/>
                  </m:rPr>
                  <m:t>∘</m:t>
                </m:r>
              </m:sup>
            </m:sSup>
            <m:r>
              <m:rPr>
                <m:sty m:val="p"/>
              </m:rPr>
              <m:t>C</m:t>
            </m:r>
          </m:e>
        </m:d>
      </m:oMath>
      <w:r>
        <w:rPr>
          <w:rFonts w:eastAsia="Georgia" w:cs="Georgia" w:ascii="Georgia" w:hAnsi="Georgia"/>
        </w:rPr>
        <w:t xml:space="preserve"> ? Justifier en invoquant des considérations thermodynamiques. Conclure sur l'intérêt d'avoir protégé l'alcool </w:t>
      </w:r>
      <m:oMath>
        <m:r>
          <m:rPr>
            <m:sty m:val="b"/>
          </m:rPr>
          <m:t>1</m:t>
        </m:r>
      </m:oMath>
      <w:r>
        <w:rPr/>
        <w:t xml:space="preserve">.</w:t>
      </w:r>
    </w:p>
    <w:p>
      <w:pPr>
        <w:spacing w:after="220" w:lineRule="auto"/>
      </w:pPr>
      <w:r>
        <w:rPr>
          <w:rFonts w:eastAsia="Georgia" w:cs="Georgia" w:ascii="Georgia" w:hAnsi="Georgia"/>
        </w:rPr>
        <w:t xml:space="preserve">Le composé </w:t>
      </w:r>
      <m:oMath>
        <m:r>
          <m:rPr>
            <m:sty m:val="b"/>
          </m:rPr>
          <m:t>4</m:t>
        </m:r>
      </m:oMath>
      <w:r>
        <w:rPr>
          <w:rFonts w:eastAsia="Georgia" w:cs="Georgia" w:ascii="Georgia" w:hAnsi="Georgia"/>
        </w:rPr>
        <w:t xml:space="preserve"> de stéréoisomérie </w:t>
      </w:r>
      <m:oMath>
        <m:r>
          <m:rPr>
            <m:sty m:val="i"/>
          </m:rPr>
          <m:t>E</m:t>
        </m:r>
      </m:oMath>
      <w:r>
        <w:rPr/>
        <w:t xml:space="preserve"> est obtenu par action de </w:t>
      </w:r>
      <m:oMath>
        <m:sSub>
          <m:sSubPr/>
          <m:e>
            <m:r>
              <m:rPr>
                <m:sty m:val="p"/>
              </m:rPr>
              <m:t>LiAlH</m:t>
            </m:r>
          </m:e>
          <m:sub>
            <m:r>
              <m:rPr>
                <m:sty m:val="p"/>
              </m:rPr>
              <m:t>4</m:t>
            </m:r>
          </m:sub>
        </m:sSub>
      </m:oMath>
      <w:r>
        <w:rPr>
          <w:rFonts w:eastAsia="Georgia" w:cs="Georgia" w:ascii="Georgia" w:hAnsi="Georgia"/>
        </w:rPr>
        <w:t xml:space="preserve"> sur le composé </w:t>
      </w:r>
      <m:oMath>
        <m:r>
          <m:rPr>
            <m:sty m:val="b"/>
          </m:rPr>
          <m:t>3</m:t>
        </m:r>
      </m:oMath>
      <w:r>
        <w:rPr/>
        <w:t xml:space="preserve">.</w:t>
      </w:r>
      <w:r>
        <w:rPr/>
        <w:br w:type="textWrapping"/>
      </w:r>
      <w:r>
        <w:rPr>
          <w:rFonts w:eastAsia="Georgia" w:cs="Georgia" w:ascii="Georgia" w:hAnsi="Georgia"/>
        </w:rPr>
        <w:t xml:space="preserve">Q56 - Écrire la demi-équation d'oxydoréduction associée au couple 3/4. En déduire la nature de la transformation subie par le composé 3.</w:t>
      </w:r>
    </w:p>
    <w:p>
      <w:pPr>
        <w:spacing w:after="220" w:lineRule="auto"/>
      </w:pPr>
      <w:r>
        <w:rPr>
          <w:rFonts w:eastAsia="Georgia" w:cs="Georgia" w:ascii="Georgia" w:hAnsi="Georgia"/>
        </w:rPr>
        <w:t xml:space="preserve">On s'intéresse dans la suite à la transformation de </w:t>
      </w:r>
      <m:oMath>
        <m:r>
          <m:rPr>
            <m:sty m:val="b"/>
          </m:rPr>
          <m:t>4</m:t>
        </m:r>
      </m:oMath>
      <w:r>
        <w:rPr/>
        <w:t xml:space="preserve"> en </w:t>
      </w:r>
      <m:oMath>
        <m:r>
          <m:rPr>
            <m:sty m:val="b"/>
          </m:rPr>
          <m:t>5</m:t>
        </m:r>
      </m:oMath>
      <w:r>
        <w:rPr>
          <w:rFonts w:eastAsia="Georgia" w:cs="Georgia" w:ascii="Georgia" w:hAnsi="Georgia"/>
        </w:rPr>
        <w:t xml:space="preserve">. Cette réaction est une époxydation de Sharpless, elle est sélective des alcools allyliques et est catalysée par un complexe de titane. L'énantiosélectivité de cette réaction d'époxydation est rendue possible par la présence d'un composé chiral, le (-)-tartrate de diéthyle.</w:t>
      </w:r>
    </w:p>
    <w:p>
      <w:pPr>
        <w:spacing w:after="220" w:lineRule="auto"/>
      </w:pPr>
      <w:r>
        <w:rPr>
          <w:rFonts w:eastAsia="Georgia" w:cs="Georgia" w:ascii="Georgia" w:hAnsi="Georgia"/>
        </w:rPr>
        <w:t xml:space="preserve">Q57 - Quelle signification a le signe (-) ? Donner les stéréodescripteurs du (-)-DET.</w:t>
      </w:r>
      <w:r>
        <w:rPr/>
        <w:br w:type="textWrapping"/>
      </w:r>
      <w:r>
        <w:rPr>
          <w:rFonts w:eastAsia="Georgia" w:cs="Georgia" w:ascii="Georgia" w:hAnsi="Georgia"/>
        </w:rPr>
        <w:t xml:space="preserve">Q58 - Calculer le degré d'oxydation (nombre d'oxydation) des carbones </w:t>
      </w:r>
      <m:oMath>
        <m:sSup>
          <m:sSupPr/>
          <m:e>
            <m:r>
              <m:rPr>
                <m:sty m:val="p"/>
              </m:rPr>
              <m:t>C</m:t>
            </m:r>
          </m:e>
          <m:sup>
            <m:r>
              <m:rPr>
                <m:sty m:val="p"/>
              </m:rPr>
              <m:t>2</m:t>
            </m:r>
          </m:sup>
        </m:sSup>
      </m:oMath>
      <w:r>
        <w:rPr/>
        <w:t xml:space="preserve"> et </w:t>
      </w:r>
      <m:oMath>
        <m:sSup>
          <m:sSupPr/>
          <m:e>
            <m:r>
              <m:rPr>
                <m:sty m:val="p"/>
              </m:rPr>
              <m:t>C</m:t>
            </m:r>
          </m:e>
          <m:sup>
            <m:r>
              <m:rPr>
                <m:sty m:val="p"/>
              </m:rPr>
              <m:t>3</m:t>
            </m:r>
          </m:sup>
        </m:sSup>
      </m:oMath>
      <w:r>
        <w:rPr>
          <w:rFonts w:eastAsia="Georgia" w:cs="Georgia" w:ascii="Georgia" w:hAnsi="Georgia"/>
        </w:rPr>
        <w:t xml:space="preserve"> avant et après transformation de </w:t>
      </w:r>
      <m:oMath>
        <m:r>
          <m:rPr>
            <m:sty m:val="b"/>
          </m:rPr>
          <m:t>4</m:t>
        </m:r>
      </m:oMath>
      <w:r>
        <w:rPr/>
        <w:t xml:space="preserve"> en </w:t>
      </w:r>
      <m:oMath>
        <m:r>
          <m:rPr>
            <m:sty m:val="b"/>
          </m:rPr>
          <m:t>5</m:t>
        </m:r>
      </m:oMath>
      <w:r>
        <w:rPr>
          <w:rFonts w:eastAsia="Georgia" w:cs="Georgia" w:ascii="Georgia" w:hAnsi="Georgia"/>
        </w:rPr>
        <w:t xml:space="preserve">. En déduire la nature de cette réaction.</w:t>
      </w:r>
    </w:p>
    <w:p>
      <w:pPr>
        <w:spacing w:after="220" w:lineRule="auto"/>
      </w:pPr>
      <w:r>
        <w:rPr>
          <w:rFonts w:eastAsia="Georgia" w:cs="Georgia" w:ascii="Georgia" w:hAnsi="Georgia"/>
        </w:rPr>
        <w:t xml:space="preserve">On admet la formation du composé </w:t>
      </w:r>
      <m:oMath>
        <m:r>
          <m:rPr>
            <m:sty m:val="b"/>
          </m:rPr>
          <m:t>7</m:t>
        </m:r>
      </m:oMath>
      <w:r>
        <w:rPr/>
        <w:t xml:space="preserve">. La transformation de </w:t>
      </w:r>
      <m:oMath>
        <m:r>
          <m:rPr>
            <m:sty m:val="b"/>
          </m:rPr>
          <m:t>7</m:t>
        </m:r>
      </m:oMath>
      <w:r>
        <w:rPr/>
        <w:t xml:space="preserve"> en </w:t>
      </w:r>
      <m:oMath>
        <m:r>
          <m:rPr>
            <m:sty m:val="b"/>
          </m:rPr>
          <m:t>8</m:t>
        </m:r>
      </m:oMath>
      <w:r>
        <w:rPr>
          <w:rFonts w:eastAsia="Georgia" w:cs="Georgia" w:ascii="Georgia" w:hAnsi="Georgia"/>
        </w:rPr>
        <w:t xml:space="preserve"> fait intervenir une réaction de protection (i) d'un alcool sous forme d'éther silylé suivie d'une étape de déprotection (ii) par transacétalisation.</w:t>
      </w:r>
    </w:p>
    <w:p>
      <w:pPr>
        <w:spacing w:after="220" w:lineRule="auto"/>
      </w:pPr>
      <w:r>
        <w:rPr>
          <w:rFonts w:eastAsia="Georgia" w:cs="Georgia" w:ascii="Georgia" w:hAnsi="Georgia"/>
        </w:rPr>
        <w:t xml:space="preserve">Q59 - Discuter de l'intérêt de la transformation de 7 en 8 dans le cadre de la stratégie de synthèse de la Japonilure?</w:t>
      </w:r>
    </w:p>
    <w:p>
      <w:pPr>
        <w:spacing w:after="220" w:lineRule="auto"/>
      </w:pPr>
      <w:r>
        <w:rPr>
          <w:rFonts w:eastAsia="Georgia" w:cs="Georgia" w:ascii="Georgia" w:hAnsi="Georgia"/>
        </w:rPr>
        <w:t xml:space="preserve">Le composé 10 est formé à partir du composé 8 suivant une chaîne de réactions d'oxydation non étudiée dans le cadre de cette synthèse. On s'intéresse à l'obtention du composé </w:t>
      </w:r>
      <m:oMath>
        <m:r>
          <m:rPr>
            <m:sty m:val="b"/>
          </m:rPr>
          <m:t>1</m:t>
        </m:r>
        <m:r>
          <m:rPr>
            <m:sty m:val="b"/>
          </m:rPr>
          <m:t>1</m:t>
        </m:r>
      </m:oMath>
      <w:r>
        <w:rPr>
          <w:rFonts w:eastAsia="Georgia" w:cs="Georgia" w:ascii="Georgia" w:hAnsi="Georgia"/>
        </w:rPr>
        <w:t xml:space="preserve"> à partir de </w:t>
      </w:r>
      <m:oMath>
        <m:r>
          <m:rPr>
            <m:sty m:val="b"/>
          </m:rPr>
          <m:t>1</m:t>
        </m:r>
        <m:r>
          <m:rPr>
            <m:sty m:val="b"/>
          </m:rPr>
          <m:t>0</m:t>
        </m:r>
      </m:oMath>
      <w:r>
        <w:rPr/>
        <w:t xml:space="preserve">.</w:t>
      </w:r>
    </w:p>
    <w:p>
      <w:pPr>
        <w:spacing w:after="220" w:lineRule="auto"/>
      </w:pPr>
      <w:r>
        <w:rPr>
          <w:rFonts w:eastAsia="Georgia" w:cs="Georgia" w:ascii="Georgia" w:hAnsi="Georgia"/>
        </w:rPr>
        <w:t xml:space="preserve">Q60 - En plus de la déprotection, la transformation de </w:t>
      </w:r>
      <m:oMath>
        <m:r>
          <m:rPr>
            <m:sty m:val="b"/>
          </m:rPr>
          <m:t>1</m:t>
        </m:r>
        <m:r>
          <m:rPr>
            <m:sty m:val="b"/>
          </m:rPr>
          <m:t>0</m:t>
        </m:r>
      </m:oMath>
      <w:r>
        <w:rPr/>
        <w:t xml:space="preserve"> en </w:t>
      </w:r>
      <m:oMath>
        <m:r>
          <m:rPr>
            <m:sty m:val="b"/>
          </m:rPr>
          <m:t>1</m:t>
        </m:r>
        <m:r>
          <m:rPr>
            <m:sty m:val="b"/>
          </m:rPr>
          <m:t>1</m:t>
        </m:r>
      </m:oMath>
      <w:r>
        <w:rPr>
          <w:rFonts w:eastAsia="Georgia" w:cs="Georgia" w:ascii="Georgia" w:hAnsi="Georgia"/>
        </w:rPr>
        <w:t xml:space="preserve"> implique une autre transformation, laquelle ? Proposer un mécanisme à partir de l'alcool déprotégé permettant d'obtenir la molécule 11 qui par hydrogénation conduit à la Japonilure 12.</w:t>
      </w:r>
    </w:p>
    <w:p>
      <w:pPr>
        <w:spacing w:after="220" w:lineRule="auto"/>
      </w:pPr>
      <w:r>
        <w:rPr>
          <w:rFonts w:eastAsia="Georgia" w:cs="Georgia" w:ascii="Georgia" w:hAnsi="Georgia"/>
        </w:rPr>
        <w:t xml:space="preserve">On s'intéresse dans la suite à cette ultime étape utilisant le dihydrogène comme réactif.</w:t>
      </w:r>
      <w:r>
        <w:rPr/>
        <w:br w:type="textWrapping"/>
      </w:r>
      <w:r>
        <w:rPr/>
        <w:t xml:space="preserve">Q61 - Les spectres RMN </w:t>
      </w:r>
      <m:oMath>
        <m:sSup>
          <m:sSupPr/>
          <m:e>
            <m:r>
              <m:t xml:space="preserve"> </m:t>
            </m:r>
          </m:e>
          <m:sup>
            <m:r>
              <m:rPr>
                <m:sty m:val="p"/>
              </m:rPr>
              <m:t>1</m:t>
            </m:r>
          </m:sup>
        </m:sSup>
        <m:r>
          <m:rPr>
            <m:sty m:val="p"/>
          </m:rPr>
          <m:t>H</m:t>
        </m:r>
      </m:oMath>
      <w:r>
        <w:rPr>
          <w:rFonts w:eastAsia="Georgia" w:cs="Georgia" w:ascii="Georgia" w:hAnsi="Georgia"/>
        </w:rPr>
        <w:t xml:space="preserve"> du composé 11 et du produit obtenu après hydrogénation catalytique sont présentés dans le document 8. Attribuer le spectre correspondant au composé </w:t>
      </w:r>
      <m:oMath>
        <m:r>
          <m:rPr>
            <m:sty m:val="b"/>
          </m:rPr>
          <m:t>1</m:t>
        </m:r>
        <m:r>
          <m:rPr>
            <m:sty m:val="b"/>
          </m:rPr>
          <m:t>1</m:t>
        </m:r>
      </m:oMath>
      <w:r>
        <w:rPr>
          <w:rFonts w:eastAsia="Georgia" w:cs="Georgia" w:ascii="Georgia" w:hAnsi="Georgia"/>
        </w:rPr>
        <w:t xml:space="preserve"> en justifiant votre réponse. La Japonilure semble-t-elle avoir été obtenue ? La spectroscopie RMN permettrait-elle de discriminer l'obtention du stéréoisomère 12' à la place de 12 ? si oui comment ?</w:t>
      </w:r>
    </w:p>
    <w:p>
      <w:pPr>
        <w:spacing w:line="271" w:before="330" w:lineRule="auto"/>
      </w:pPr>
      <w:r>
        <w:rPr>
          <w:b/>
          <w:sz w:val="42"/>
        </w:rPr>
        <w:t xml:space="preserve">Document 8</w:t>
      </w:r>
    </w:p>
    <w:p>
      <w:pPr>
        <w:spacing w:after="220" w:lineRule="auto"/>
      </w:pPr>
      <w:r>
        <w:rPr/>
        <w:t xml:space="preserve">Spectres RMN </w:t>
      </w:r>
      <m:oMath>
        <m:sSup>
          <m:sSupPr/>
          <m:e>
            <m:r>
              <m:t xml:space="preserve"> </m:t>
            </m:r>
          </m:e>
          <m:sup>
            <m:r>
              <m:rPr>
                <m:sty m:val="p"/>
              </m:rPr>
              <m:t>1</m:t>
            </m:r>
          </m:sup>
        </m:sSup>
        <m:r>
          <m:rPr>
            <m:sty m:val="p"/>
          </m:rPr>
          <m:t>H</m:t>
        </m:r>
        <m:r>
          <m:rPr>
            <m:sty m:val="p"/>
          </m:rPr>
          <m:t>(</m:t>
        </m:r>
        <m:r>
          <m:rPr>
            <m:sty m:val="p"/>
          </m:rPr>
          <m:t>DMSO</m:t>
        </m:r>
        <m:r>
          <m:rPr>
            <m:sty m:val="p"/>
          </m:rPr>
          <m:t>,</m:t>
        </m:r>
        <m:r>
          <m:rPr>
            <m:sty m:val="p"/>
          </m:rPr>
          <m:t>300</m:t>
        </m:r>
        <m:r>
          <m:rPr>
            <m:sty m:val="p"/>
          </m:rPr>
          <m:t>MHz</m:t>
        </m:r>
        <m:sSup>
          <m:sSupPr/>
          <m:e>
            <m:r>
              <m:rPr>
                <m:sty m:val="p"/>
              </m:rPr>
              <m:t>)</m:t>
            </m:r>
          </m:e>
          <m:sup>
            <m:r>
              <m:rPr>
                <m:sty m:val="p"/>
              </m:rPr>
              <m:t>3</m:t>
            </m:r>
          </m:sup>
        </m:sSup>
      </m:oMath>
      <w:r>
        <w:rPr>
          <w:rFonts w:eastAsia="Georgia" w:cs="Georgia" w:ascii="Georgia" w:hAnsi="Georgia"/>
        </w:rPr>
        <w:t xml:space="preserve">. Le nombre de proton associé à chaque signal est indiqué en gras.</w:t>
      </w:r>
      <w:r>
        <w:rPr/>
        <w:br w:type="textWrapping"/>
      </w:r>
    </w:p>
    <w:p>
      <w:pPr>
        <w:spacing w:lineRule="auto"/>
        <w:jc w:val="center"/>
      </w:pPr>
      <w:r>
        <w:rPr/>
        <w:drawing>
          <wp:inline distB="0" distL="0" distR="0" distT="0">
            <wp:extent cx="5486400" cy="2286540"/>
            <wp:effectExtent b="0" l="0" r="0" t="0"/>
            <wp:docPr id="38" name="image-a86e656b501a66d7c15353bfb7786ae08c49cd02.jpg"/>
            <a:graphic>
              <a:graphicData uri="http://schemas.openxmlformats.org/drawingml/2006/picture">
                <pic:pic>
                  <pic:nvPicPr>
                    <pic:cNvPr id="38" name="image-a86e656b501a66d7c15353bfb7786ae08c49cd02.jpg" descr=""/>
                    <pic:cNvPicPr/>
                  </pic:nvPicPr>
                  <pic:blipFill>
                    <a:blip r:embed="rId44" cstate="print"/>
                    <a:srcRect b="0" l="0" r="0" t="0"/>
                    <a:stretch>
                      <a:fillRect/>
                    </a:stretch>
                  </pic:blipFill>
                  <pic:spPr>
                    <a:xfrm>
                      <a:off x="0" y="0"/>
                      <a:ext cx="5486400" cy="228654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2347158"/>
            <wp:effectExtent b="0" l="0" r="0" t="0"/>
            <wp:docPr id="39" name="image-3ee335619696dcb5a2c81d4a9dcb3a295368360f.jpg"/>
            <a:graphic>
              <a:graphicData uri="http://schemas.openxmlformats.org/drawingml/2006/picture">
                <pic:pic>
                  <pic:nvPicPr>
                    <pic:cNvPr id="39" name="image-3ee335619696dcb5a2c81d4a9dcb3a295368360f.jpg" descr=""/>
                    <pic:cNvPicPr/>
                  </pic:nvPicPr>
                  <pic:blipFill>
                    <a:blip r:embed="rId45" cstate="print"/>
                    <a:srcRect b="0" l="0" r="0" t="0"/>
                    <a:stretch>
                      <a:fillRect/>
                    </a:stretch>
                  </pic:blipFill>
                  <pic:spPr>
                    <a:xfrm>
                      <a:off x="0" y="0"/>
                      <a:ext cx="5486400" cy="2347158"/>
                    </a:xfrm>
                    <a:prstGeom prst="rect"/>
                  </pic:spPr>
                </pic:pic>
              </a:graphicData>
            </a:graphic>
          </wp:inline>
        </w:drawing>
      </w:r>
    </w:p>
    <w:p>
      <w:pPr>
        <w:spacing w:after="220" w:lineRule="auto"/>
      </w:pPr>
      <w:r>
        <w:rPr>
          <w:rFonts w:eastAsia="Georgia" w:cs="Georgia" w:ascii="Georgia" w:hAnsi="Georgia"/>
        </w:rPr>
        <w:t xml:space="preserve">Q62 - Déterminer le rendement total de la synthèse de la Japonilure. Commenter ce résultat en portant un regard critique sur les étapes de protection/déprotection.</w:t>
      </w:r>
    </w:p>
    <w:p>
      <w:pPr>
        <w:spacing w:line="271" w:before="330" w:lineRule="auto"/>
      </w:pPr>
      <w:r>
        <w:rPr>
          <w:b/>
          <w:sz w:val="42"/>
        </w:rPr>
        <w:t xml:space="preserve">FIN</w:t>
      </w:r>
    </w:p>
    <w:p>
      <w:pPr>
        <w:spacing w:line="271" w:before="330" w:lineRule="auto"/>
      </w:pPr>
      <w:r>
        <w:rPr>
          <w:rFonts w:eastAsia="Georgia" w:cs="Georgia" w:ascii="Georgia" w:hAnsi="Georgia"/>
          <w:b/>
          <w:sz w:val="42"/>
        </w:rPr>
        <w:t xml:space="preserve">Données numériques</w:t>
      </w:r>
    </w:p>
    <w:p>
      <w:pPr>
        <w:spacing w:line="271" w:before="330" w:lineRule="auto"/>
      </w:pPr>
      <w:r>
        <w:rPr>
          <w:rFonts w:eastAsia="Georgia" w:cs="Georgia" w:ascii="Georgia" w:hAnsi="Georgia"/>
          <w:b/>
          <w:sz w:val="42"/>
        </w:rPr>
        <w:t xml:space="preserve">Données numériques générales</w:t>
      </w:r>
    </w:p>
    <w:p>
      <w:pPr>
        <w:spacing w:after="220" w:lineRule="auto"/>
      </w:pPr>
      <w:r>
        <w:rPr/>
        <w:t xml:space="preserve">Constante universelle des gaz parfaits: </w:t>
      </w:r>
      <m:oMath>
        <m:r>
          <m:rPr>
            <m:sty m:val="p"/>
          </m:rPr>
          <m:t>R</m:t>
        </m:r>
        <m:r>
          <m:rPr>
            <m:sty m:val="p"/>
          </m:rPr>
          <m:t>=</m:t>
        </m:r>
        <m:r>
          <m:rPr>
            <m:sty m:val="p"/>
          </m:rPr>
          <m:t>8</m:t>
        </m:r>
        <m:r>
          <m:rPr>
            <m:sty m:val="p"/>
          </m:rPr>
          <m:t>,</m:t>
        </m:r>
        <m:r>
          <m:rPr>
            <m:sty m:val="p"/>
          </m:rPr>
          <m:t>314</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w:r>
        <w:rPr/>
        <w:br w:type="textWrapping"/>
      </w:r>
      <w:r>
        <w:rPr>
          <w:rFonts w:eastAsia="Georgia" w:cs="Georgia" w:ascii="Georgia" w:hAnsi="Georgia"/>
        </w:rPr>
        <w:t xml:space="preserve">Unité de pression : </w:t>
      </w:r>
      <m:oMath>
        <m:r>
          <m:rPr>
            <m:sty m:val="p"/>
          </m:rPr>
          <m:t>1</m:t>
        </m:r>
        <m:r>
          <m:rPr>
            <m:sty m:val="p"/>
          </m:rPr>
          <m:t>bar</m:t>
        </m:r>
        <m:r>
          <m:rPr>
            <m:sty m:val="p"/>
          </m:rPr>
          <m:t>=</m:t>
        </m:r>
        <m:sSup>
          <m:sSupPr/>
          <m:e>
            <m:r>
              <m:rPr>
                <m:sty m:val="p"/>
              </m:rPr>
              <m:t>10</m:t>
            </m:r>
          </m:e>
          <m:sup>
            <m:r>
              <m:rPr>
                <m:sty m:val="p"/>
              </m:rPr>
              <m:t>5</m:t>
            </m:r>
          </m:sup>
        </m:sSup>
        <m:r>
          <m:rPr>
            <m:nor/>
          </m:rPr>
          <m:t xml:space="preserve"> </m:t>
        </m:r>
        <m:r>
          <m:rPr>
            <m:sty m:val="p"/>
          </m:rPr>
          <m:t>Pa</m:t>
        </m:r>
      </m:oMath>
      <w:r>
        <w:rPr/>
        <w:br w:type="textWrapping"/>
      </w:r>
      <w:r>
        <w:rPr/>
        <w:t xml:space="preserve">Masses molaires atomiques (en g. </w:t>
      </w:r>
      <m:oMath>
        <m:sSup>
          <m:sSupPr/>
          <m:e>
            <m:r>
              <m:rPr>
                <m:sty m:val="p"/>
              </m:rPr>
              <m:t>mol</m:t>
            </m:r>
          </m:e>
          <m:sup>
            <m:r>
              <m:rPr>
                <m:sty m:val="p"/>
              </m:rPr>
              <m:t>−</m:t>
            </m:r>
            <m:r>
              <m:rPr>
                <m:sty m:val="p"/>
              </m:rPr>
              <m:t>1</m:t>
            </m:r>
          </m:sup>
        </m:sSup>
      </m:oMath>
      <w:r>
        <w:rPr/>
        <w:t xml:space="preserve"> )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H</w:t>
            </w:r>
          </w:p>
        </w:tc>
        <w:tc>
          <w:tcPr>
            <w:tcBorders>
              <w:top w:val="single" w:sz="8" w:space="0" w:color="000000"/>
              <w:bottom w:val="single" w:sz="8" w:space="0" w:color="000000"/>
              <w:right w:val="single" w:sz="8" w:space="0" w:color="000000"/>
            </w:tcBorders>
            <w:vAlign w:val="center"/>
          </w:tcPr>
          <w:p>
            <w:pPr>
              <w:spacing w:lineRule="auto"/>
              <w:jc w:val="center"/>
            </w:pPr>
            <w:r>
              <w:rPr/>
              <w:t xml:space="preserve">C</w:t>
            </w:r>
          </w:p>
        </w:tc>
        <w:tc>
          <w:tcPr>
            <w:tcBorders>
              <w:top w:val="single" w:sz="8" w:space="0" w:color="000000"/>
              <w:bottom w:val="single" w:sz="8" w:space="0" w:color="000000"/>
              <w:right w:val="single" w:sz="8" w:space="0" w:color="000000"/>
            </w:tcBorders>
            <w:vAlign w:val="center"/>
          </w:tcPr>
          <w:p>
            <w:pPr>
              <w:spacing w:lineRule="auto"/>
              <w:jc w:val="center"/>
            </w:pPr>
            <w:r>
              <w:rPr/>
              <w:t xml:space="preserve">N</w:t>
            </w:r>
          </w:p>
        </w:tc>
        <w:tc>
          <w:tcPr>
            <w:tcBorders>
              <w:top w:val="single" w:sz="8" w:space="0" w:color="000000"/>
              <w:bottom w:val="single" w:sz="8" w:space="0" w:color="000000"/>
              <w:right w:val="single" w:sz="8" w:space="0" w:color="000000"/>
            </w:tcBorders>
            <w:vAlign w:val="center"/>
          </w:tcPr>
          <w:p>
            <w:pPr>
              <w:spacing w:lineRule="auto"/>
              <w:jc w:val="center"/>
            </w:pPr>
            <w:r>
              <w:rPr/>
              <w:t xml:space="preserve">O</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1,0</w:t>
            </w:r>
          </w:p>
        </w:tc>
        <w:tc>
          <w:tcPr>
            <w:tcBorders>
              <w:bottom w:val="single" w:sz="8" w:space="0" w:color="000000"/>
              <w:right w:val="single" w:sz="8" w:space="0" w:color="000000"/>
            </w:tcBorders>
            <w:vAlign w:val="center"/>
          </w:tcPr>
          <w:p>
            <w:pPr>
              <w:spacing w:lineRule="auto"/>
              <w:jc w:val="center"/>
            </w:pPr>
            <w:r>
              <w:rPr/>
              <w:t xml:space="preserve">12,0</w:t>
            </w:r>
          </w:p>
        </w:tc>
        <w:tc>
          <w:tcPr>
            <w:tcBorders>
              <w:bottom w:val="single" w:sz="8" w:space="0" w:color="000000"/>
              <w:right w:val="single" w:sz="8" w:space="0" w:color="000000"/>
            </w:tcBorders>
            <w:vAlign w:val="center"/>
          </w:tcPr>
          <w:p>
            <w:pPr>
              <w:spacing w:lineRule="auto"/>
              <w:jc w:val="center"/>
            </w:pPr>
            <w:r>
              <w:rPr/>
              <w:t xml:space="preserve">14,0</w:t>
            </w:r>
          </w:p>
        </w:tc>
        <w:tc>
          <w:tcPr>
            <w:tcBorders>
              <w:bottom w:val="single" w:sz="8" w:space="0" w:color="000000"/>
              <w:right w:val="single" w:sz="8" w:space="0" w:color="000000"/>
            </w:tcBorders>
            <w:vAlign w:val="center"/>
          </w:tcPr>
          <w:p>
            <w:pPr>
              <w:spacing w:lineRule="auto"/>
              <w:jc w:val="center"/>
            </w:pPr>
            <w:r>
              <w:rPr/>
              <w:t xml:space="preserve">16,0</w:t>
            </w:r>
          </w:p>
        </w:tc>
      </w:tr>
    </w:tbl>
    <w:p>
      <w:pPr>
        <w:spacing w:lineRule="auto"/>
      </w:pPr>
    </w:p>
    <w:p>
      <w:pPr>
        <w:spacing w:line="271" w:before="330" w:lineRule="auto"/>
      </w:pPr>
      <w:r>
        <w:rPr>
          <w:rFonts w:eastAsia="Georgia" w:cs="Georgia" w:ascii="Georgia" w:hAnsi="Georgia"/>
          <w:b/>
          <w:sz w:val="42"/>
        </w:rPr>
        <w:t xml:space="preserve">Données électrochimiques</w:t>
      </w:r>
    </w:p>
    <w:p>
      <w:pPr>
        <w:spacing w:after="220" w:lineRule="auto"/>
      </w:pPr>
      <w:r>
        <w:rPr/>
        <w:t xml:space="preserve">Constante de Faraday : </w:t>
      </w:r>
      <m:oMath>
        <m:r>
          <m:rPr>
            <m:sty m:val="p"/>
          </m:rPr>
          <m:t>F</m:t>
        </m:r>
        <m:r>
          <m:rPr>
            <m:sty m:val="p"/>
          </m:rPr>
          <m:t>=</m:t>
        </m:r>
        <m:r>
          <m:rPr>
            <m:sty m:val="p"/>
          </m:rPr>
          <m:t>96485</m:t>
        </m:r>
        <m:sSub>
          <m:sSubPr/>
          <m:e>
            <m:r>
              <m:rPr>
                <m:sty m:val="p"/>
              </m:rPr>
              <m:t>C</m:t>
            </m:r>
          </m:e>
          <m:sub>
            <m:r>
              <m:rPr>
                <m:sty m:val="p"/>
              </m:rPr>
              <m:t>.</m:t>
            </m:r>
            <m:sSup>
              <m:sSupPr/>
              <m:e>
                <m:r>
                  <m:rPr>
                    <m:sty m:val="p"/>
                  </m:rPr>
                  <m:t>mol</m:t>
                </m:r>
              </m:e>
              <m:sup>
                <m:r>
                  <m:rPr>
                    <m:sty m:val="p"/>
                  </m:rPr>
                  <m:t>−</m:t>
                </m:r>
                <m:r>
                  <m:rPr>
                    <m:sty m:val="p"/>
                  </m:rPr>
                  <m:t>1</m:t>
                </m:r>
              </m:sup>
            </m:sSup>
          </m:sub>
        </m:sSub>
      </m:oMath>
      <w:r>
        <w:rPr/>
        <w:br w:type="textWrapping"/>
      </w:r>
      <m:oMath>
        <m:r>
          <m:rPr>
            <m:sty m:val="i"/>
          </m:rPr>
          <m:t>α</m:t>
        </m:r>
        <m:r>
          <m:rPr>
            <m:sty m:val="p"/>
          </m:rPr>
          <m:t>=</m:t>
        </m:r>
        <m:f>
          <m:fPr>
            <m:ctrlPr>
              <w:rPr>
                <w:rFonts w:ascii="Cambria Math" w:hAnsi="Cambria Math"/>
              </w:rPr>
            </m:ctrlPr>
          </m:fPr>
          <m:num>
            <m:r>
              <m:rPr>
                <m:sty m:val="p"/>
              </m:rPr>
              <m:t>RTln</m:t>
            </m:r>
            <m:r>
              <m:rPr>
                <m:sty m:val="p"/>
              </m:rPr>
              <m:t>(</m:t>
            </m:r>
            <m:r>
              <m:rPr>
                <m:sty m:val="p"/>
              </m:rPr>
              <m:t>10</m:t>
            </m:r>
            <m:r>
              <m:rPr>
                <m:sty m:val="p"/>
              </m:rPr>
              <m:t>)</m:t>
            </m:r>
          </m:num>
          <m:den>
            <m:r>
              <m:rPr>
                <m:sty m:val="p"/>
              </m:rPr>
              <m:t>F</m:t>
            </m:r>
          </m:den>
        </m:f>
        <m:r>
          <m:rPr>
            <m:sty m:val="p"/>
          </m:rPr>
          <m:t>≈</m:t>
        </m:r>
        <m:r>
          <m:rPr>
            <m:sty m:val="p"/>
          </m:rPr>
          <m:t>0</m:t>
        </m:r>
        <m:r>
          <m:rPr>
            <m:sty m:val="p"/>
          </m:rPr>
          <m:t>,</m:t>
        </m:r>
        <m:r>
          <m:rPr>
            <m:sty m:val="p"/>
          </m:rPr>
          <m:t>06</m:t>
        </m:r>
        <m:r>
          <m:rPr>
            <m:nor/>
          </m:rPr>
          <m:t xml:space="preserve"> </m:t>
        </m:r>
        <m:r>
          <m:rPr>
            <m:sty m:val="p"/>
          </m:rPr>
          <m:t>V</m:t>
        </m:r>
      </m:oMath>
      <w:r>
        <w:rPr>
          <w:rFonts w:eastAsia="Georgia" w:cs="Georgia" w:ascii="Georgia" w:hAnsi="Georgia"/>
        </w:rPr>
        <w:t xml:space="preserve"> à 298 K</w:t>
      </w:r>
      <w:r>
        <w:rPr/>
        <w:br w:type="textWrapping"/>
      </w:r>
      <w:r>
        <w:rPr>
          <w:rFonts w:eastAsia="Georgia" w:cs="Georgia" w:ascii="Georgia" w:hAnsi="Georgia"/>
        </w:rPr>
        <w:t xml:space="preserve">Potentiels standard à 298 K et </w:t>
      </w:r>
      <m:oMath>
        <m:r>
          <m:rPr>
            <m:sty m:val="p"/>
          </m:rPr>
          <m:t>pH</m:t>
        </m:r>
        <m:r>
          <m:rPr>
            <m:sty m:val="p"/>
          </m:rPr>
          <m:t>=</m:t>
        </m:r>
        <m:r>
          <m:rPr>
            <m:sty m:val="p"/>
          </m:rPr>
          <m:t>0</m:t>
        </m:r>
      </m:oMath>
      <w:r>
        <w:rPr/>
        <w:t xml:space="preserve">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Couple Oxydant/Réducteur</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O</m:t>
                    </m:r>
                  </m:e>
                  <m:sub>
                    <m:r>
                      <m:rPr>
                        <m:sty m:val="p"/>
                      </m:rPr>
                      <m:t>2</m:t>
                    </m:r>
                    <m:r>
                      <m:rPr>
                        <m:sty m:val="p"/>
                      </m:rPr>
                      <m:t>(</m:t>
                    </m:r>
                    <m:r>
                      <m:rPr>
                        <m:nor/>
                      </m:rPr>
                      <m:t xml:space="preserve"> </m:t>
                    </m:r>
                    <m:r>
                      <m:rPr>
                        <m:sty m:val="p"/>
                      </m:rPr>
                      <m:t>g</m:t>
                    </m:r>
                    <m:r>
                      <m:rPr>
                        <m:sty m:val="p"/>
                      </m:rPr>
                      <m:t>)</m:t>
                    </m:r>
                  </m:sub>
                </m:sSub>
                <m:r>
                  <m:rPr>
                    <m:sty m:val="p"/>
                  </m:rPr>
                  <m:t>/</m:t>
                </m:r>
                <m:sSub>
                  <m:sSubPr/>
                  <m:e>
                    <m:r>
                      <m:rPr>
                        <m:sty m:val="p"/>
                      </m:rPr>
                      <m:t>H</m:t>
                    </m:r>
                  </m:e>
                  <m:sub>
                    <m:r>
                      <m:rPr>
                        <m:sty m:val="p"/>
                      </m:rPr>
                      <m:t>2</m:t>
                    </m:r>
                  </m:sub>
                </m:sSub>
                <m:sSub>
                  <m:sSubPr/>
                  <m:e>
                    <m:r>
                      <m:rPr>
                        <m:sty m:val="p"/>
                      </m:rPr>
                      <m:t>O</m:t>
                    </m:r>
                  </m:e>
                  <m:sub>
                    <m:r>
                      <m:rPr>
                        <m:sty m:val="p"/>
                      </m:rPr>
                      <m:t>(</m:t>
                    </m:r>
                    <m:r>
                      <m:rPr>
                        <m:sty m:val="p"/>
                      </m:rPr>
                      <m:t>l</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H</m:t>
                    </m:r>
                  </m:e>
                  <m:sup>
                    <m:r>
                      <m:rPr>
                        <m:sty m:val="p"/>
                      </m:rPr>
                      <m:t>+</m:t>
                    </m:r>
                  </m:sup>
                </m:sSup>
                <m:sSub>
                  <m:sSubPr/>
                  <m:e>
                    <m:r>
                      <m:t xml:space="preserve"> </m:t>
                    </m:r>
                  </m:e>
                  <m:sub>
                    <m:r>
                      <m:rPr>
                        <m:sty m:val="p"/>
                      </m:rPr>
                      <m:t>(</m:t>
                    </m:r>
                    <m:r>
                      <m:rPr>
                        <m:sty m:val="p"/>
                      </m:rPr>
                      <m:t>aq</m:t>
                    </m:r>
                    <m:r>
                      <m:rPr>
                        <m:sty m:val="p"/>
                      </m:rPr>
                      <m:t>)</m:t>
                    </m:r>
                  </m:sub>
                </m:sSub>
                <m:r>
                  <m:rPr>
                    <m:sty m:val="p"/>
                  </m:rPr>
                  <m:t>/</m:t>
                </m:r>
                <m:sSub>
                  <m:sSubPr/>
                  <m:e>
                    <m:r>
                      <m:rPr>
                        <m:sty m:val="p"/>
                      </m:rPr>
                      <m:t>H</m:t>
                    </m:r>
                  </m:e>
                  <m:sub>
                    <m:r>
                      <m:rPr>
                        <m:sty m:val="p"/>
                      </m:rPr>
                      <m:t>2</m:t>
                    </m:r>
                    <m:r>
                      <m:rPr>
                        <m:sty m:val="p"/>
                      </m:rPr>
                      <m:t>(</m:t>
                    </m:r>
                    <m:r>
                      <m:rPr>
                        <m:nor/>
                      </m:rPr>
                      <m:t xml:space="preserve"> </m:t>
                    </m:r>
                    <m:r>
                      <m:rPr>
                        <m:sty m:val="p"/>
                      </m:rPr>
                      <m:t>g</m:t>
                    </m:r>
                    <m:r>
                      <m:rPr>
                        <m:sty m:val="p"/>
                      </m:rPr>
                      <m:t>)</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
              <m:sSup>
                <m:sSupPr/>
                <m:e>
                  <m:r>
                    <m:rPr>
                      <m:sty m:val="p"/>
                    </m:rPr>
                    <m:t>E</m:t>
                  </m:r>
                </m:e>
                <m:sup>
                  <m:r>
                    <m:rPr>
                      <m:sty m:val="p"/>
                    </m:rPr>
                    <m:t>∘</m:t>
                  </m:r>
                </m:sup>
              </m:sSup>
              <m:r>
                <m:rPr>
                  <m:sty m:val="p"/>
                </m:rPr>
                <m:t>(</m:t>
              </m:r>
            </m:oMath>
            <w:r>
              <w:rPr/>
              <w:t xml:space="preserve"> en V </w:t>
            </w:r>
            <m:oMath>
              <m:r>
                <m:rPr>
                  <m:sty m:val="p"/>
                </m:rPr>
                <m:t>)</m:t>
              </m:r>
            </m:oMath>
          </w:p>
        </w:tc>
        <w:tc>
          <w:tcPr>
            <w:tcBorders>
              <w:bottom w:val="single" w:sz="8" w:space="0" w:color="000000"/>
              <w:right w:val="single" w:sz="8" w:space="0" w:color="000000"/>
            </w:tcBorders>
            <w:vAlign w:val="center"/>
          </w:tcPr>
          <w:p>
            <w:pPr>
              <w:spacing w:lineRule="auto"/>
              <w:jc w:val="center"/>
            </w:pPr>
            <w:r>
              <w:rPr/>
              <w:t xml:space="preserve">1,23</w:t>
            </w:r>
          </w:p>
        </w:tc>
        <w:tc>
          <w:tcPr>
            <w:tcBorders>
              <w:bottom w:val="single" w:sz="8" w:space="0" w:color="000000"/>
              <w:right w:val="single" w:sz="8" w:space="0" w:color="000000"/>
            </w:tcBorders>
            <w:vAlign w:val="center"/>
          </w:tcPr>
          <w:p>
            <w:pPr>
              <w:spacing w:lineRule="auto"/>
              <w:jc w:val="center"/>
            </w:pPr>
            <w:r>
              <w:rPr/>
              <w:t xml:space="preserve">0,00</w:t>
            </w:r>
          </w:p>
        </w:tc>
      </w:tr>
    </w:tbl>
    <w:p>
      <w:pPr>
        <w:spacing w:lineRule="auto"/>
      </w:pPr>
    </w:p>
    <w:p>
      <w:pPr>
        <w:spacing w:line="271" w:before="330" w:lineRule="auto"/>
      </w:pPr>
      <w:r>
        <w:rPr>
          <w:rFonts w:eastAsia="Georgia" w:cs="Georgia" w:ascii="Georgia" w:hAnsi="Georgia"/>
          <w:b/>
          <w:sz w:val="42"/>
        </w:rPr>
        <w:t xml:space="preserve">Données thermodynamiques</w:t>
      </w:r>
    </w:p>
    <w:p>
      <w:pPr>
        <w:spacing w:after="220" w:lineRule="auto"/>
      </w:pPr>
      <w:r>
        <w:rPr>
          <w:rFonts w:eastAsia="Georgia" w:cs="Georgia" w:ascii="Georgia" w:hAnsi="Georgia"/>
        </w:rPr>
        <w:t xml:space="preserve">pKa de quelques couples acido-basiques en solution aqueuse à 298 K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Couple</w:t>
            </w:r>
          </w:p>
          <w:p>
            <w:pPr>
              <w:spacing w:lineRule="auto"/>
              <w:jc w:val="center"/>
            </w:pPr>
            <w:r>
              <w:rPr/>
              <w:t xml:space="preserve">acide/base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Alcool/Alcoolate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Alcyne/Alcynure</w:t>
            </w: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pKa</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16</m:t>
                </m:r>
                <m:r>
                  <m:rPr>
                    <m:sty m:val="p"/>
                  </m:rPr>
                  <m:t>−</m:t>
                </m:r>
                <m:r>
                  <m:rPr>
                    <m:sty m:val="p"/>
                  </m:rPr>
                  <m:t>18</m:t>
                </m:r>
              </m:oMath>
            </m:oMathPara>
          </w:p>
        </w:tc>
        <w:tc>
          <w:tcPr>
            <w:tcBorders>
              <w:bottom w:val="single" w:sz="8" w:space="0" w:color="000000"/>
              <w:right w:val="single" w:sz="8" w:space="0" w:color="000000"/>
            </w:tcBorders>
            <w:vAlign w:val="center"/>
          </w:tcPr>
          <w:p>
            <w:pPr>
              <w:spacing w:lineRule="auto"/>
              <w:jc w:val="center"/>
            </w:pPr>
            <w:r>
              <w:rPr/>
              <w:t xml:space="preserve">25</w:t>
            </w:r>
          </w:p>
        </w:tc>
        <w:tc>
          <w:tcPr>
            <w:tcBorders>
              <w:bottom w:val="single" w:sz="8" w:space="0" w:color="000000"/>
              <w:right w:val="single" w:sz="8" w:space="0" w:color="000000"/>
            </w:tcBorders>
            <w:vAlign w:val="center"/>
          </w:tcPr>
          <w:p>
            <w:pPr>
              <w:spacing w:lineRule="auto"/>
              <w:jc w:val="center"/>
            </w:pPr>
            <w:r>
              <w:rPr/>
              <w:t xml:space="preserve">6,95</w:t>
            </w:r>
          </w:p>
        </w:tc>
      </w:tr>
    </w:tbl>
    <w:p>
      <w:pPr>
        <w:spacing w:lineRule="auto"/>
      </w:pPr>
    </w:p>
    <w:p>
      <w:pPr>
        <w:spacing w:line="271" w:before="330" w:lineRule="auto"/>
      </w:pPr>
      <w:r>
        <w:rPr>
          <w:rFonts w:eastAsia="Georgia" w:cs="Georgia" w:ascii="Georgia" w:hAnsi="Georgia"/>
          <w:b/>
          <w:sz w:val="42"/>
        </w:rPr>
        <w:t xml:space="preserve">Données spectroscopiques</w:t>
      </w:r>
    </w:p>
    <w:p>
      <w:pPr>
        <w:spacing w:line="271" w:before="330" w:lineRule="auto"/>
      </w:pPr>
      <w:r>
        <w:rPr>
          <w:b/>
          <w:sz w:val="42"/>
        </w:rPr>
        <w:t xml:space="preserve">RMN </w:t>
      </w:r>
      <m:oMath>
        <m:sSup>
          <m:sSupPr>
            <m:ctrlPr>
              <w:rPr>
                <w:rFonts w:ascii="Cambria Math" w:hAnsi="Cambria Math"/>
                <w:sz w:val="42"/>
              </w:rPr>
            </m:ctrlPr>
          </m:sSupPr>
          <m:e>
            <m:r>
              <m:t xml:space="preserve"> </m:t>
            </m:r>
          </m:e>
          <m:sup>
            <m:r>
              <m:rPr>
                <m:sty m:val="b"/>
              </m:rPr>
              <w:rPr>
                <w:sz w:val="42"/>
              </w:rPr>
              <m:t>1</m:t>
            </m:r>
          </m:sup>
        </m:sSup>
        <m:r>
          <m:rPr>
            <m:sty m:val="b"/>
          </m:rPr>
          <w:rPr>
            <w:sz w:val="42"/>
          </w:rPr>
          <m:t>H</m:t>
        </m:r>
      </m:oMath>
      <w:r>
        <w:rPr>
          <w:b/>
          <w:sz w:val="42"/>
        </w:rPr>
        <w:t xml:space="preserve">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Protons</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δ</m:t>
                </m:r>
                <m:r>
                  <m:rPr>
                    <m:sty m:val="p"/>
                  </m:rPr>
                  <m:t>(</m:t>
                </m:r>
                <m:r>
                  <m:rPr>
                    <m:sty m:val="p"/>
                  </m:rPr>
                  <m:t>ppm</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Protons</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δ</m:t>
                </m:r>
                <m:r>
                  <m:rPr>
                    <m:sty m:val="p"/>
                  </m:rPr>
                  <m:t>(</m:t>
                </m:r>
                <m:r>
                  <m:rPr>
                    <m:sty m:val="p"/>
                  </m:rPr>
                  <m:t>ppm</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d>
                <m:dPr>
                  <m:begChr m:val="("/>
                  <m:endChr m:val=")"/>
                  <m:ctrlPr>
                    <w:rPr>
                      <w:rFonts w:ascii="Cambria Math" w:hAnsi="Cambria Math"/>
                    </w:rPr>
                  </m:ctrlPr>
                </m:dPr>
                <m:e>
                  <m:sSub>
                    <m:sSubPr/>
                    <m:e>
                      <m:r>
                        <m:rPr>
                          <m:sty m:val="p"/>
                        </m:rPr>
                        <m:t>CH</m:t>
                      </m:r>
                    </m:e>
                    <m:sub>
                      <m:r>
                        <m:rPr>
                          <m:sty m:val="p"/>
                        </m:rPr>
                        <m:t>3</m:t>
                      </m:r>
                    </m:sub>
                  </m:sSub>
                </m:e>
              </m:d>
              <m:r>
                <m:rPr>
                  <m:sty m:val="p"/>
                </m:rPr>
                <m:t>Si</m:t>
              </m:r>
            </m:oMath>
            <w:r>
              <w:rPr>
                <w:rFonts w:eastAsia="Georgia" w:cs="Georgia" w:ascii="Georgia" w:hAnsi="Georgia"/>
              </w:rPr>
              <w:t xml:space="preserve"> (référence)</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CH</m:t>
                </m:r>
                <m:r>
                  <m:rPr>
                    <m:sty m:val="p"/>
                  </m:rPr>
                  <m:t>−</m:t>
                </m:r>
                <m:r>
                  <m:rPr>
                    <m:sty m:val="p"/>
                  </m:rPr>
                  <m:t>C</m:t>
                </m:r>
                <m:r>
                  <m:rPr>
                    <m:sty m:val="p"/>
                  </m:rPr>
                  <m:t>(</m:t>
                </m:r>
                <m:r>
                  <m:rPr>
                    <m:sty m:val="p"/>
                  </m:rPr>
                  <m:t>O</m:t>
                </m:r>
                <m:r>
                  <m:rPr>
                    <m:sty m:val="p"/>
                  </m:rPr>
                  <m:t>)</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2,2-2,7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C</m:t>
                </m:r>
                <m:r>
                  <m:rPr>
                    <m:sty m:val="p"/>
                  </m:rPr>
                  <m:t>−</m:t>
                </m:r>
                <m:sSub>
                  <m:sSubPr/>
                  <m:e>
                    <m:r>
                      <m:rPr>
                        <m:sty m:val="p"/>
                      </m:rPr>
                      <m:t>CH</m:t>
                    </m:r>
                  </m:e>
                  <m:sub>
                    <m:r>
                      <m:rPr>
                        <m:sty m:val="p"/>
                      </m:rPr>
                      <m:t>3</m:t>
                    </m:r>
                  </m:sub>
                </m:sSub>
              </m:oMath>
            </m:oMathPara>
          </w:p>
        </w:tc>
        <w:tc>
          <w:tcPr>
            <w:tcBorders>
              <w:bottom w:val="single" w:sz="8" w:space="0" w:color="000000"/>
              <w:right w:val="single" w:sz="8" w:space="0" w:color="000000"/>
            </w:tcBorders>
            <w:vAlign w:val="center"/>
          </w:tcPr>
          <w:p>
            <w:pPr>
              <w:spacing w:lineRule="auto"/>
              <w:jc w:val="left"/>
            </w:pPr>
            <w:r>
              <w:rPr/>
              <w:t xml:space="preserve">0,8-1</w:t>
            </w:r>
          </w:p>
        </w:tc>
        <w:tc>
          <w:tcPr>
            <w:tcBorders>
              <w:bottom w:val="single" w:sz="8" w:space="0" w:color="000000"/>
              <w:right w:val="single" w:sz="8" w:space="0" w:color="000000"/>
            </w:tcBorders>
            <w:vAlign w:val="center"/>
          </w:tcPr>
          <w:p>
            <w:pPr>
              <w:spacing w:lineRule="auto"/>
              <w:jc w:val="left"/>
            </w:pPr>
            <w:r>
              <w:rPr/>
              <w:t xml:space="preserve">-CH-O-</w:t>
            </w:r>
          </w:p>
        </w:tc>
        <w:tc>
          <w:tcPr>
            <w:tcBorders>
              <w:bottom w:val="single" w:sz="8" w:space="0" w:color="000000"/>
              <w:right w:val="single" w:sz="8" w:space="0" w:color="000000"/>
            </w:tcBorders>
            <w:vAlign w:val="center"/>
          </w:tcPr>
          <w:p>
            <w:pPr>
              <w:spacing w:lineRule="auto"/>
              <w:jc w:val="left"/>
            </w:pPr>
            <w:r>
              <w:rPr/>
              <w:t xml:space="preserve">4,5-5,5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-O-H (alcool)</w:t>
            </w:r>
          </w:p>
        </w:tc>
        <w:tc>
          <w:tcPr>
            <w:tcBorders>
              <w:bottom w:val="single" w:sz="8" w:space="0" w:color="000000"/>
              <w:right w:val="single" w:sz="8" w:space="0" w:color="000000"/>
            </w:tcBorders>
            <w:vAlign w:val="center"/>
          </w:tcPr>
          <w:p>
            <w:pPr>
              <w:spacing w:lineRule="auto"/>
              <w:jc w:val="left"/>
            </w:pPr>
            <w:r>
              <w:rPr/>
              <w:t xml:space="preserve">1-6 (large)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CH</m:t>
                </m:r>
                <m:r>
                  <m:rPr>
                    <m:sty m:val="p"/>
                  </m:rPr>
                  <m:t>=</m:t>
                </m:r>
                <m:r>
                  <m:rPr>
                    <m:sty m:val="p"/>
                  </m:rPr>
                  <m:t>CH</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4,5-8,0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CH</m:t>
                </m:r>
                <m:r>
                  <m:rPr>
                    <m:sty m:val="p"/>
                  </m:rPr>
                  <m:t>−</m:t>
                </m:r>
                <m:r>
                  <m:rPr>
                    <m:sty m:val="p"/>
                  </m:rPr>
                  <m:t>CH</m:t>
                </m:r>
                <m:r>
                  <m:rPr>
                    <m:sty m:val="p"/>
                  </m:rPr>
                  <m:t>=</m:t>
                </m:r>
                <m:r>
                  <m:rPr>
                    <m:sty m:val="p"/>
                  </m:rPr>
                  <m:t>CH</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1,6-2,4</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b"/>
                  </m:rPr>
                  <m:t>H</m:t>
                </m:r>
                <m:r>
                  <m:rPr>
                    <m:sty m:val="p"/>
                  </m:rPr>
                  <m:t>−</m:t>
                </m:r>
                <m:sSub>
                  <m:sSubPr/>
                  <m:e>
                    <m:r>
                      <m:rPr>
                        <m:sty m:val="p"/>
                      </m:rPr>
                      <m:t>C</m:t>
                    </m:r>
                  </m:e>
                  <m:sub>
                    <m:r>
                      <m:rPr>
                        <m:nor/>
                      </m:rPr>
                      <m:t>benzénique </m:t>
                    </m:r>
                  </m:sub>
                </m:sSub>
              </m:oMath>
            </m:oMathPara>
          </w:p>
        </w:tc>
        <w:tc>
          <w:tcPr>
            <w:tcBorders>
              <w:bottom w:val="single" w:sz="8" w:space="0" w:color="000000"/>
              <w:right w:val="single" w:sz="8" w:space="0" w:color="000000"/>
            </w:tcBorders>
            <w:vAlign w:val="center"/>
          </w:tcPr>
          <w:p>
            <w:pPr>
              <w:spacing w:lineRule="auto"/>
              <w:jc w:val="left"/>
            </w:pPr>
            <w:r>
              <w:rPr/>
              <w:t xml:space="preserve">6,3-8,2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-CH-CC- (alcyne)</w:t>
            </w:r>
          </w:p>
        </w:tc>
        <w:tc>
          <w:tcPr>
            <w:tcBorders>
              <w:bottom w:val="single" w:sz="8" w:space="0" w:color="000000"/>
              <w:right w:val="single" w:sz="8" w:space="0" w:color="000000"/>
            </w:tcBorders>
            <w:vAlign w:val="center"/>
          </w:tcPr>
          <w:p>
            <w:pPr>
              <w:spacing w:lineRule="auto"/>
              <w:jc w:val="left"/>
            </w:pPr>
            <w:r>
              <w:rPr/>
              <w:t xml:space="preserve">1,2-2,4</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-CHO (aldéhyde)</w:t>
            </w:r>
          </w:p>
        </w:tc>
        <w:tc>
          <w:tcPr>
            <w:tcBorders>
              <w:bottom w:val="single" w:sz="8" w:space="0" w:color="000000"/>
              <w:right w:val="single" w:sz="8" w:space="0" w:color="000000"/>
            </w:tcBorders>
            <w:vAlign w:val="center"/>
          </w:tcPr>
          <w:p>
            <w:pPr>
              <w:spacing w:lineRule="auto"/>
              <w:jc w:val="left"/>
            </w:pPr>
            <w:r>
              <w:rPr/>
              <w:t xml:space="preserve">9,5-9,9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CH</m:t>
                </m:r>
                <m:r>
                  <m:rPr>
                    <m:sty m:val="p"/>
                  </m:rPr>
                  <m:t>−</m:t>
                </m:r>
                <m:sSub>
                  <m:sSubPr/>
                  <m:e>
                    <m:r>
                      <m:rPr>
                        <m:sty m:val="p"/>
                      </m:rPr>
                      <m:t>C</m:t>
                    </m:r>
                  </m:e>
                  <m:sub>
                    <m:r>
                      <m:rPr>
                        <m:nor/>
                      </m:rPr>
                      <m:t>benzénique </m:t>
                    </m:r>
                  </m:sub>
                </m:sSub>
              </m:oMath>
            </m:oMathPara>
          </w:p>
        </w:tc>
        <w:tc>
          <w:tcPr>
            <w:tcBorders>
              <w:bottom w:val="single" w:sz="8" w:space="0" w:color="000000"/>
              <w:right w:val="single" w:sz="8" w:space="0" w:color="000000"/>
            </w:tcBorders>
            <w:vAlign w:val="center"/>
          </w:tcPr>
          <w:p>
            <w:pPr>
              <w:spacing w:lineRule="auto"/>
              <w:jc w:val="left"/>
            </w:pPr>
            <w:r>
              <w:rPr/>
              <w:t xml:space="preserve">2,0-3,0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Couplage alcène :</w:t>
      </w:r>
      <w:r>
        <w:rPr/>
        <w:br w:type="textWrapping"/>
      </w:r>
    </w:p>
    <w:p>
      <w:pPr>
        <w:spacing w:lineRule="auto"/>
      </w:pPr>
      <w:r>
        <w:rPr/>
        <w:drawing>
          <wp:inline distB="0" distL="0" distR="0" distT="0">
            <wp:extent cx="1581150" cy="1152525"/>
            <wp:effectExtent b="0" l="0" r="0" t="0"/>
            <wp:docPr id="40" name="image-svg-c01606f30f2db695880f3f3fbb89e5e52305cb81.svg"/>
            <a:graphic>
              <a:graphicData uri="http://schemas.openxmlformats.org/drawingml/2006/picture">
                <pic:pic>
                  <pic:nvPicPr>
                    <pic:cNvPr id="40" name="image-svg-c01606f30f2db695880f3f3fbb89e5e52305cb81.svg" descr=""/>
                    <pic:cNvPicPr/>
                  </pic:nvPicPr>
                  <pic:blipFill>
                    <a:blip r:embed="rId47" cstate="print">
                      <a:extLst>
                        <a:ext uri="">
                          <a14:useLocalDpi val="0"/>
                        </a:ext>
                        <a:ext uri="">
                          <asvg:svgBlip r:embed="rId46"/>
                        </a:ext>
                      </a:extLst>
                    </a:blip>
                    <a:srcRect b="0" l="0" r="0" t="0"/>
                    <a:stretch>
                      <a:fillRect/>
                    </a:stretch>
                  </pic:blipFill>
                  <pic:spPr>
                    <a:xfrm>
                      <a:off x="0" y="0"/>
                      <a:ext cx="1581150" cy="1152525"/>
                    </a:xfrm>
                    <a:prstGeom prst="rect"/>
                  </pic:spPr>
                </pic:pic>
              </a:graphicData>
            </a:graphic>
          </wp:inline>
        </w:drawing>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sSub>
                  <m:sSubPr/>
                  <m:e>
                    <m:r>
                      <m:rPr>
                        <m:sty m:val="p"/>
                      </m:rPr>
                      <m:t>J</m:t>
                    </m:r>
                  </m:e>
                  <m:sub>
                    <m:r>
                      <m:rPr>
                        <m:sty m:val="p"/>
                      </m:rPr>
                      <m:t>Ha</m:t>
                    </m:r>
                    <m:r>
                      <m:rPr>
                        <m:sty m:val="p"/>
                      </m:rPr>
                      <m:t>/</m:t>
                    </m:r>
                    <m:r>
                      <m:rPr>
                        <m:sty m:val="p"/>
                      </m:rPr>
                      <m:t>Hc</m:t>
                    </m:r>
                  </m:sub>
                </m:sSub>
              </m:e>
              <m:e>
                <m:r>
                  <m:rPr>
                    <m:sty m:val="i"/>
                  </m:rPr>
                  <m:t xml:space="preserve"> </m:t>
                </m:r>
                <m:r>
                  <m:rPr>
                    <m:sty m:val="p"/>
                  </m:rPr>
                  <m:t>=</m:t>
                </m:r>
                <m:r>
                  <m:rPr>
                    <m:sty m:val="p"/>
                  </m:rPr>
                  <m:t>12</m:t>
                </m:r>
                <m:r>
                  <m:rPr>
                    <m:sty m:val="p"/>
                  </m:rPr>
                  <m:t>−</m:t>
                </m:r>
                <m:r>
                  <m:rPr>
                    <m:sty m:val="p"/>
                  </m:rPr>
                  <m:t>18</m:t>
                </m:r>
                <m:r>
                  <m:rPr>
                    <m:nor/>
                  </m:rPr>
                  <m:t xml:space="preserve"> </m:t>
                </m:r>
                <m:r>
                  <m:rPr>
                    <m:sty m:val="p"/>
                  </m:rPr>
                  <m:t>Hz</m:t>
                </m:r>
              </m:e>
            </m:mr>
            <m:mr>
              <m:e>
                <m:sSub>
                  <m:sSubPr/>
                  <m:e>
                    <m:r>
                      <m:rPr>
                        <m:nor/>
                      </m:rPr>
                      <m:t xml:space="preserve"> </m:t>
                    </m:r>
                    <m:r>
                      <m:rPr>
                        <m:sty m:val="p"/>
                      </m:rPr>
                      <m:t>J</m:t>
                    </m:r>
                  </m:e>
                  <m:sub>
                    <m:r>
                      <m:rPr>
                        <m:sty m:val="p"/>
                      </m:rPr>
                      <m:t>Ha</m:t>
                    </m:r>
                    <m:r>
                      <m:rPr>
                        <m:sty m:val="p"/>
                      </m:rPr>
                      <m:t>/</m:t>
                    </m:r>
                    <m:r>
                      <m:rPr>
                        <m:sty m:val="p"/>
                      </m:rPr>
                      <m:t>Hb</m:t>
                    </m:r>
                  </m:sub>
                </m:sSub>
              </m:e>
              <m:e>
                <m:r>
                  <m:rPr>
                    <m:sty m:val="i"/>
                  </m:rPr>
                  <m:t xml:space="preserve"> </m:t>
                </m:r>
                <m:r>
                  <m:rPr>
                    <m:sty m:val="p"/>
                  </m:rPr>
                  <m:t>=</m:t>
                </m:r>
                <m:r>
                  <m:rPr>
                    <m:sty m:val="p"/>
                  </m:rPr>
                  <m:t>6</m:t>
                </m:r>
                <m:r>
                  <m:rPr>
                    <m:sty m:val="p"/>
                  </m:rPr>
                  <m:t>−</m:t>
                </m:r>
                <m:r>
                  <m:rPr>
                    <m:sty m:val="p"/>
                  </m:rPr>
                  <m:t>12</m:t>
                </m:r>
                <m:r>
                  <m:rPr>
                    <m:nor/>
                  </m:rPr>
                  <m:t xml:space="preserve"> </m:t>
                </m:r>
                <m:r>
                  <m:rPr>
                    <m:sty m:val="p"/>
                  </m:rPr>
                  <m:t>Hz</m:t>
                </m:r>
              </m:e>
            </m:mr>
            <m:mr>
              <m:e>
                <m:sSub>
                  <m:sSubPr/>
                  <m:e>
                    <m:r>
                      <m:rPr>
                        <m:nor/>
                      </m:rPr>
                      <m:t xml:space="preserve"> </m:t>
                    </m:r>
                    <m:r>
                      <m:rPr>
                        <m:sty m:val="p"/>
                      </m:rPr>
                      <m:t>J</m:t>
                    </m:r>
                  </m:e>
                  <m:sub>
                    <m:r>
                      <m:rPr>
                        <m:sty m:val="p"/>
                      </m:rPr>
                      <m:t>Hb</m:t>
                    </m:r>
                    <m:r>
                      <m:rPr>
                        <m:sty m:val="p"/>
                      </m:rPr>
                      <m:t>/</m:t>
                    </m:r>
                    <m:r>
                      <m:rPr>
                        <m:sty m:val="p"/>
                      </m:rPr>
                      <m:t>Hc</m:t>
                    </m:r>
                  </m:sub>
                </m:sSub>
              </m:e>
              <m:e>
                <m:r>
                  <m:rPr>
                    <m:sty m:val="i"/>
                  </m:rPr>
                  <m:t xml:space="preserve"> </m:t>
                </m:r>
                <m:r>
                  <m:rPr>
                    <m:sty m:val="p"/>
                  </m:rPr>
                  <m:t>=</m:t>
                </m:r>
                <m:r>
                  <m:rPr>
                    <m:sty m:val="p"/>
                  </m:rPr>
                  <m:t>0</m:t>
                </m:r>
                <m:r>
                  <m:rPr>
                    <m:sty m:val="p"/>
                  </m:rPr>
                  <m:t>−</m:t>
                </m:r>
                <m:r>
                  <m:rPr>
                    <m:sty m:val="p"/>
                  </m:rPr>
                  <m:t>3</m:t>
                </m:r>
                <m:r>
                  <m:rPr>
                    <m:nor/>
                  </m:rPr>
                  <m:t xml:space="preserve"> </m:t>
                </m:r>
                <m:r>
                  <m:rPr>
                    <m:sty m:val="p"/>
                  </m:rPr>
                  <m:t>Hz</m:t>
                </m:r>
              </m:e>
            </m:mr>
          </m:m>
        </m:oMath>
      </m:oMathPara>
    </w:p>
    <w:p>
      <w:pPr>
        <w:spacing w:lineRule="auto"/>
      </w:pPr>
      <w:r>
        <w:rPr>
          <w:noProof/>
        </w:rPr>
        <w:pict>
          <v:rect alt="" style="width:432pt;height:.05pt;mso-width-percent:0;mso-height-percent:0;mso-width-percent:0;mso-height-percent:0" o:hralign="center" o:hrstd="t" o:hr="t"/>
        </w:pict>
      </w:r>
    </w:p>
    <w:bookmarkStart w:id="0" w:name="fn1"/>
    <w:bookmarkEnd w:id="0"/>
    <w:p>
      <w:pPr>
        <w:numPr>
          <w:ilvl w:val="0"/>
          <w:numId w:val="7"/>
        </w:numPr>
        <w:spacing w:after="220" w:lineRule="auto"/>
        <w:ind w:left="357"/>
      </w:pPr>
      <m:oMath>
        <m:sSup>
          <m:sSupPr/>
          <m:e>
            <m:r>
              <m:t xml:space="preserve"> </m:t>
            </m:r>
          </m:e>
          <m:sup>
            <m:r>
              <m:rPr>
                <m:sty m:val="p"/>
              </m:rPr>
              <m:t>1</m:t>
            </m:r>
          </m:sup>
        </m:sSup>
      </m:oMath>
      <w:r>
        <w:rPr>
          <w:rFonts w:eastAsia="Georgia" w:cs="Georgia" w:ascii="Georgia" w:hAnsi="Georgia"/>
        </w:rPr>
        <w:t xml:space="preserve"> J. DEUSEURE, M. MARCHESIELLO, Couplage d'une pile à combustible et d'un électrolyseur, BUP </w:t>
      </w:r>
      <m:oMath>
        <m:sSup>
          <m:sSupPr/>
          <m:e>
            <m:r>
              <m:rPr>
                <m:sty m:val="p"/>
              </m:rPr>
              <m:t>n</m:t>
            </m:r>
          </m:e>
          <m:sup>
            <m:r>
              <m:rPr>
                <m:sty m:val="p"/>
              </m:rPr>
              <m:t>∘</m:t>
            </m:r>
          </m:sup>
        </m:sSup>
        <m:r>
          <m:rPr>
            <m:sty m:val="p"/>
          </m:rPr>
          <m:t>907</m:t>
        </m:r>
        <m:r>
          <m:rPr>
            <m:sty m:val="p"/>
          </m:rPr>
          <m:t>,</m:t>
        </m:r>
        <m:r>
          <m:rPr>
            <m:sty m:val="p"/>
          </m:rPr>
          <m:t>2008</m:t>
        </m:r>
      </m:oMath>
    </w:p>
    <w:bookmarkStart w:id="1" w:name="fn2"/>
    <w:bookmarkEnd w:id="1"/>
    <w:p>
      <w:pPr>
        <w:numPr>
          <w:ilvl w:val="0"/>
          <w:numId w:val="7"/>
        </w:numPr>
        <w:spacing w:after="220" w:lineRule="auto"/>
        <w:ind w:left="357"/>
      </w:pPr>
      <m:oMath>
        <m:sSup>
          <m:sSupPr/>
          <m:e>
            <m:r>
              <m:t xml:space="preserve"> </m:t>
            </m:r>
          </m:e>
          <m:sup>
            <m:r>
              <m:rPr>
                <m:sty m:val="p"/>
              </m:rPr>
              <m:t>2</m:t>
            </m:r>
          </m:sup>
        </m:sSup>
      </m:oMath>
      <w:r>
        <w:rPr/>
        <w:t xml:space="preserve"> S. GOWRAVARAM, V. BHASKAR, K. YADAGIRI, J. S. YADAV, Synthesis of R-Japonilure and (4R,9Z) -9-Octadecen-4olide, Pheromones of the Japanese Beetle and Currant Stem Girdler, Synthetic Communications, 37:15, 24912500, DOI: 10.1080/00397910701462344.</w:t>
      </w:r>
    </w:p>
    <w:bookmarkStart w:id="2" w:name="fn3"/>
    <w:bookmarkEnd w:id="2"/>
    <w:p>
      <w:pPr>
        <w:numPr>
          <w:ilvl w:val="0"/>
          <w:numId w:val="7"/>
        </w:numPr>
        <w:spacing w:after="220" w:lineRule="auto"/>
        <w:ind w:left="357"/>
      </w:pPr>
      <m:oMath>
        <m:sSup>
          <m:sSupPr/>
          <m:e>
            <m:r>
              <m:t xml:space="preserve"> </m:t>
            </m:r>
          </m:e>
          <m:sup>
            <m:r>
              <m:rPr>
                <m:sty m:val="p"/>
              </m:rPr>
              <m:t>3</m:t>
            </m:r>
          </m:sup>
        </m:sSup>
      </m:oMath>
      <w:r>
        <w:rPr>
          <w:rFonts w:eastAsia="Georgia" w:cs="Georgia" w:ascii="Georgia" w:hAnsi="Georgia"/>
        </w:rPr>
        <w:t xml:space="preserve"> En réalité, ces spectres ne sont pas des spectres expérimentaux, ils ont été simulés sur le logiciel Chemdraw (DMSO, 300 MHz ).</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abstractNum>
  <w:abstractNum w:abstractNumId="7">
    <w:multiLevelType w:val="hybridMultilevel"/>
    <w:lvl w:ilvl="0">
      <w:start w:val="1"/>
      <w:numFmt w:val="decimal"/>
      <w:lvlText w:val=""/>
      <w:lvlJc w:val="left"/>
      <w:pPr>
        <w:tabs>
          <w:tab w:val="num" w:pos="780"/>
        </w:tabs>
        <w:ind w:left="4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3510551144babfc8f6bf5e2a6c6509c7d3e5cdd4.jpg" TargetMode="Internal"/><Relationship Id="rId6" Type="http://schemas.openxmlformats.org/officeDocument/2006/relationships/image" Target="media/image-8b5f834a9a4c5516b27902cf7ad276643169a019.jpg" TargetMode="Internal"/><Relationship Id="rId7" Type="http://schemas.openxmlformats.org/officeDocument/2006/relationships/hyperlink" Target="http://www.gps.gov/multimedia/images/constellation.gif" TargetMode="External"/><Relationship Id="rId8" Type="http://schemas.openxmlformats.org/officeDocument/2006/relationships/hyperlink" Target="http://maanmittauslaitos.fi/en/research/interesting-topics/" TargetMode="External"/><Relationship Id="rId9" Type="http://schemas.openxmlformats.org/officeDocument/2006/relationships/image" Target="media/image-2c8a182845fec67f63f3c91392b92d69cf02c6c5.jpg" TargetMode="Internal"/><Relationship Id="rId10" Type="http://schemas.openxmlformats.org/officeDocument/2006/relationships/image" Target="media/image-6bd6ebf100cea469ef775066024850ca709920df.jpg" TargetMode="Internal"/><Relationship Id="rId11" Type="http://schemas.openxmlformats.org/officeDocument/2006/relationships/image" Target="media/image-c342ff1a768d55ebec367180ee7b150c064a7f88.jpg" TargetMode="Internal"/><Relationship Id="rId12" Type="http://schemas.openxmlformats.org/officeDocument/2006/relationships/image" Target="media/image-44ce2836e10597b8282d9042d9e78ee18673b863.jpg" TargetMode="Internal"/><Relationship Id="rId13" Type="http://schemas.openxmlformats.org/officeDocument/2006/relationships/image" Target="media/image-6391bea1729ab00ce2110e3622f67c21a3a136de.jpg" TargetMode="Internal"/><Relationship Id="rId14" Type="http://schemas.openxmlformats.org/officeDocument/2006/relationships/image" Target="media/image-14ecc745af1af968df9fc936dd1baa0faa839ae4.jpg" TargetMode="Internal"/><Relationship Id="rId15" Type="http://schemas.openxmlformats.org/officeDocument/2006/relationships/image" Target="media/image-e0ab92efe8afcd4be266ef2091a4e4214b1562d2.jpg" TargetMode="Internal"/><Relationship Id="rId16" Type="http://schemas.openxmlformats.org/officeDocument/2006/relationships/image" Target="media/image-e573a73894f076bd5f4d59b183a23972382ef883.jpg" TargetMode="Internal"/><Relationship Id="rId17" Type="http://schemas.openxmlformats.org/officeDocument/2006/relationships/image" Target="media/image-728afcf60cad391bc1ef6ec36709e5d261208936.jpg" TargetMode="Internal"/><Relationship Id="rId18" Type="http://schemas.openxmlformats.org/officeDocument/2006/relationships/image" Target="media/image-2308aa045ebde137ebca64447d1005c7942771c6.jpg" TargetMode="Internal"/><Relationship Id="rId19" Type="http://schemas.openxmlformats.org/officeDocument/2006/relationships/image" Target="media/image-fe4fbbf1e31a3643a62fcd28a1f5872d1197656c.jpg" TargetMode="Internal"/><Relationship Id="rId20" Type="http://schemas.openxmlformats.org/officeDocument/2006/relationships/image" Target="media/image-555a52b0fc36f681a677f73e5901c9bdbcec50fe.jpg" TargetMode="Internal"/><Relationship Id="rId21" Type="http://schemas.openxmlformats.org/officeDocument/2006/relationships/image" Target="media/image-d383773a35ab7136a10201e5257ad94a5a261a55.jpg" TargetMode="Internal"/><Relationship Id="rId22" Type="http://schemas.openxmlformats.org/officeDocument/2006/relationships/image" Target="media/image-680b5783f55a21a6b7ee311765c96bdba7ea2621.jpg" TargetMode="Internal"/><Relationship Id="rId23" Type="http://schemas.openxmlformats.org/officeDocument/2006/relationships/image" Target="media/image-svg-7859080314f3b1571ab4ebcc040e0706f6eef314.svg" TargetMode="Internal"/><Relationship Id="rId24" Type="http://schemas.openxmlformats.org/officeDocument/2006/relationships/image" Target="media/image-svg-7859080314f3b1571ab4ebcc040e0706f6eef314.png" TargetMode="Internal"/><Relationship Id="rId25" Type="http://schemas.openxmlformats.org/officeDocument/2006/relationships/image" Target="media/image-a3a6b4d9d345f63bec38214188546129c7e8e4ab.jpg" TargetMode="Internal"/><Relationship Id="rId26" Type="http://schemas.openxmlformats.org/officeDocument/2006/relationships/image" Target="media/image-svg-ad3a2948f8f58be0835594e4f869435be9e035a5.svg" TargetMode="Internal"/><Relationship Id="rId27" Type="http://schemas.openxmlformats.org/officeDocument/2006/relationships/image" Target="media/image-svg-ad3a2948f8f58be0835594e4f869435be9e035a5.png" TargetMode="Internal"/><Relationship Id="rId28" Type="http://schemas.openxmlformats.org/officeDocument/2006/relationships/image" Target="media/image-svg-b79b6555d58fe5dea60e12cb563733f1bfc3db69.svg" TargetMode="Internal"/><Relationship Id="rId29" Type="http://schemas.openxmlformats.org/officeDocument/2006/relationships/image" Target="media/image-svg-b79b6555d58fe5dea60e12cb563733f1bfc3db69.png" TargetMode="Internal"/><Relationship Id="rId30" Type="http://schemas.openxmlformats.org/officeDocument/2006/relationships/image" Target="media/image-svg-ed536dac8ada9ae10909c0fb9b0c959c8e85867a.svg" TargetMode="Internal"/><Relationship Id="rId31" Type="http://schemas.openxmlformats.org/officeDocument/2006/relationships/image" Target="media/image-svg-ed536dac8ada9ae10909c0fb9b0c959c8e85867a.png" TargetMode="Internal"/><Relationship Id="rId32" Type="http://schemas.openxmlformats.org/officeDocument/2006/relationships/image" Target="media/image-svg-4df128b7f5e984396e53562b466d7ba0f84e9d71.svg" TargetMode="Internal"/><Relationship Id="rId33" Type="http://schemas.openxmlformats.org/officeDocument/2006/relationships/image" Target="media/image-svg-4df128b7f5e984396e53562b466d7ba0f84e9d71.png" TargetMode="Internal"/><Relationship Id="rId34" Type="http://schemas.openxmlformats.org/officeDocument/2006/relationships/image" Target="media/image-svg-49d0c0dddea59a52c212e22598e50f1e0520ae5b.svg" TargetMode="Internal"/><Relationship Id="rId35" Type="http://schemas.openxmlformats.org/officeDocument/2006/relationships/image" Target="media/image-svg-49d0c0dddea59a52c212e22598e50f1e0520ae5b.png" TargetMode="Internal"/><Relationship Id="rId36" Type="http://schemas.openxmlformats.org/officeDocument/2006/relationships/image" Target="media/image-svg-7442c44b9ec4286b072483dfa24358f182f89f5f.svg" TargetMode="Internal"/><Relationship Id="rId37" Type="http://schemas.openxmlformats.org/officeDocument/2006/relationships/image" Target="media/image-svg-7442c44b9ec4286b072483dfa24358f182f89f5f.png" TargetMode="Internal"/><Relationship Id="rId38" Type="http://schemas.openxmlformats.org/officeDocument/2006/relationships/image" Target="media/image-svg-eb133509d4730517af777f744504e5f1e814dcc4.svg" TargetMode="Internal"/><Relationship Id="rId39" Type="http://schemas.openxmlformats.org/officeDocument/2006/relationships/image" Target="media/image-svg-eb133509d4730517af777f744504e5f1e814dcc4.png" TargetMode="Internal"/><Relationship Id="rId40" Type="http://schemas.openxmlformats.org/officeDocument/2006/relationships/image" Target="media/image-svg-89889d07c52ed032dea5960f2ce0a6001c779885.svg" TargetMode="Internal"/><Relationship Id="rId41" Type="http://schemas.openxmlformats.org/officeDocument/2006/relationships/image" Target="media/image-svg-89889d07c52ed032dea5960f2ce0a6001c779885.png" TargetMode="Internal"/><Relationship Id="rId42" Type="http://schemas.openxmlformats.org/officeDocument/2006/relationships/image" Target="media/image-d2564968a446fccb0483bd33fffa3bcc267566a5.jpg" TargetMode="Internal"/><Relationship Id="rId43" Type="http://schemas.openxmlformats.org/officeDocument/2006/relationships/image" Target="media/image-3dcab4ea0d4dc7898d3bdecccbd7ec2b17147eac.jpg" TargetMode="Internal"/><Relationship Id="rId44" Type="http://schemas.openxmlformats.org/officeDocument/2006/relationships/image" Target="media/image-a86e656b501a66d7c15353bfb7786ae08c49cd02.jpg" TargetMode="Internal"/><Relationship Id="rId45" Type="http://schemas.openxmlformats.org/officeDocument/2006/relationships/image" Target="media/image-3ee335619696dcb5a2c81d4a9dcb3a295368360f.jpg" TargetMode="Internal"/><Relationship Id="rId46" Type="http://schemas.openxmlformats.org/officeDocument/2006/relationships/image" Target="media/image-svg-c01606f30f2db695880f3f3fbb89e5e52305cb81.svg" TargetMode="Internal"/><Relationship Id="rId47" Type="http://schemas.openxmlformats.org/officeDocument/2006/relationships/image" Target="media/image-svg-c01606f30f2db695880f3f3fbb89e5e52305cb81.pn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2025-09-04T01:17:01.591Z</dcterms:created>
  <dcterms:modified xsi:type="dcterms:W3CDTF">2025-09-04T01:17:01.591Z</dcterms:modified>
</cp:coreProperties>
</file>