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PSI</w:t>
      </w:r>
    </w:p>
    <w:p>
      <w:pPr>
        <w:spacing w:line="271" w:before="330" w:lineRule="auto"/>
      </w:pPr>
      <w:r>
        <w:rPr>
          <w:b/>
          <w:sz w:val="42"/>
        </w:rPr>
        <w:t xml:space="preserve">PHYSIQUE-CHIMIE</w:t>
      </w:r>
    </w:p>
    <w:p>
      <w:pPr>
        <w:spacing w:lineRule="auto"/>
        <w:ind w:left="2265" w:right="2265"/>
        <w:jc w:val="center"/>
      </w:pPr>
      <w:r>
        <w:rPr/>
        <w:t xml:space="preserve">Vendredi 8 mai :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numPr>
          <w:ilvl w:val="0"/>
          <w:numId w:val="2"/>
        </w:numPr>
        <w:spacing w:lineRule="auto"/>
      </w:pPr>
      <w:r>
        <w:rPr>
          <w:rFonts w:eastAsia="Georgia" w:cs="Georgia" w:ascii="Georgia" w:hAnsi="Georgia"/>
        </w:rPr>
        <w:t xml:space="preserve">Le sujet comprend deux problèmes indépendants, le premier de Physique et le second de Chimie.</w:t>
      </w:r>
    </w:p>
    <w:p>
      <w:pPr>
        <w:numPr>
          <w:ilvl w:val="0"/>
          <w:numId w:val="2"/>
        </w:numPr>
        <w:spacing w:lineRule="auto"/>
      </w:pPr>
      <w:r>
        <w:rPr>
          <w:rFonts w:eastAsia="Georgia" w:cs="Georgia" w:ascii="Georgia" w:hAnsi="Georgia"/>
        </w:rPr>
        <w:t xml:space="preserve">Les données et formules utiles à la résolution figurent en fin d'énoncé (page 16).</w:t>
      </w:r>
    </w:p>
    <w:p>
      <w:pPr>
        <w:numPr>
          <w:ilvl w:val="0"/>
          <w:numId w:val="2"/>
        </w:numPr>
        <w:spacing w:lineRule="auto"/>
      </w:pPr>
      <w:r>
        <w:rPr>
          <w:rFonts w:eastAsia="Georgia" w:cs="Georgia" w:ascii="Georgia" w:hAnsi="Georgia"/>
        </w:rPr>
        <w:t xml:space="preserve">Le sujet remis aux candidates et candidats comprend un questionnaire (l'énoncé) et un cahier-réponses. La candidate ou le candidat devra porter l'ensemble de ses réponses sur le cahier- réponses, à l'exclusion de toute autre copie.</w:t>
      </w:r>
    </w:p>
    <w:p>
      <w:pPr>
        <w:numPr>
          <w:ilvl w:val="0"/>
          <w:numId w:val="2"/>
        </w:numPr>
        <w:spacing w:lineRule="auto"/>
      </w:pPr>
      <w:r>
        <w:rPr>
          <w:rFonts w:eastAsia="Georgia" w:cs="Georgia" w:ascii="Georgia" w:hAnsi="Georgia"/>
        </w:rPr>
        <w:t xml:space="preserve">Les résultats numériques exprimés sans unité ou avec une unité fausse ne seront pas comptabilisés.</w:t>
      </w:r>
    </w:p>
    <w:p>
      <w:pPr>
        <w:numPr>
          <w:ilvl w:val="0"/>
          <w:numId w:val="2"/>
        </w:numPr>
        <w:spacing w:lineRule="auto"/>
      </w:pPr>
      <w:r>
        <w:rPr>
          <w:rFonts w:eastAsia="Georgia" w:cs="Georgia" w:ascii="Georgia" w:hAnsi="Georgia"/>
        </w:rPr>
        <w:t xml:space="preserve">Les explications qualitatives des phénomènes interviennent dans la notation au même titre que les calculs.</w:t>
      </w:r>
    </w:p>
    <w:p>
      <w:pPr>
        <w:numPr>
          <w:ilvl w:val="0"/>
          <w:numId w:val="2"/>
        </w:numPr>
        <w:spacing w:lineRule="auto"/>
      </w:pPr>
      <w:r>
        <w:rPr>
          <w:rFonts w:eastAsia="Georgia" w:cs="Georgia" w:ascii="Georgia" w:hAnsi="Georgia"/>
        </w:rPr>
        <w:t xml:space="preserve">Tout résultat fourni dans l'énoncé peut être admis et utilisé par la suite, même s'il n'a pas été démontré par le candidat ou la candidate.</w:t>
      </w:r>
    </w:p>
    <w:p>
      <w:pPr>
        <w:spacing w:line="271" w:before="330" w:lineRule="auto"/>
      </w:pPr>
      <w:r>
        <w:rPr>
          <w:rFonts w:eastAsia="Georgia" w:cs="Georgia" w:ascii="Georgia" w:hAnsi="Georgia"/>
          <w:b/>
          <w:sz w:val="42"/>
        </w:rPr>
        <w:t xml:space="preserve">PROBLÈME 1</w:t>
      </w:r>
      <w:r>
        <w:rPr>
          <w:b/>
          <w:sz w:val="42"/>
        </w:rPr>
        <w:br w:type="textWrapping"/>
      </w:r>
      <w:r>
        <w:rPr>
          <w:rFonts w:eastAsia="Georgia" w:cs="Georgia" w:ascii="Georgia" w:hAnsi="Georgia"/>
          <w:b/>
          <w:sz w:val="42"/>
        </w:rPr>
        <w:t xml:space="preserve"> Transmission d'énergie électrique sans fil</w:t>
      </w:r>
    </w:p>
    <w:p>
      <w:pPr>
        <w:spacing w:after="220" w:lineRule="auto"/>
      </w:pPr>
      <w:r>
        <w:rPr>
          <w:rFonts w:eastAsia="Georgia" w:cs="Georgia" w:ascii="Georgia" w:hAnsi="Georgia"/>
        </w:rPr>
        <w:t xml:space="preserve">L'électricité de demain pourra-t-elle se passer de fils électriques? La nécessité actuelle de supprimer les fils et réduire l'encombrement, ou encore la multiplication des appareils électriques à faible consommation contribuent au développement des techniques et dispositifs de transmission d'énergie sans fil, inspirés des travaux pionniers de Nikola Tesla au début du XX </w:t>
      </w:r>
      <m:oMath>
        <m:sSup>
          <m:sSupPr/>
          <m:e>
            <m:r>
              <m:t xml:space="preserve"> </m:t>
            </m:r>
          </m:e>
          <m:sup>
            <m:r>
              <m:rPr>
                <m:sty m:val="i"/>
              </m:rPr>
              <m:t>e</m:t>
            </m:r>
          </m:sup>
        </m:sSup>
      </m:oMath>
      <w:r>
        <w:rPr>
          <w:rFonts w:eastAsia="Georgia" w:cs="Georgia" w:ascii="Georgia" w:hAnsi="Georgia"/>
        </w:rPr>
        <w:t xml:space="preserve"> siècle. Les applications sont nombreuses et touchent divers domaines (voir figure 1) : de l'usage domestique (recharge d'appareils avec batteries, alimentation de petits appareils courants) au monde industriel (recharge de voitures électriques, applications diverses de la transmission de puissance, pour les trains par exemple), en passant par la médecine (apport d'énergie électrique aux implants, sans effectuer d'opérations chirurgicales lourdes).</w:t>
      </w:r>
    </w:p>
    <w:p>
      <w:pPr>
        <w:spacing w:lineRule="auto"/>
        <w:jc w:val="center"/>
      </w:pPr>
      <w:r>
        <w:rPr/>
        <w:drawing>
          <wp:inline distB="0" distL="0" distR="0" distT="0">
            <wp:extent cx="5486400" cy="854765"/>
            <wp:effectExtent b="0" l="0" r="0" t="0"/>
            <wp:docPr id="1" name="image-36f570ba2b7d4d90fed88261edf84253ca2b6caa.jpg"/>
            <a:graphic>
              <a:graphicData uri="http://schemas.openxmlformats.org/drawingml/2006/picture">
                <pic:pic>
                  <pic:nvPicPr>
                    <pic:cNvPr id="1" name="image-36f570ba2b7d4d90fed88261edf84253ca2b6caa.jpg" descr=""/>
                    <pic:cNvPicPr/>
                  </pic:nvPicPr>
                  <pic:blipFill>
                    <a:blip r:embed="rId5" cstate="print"/>
                    <a:srcRect b="0" l="0" r="0" t="0"/>
                    <a:stretch>
                      <a:fillRect/>
                    </a:stretch>
                  </pic:blipFill>
                  <pic:spPr>
                    <a:xfrm>
                      <a:off x="0" y="0"/>
                      <a:ext cx="5486400" cy="854765"/>
                    </a:xfrm>
                    <a:prstGeom prst="rect"/>
                  </pic:spPr>
                </pic:pic>
              </a:graphicData>
            </a:graphic>
          </wp:inline>
        </w:drawing>
      </w:r>
    </w:p>
    <w:p>
      <w:pPr>
        <w:spacing w:lineRule="auto"/>
      </w:pPr>
      <w:r>
        <w:rPr>
          <w:rFonts w:eastAsia="Georgia" w:cs="Georgia" w:ascii="Georgia" w:hAnsi="Georgia"/>
        </w:rPr>
        <w:t xml:space="preserve">Figure 1 - Quelques applications de la transmission d'énergie sans fil, de gauche à droite : recharge de téléphone portable, recharge sans fil d'une voiture Nissan Leaf </w:t>
      </w:r>
      <m:oMath>
        <m:sSup>
          <m:sSupPr/>
          <m:e>
            <m:r>
              <m:t xml:space="preserve"> </m:t>
            </m:r>
          </m:e>
          <m:sup>
            <m:r>
              <m:rPr>
                <m:sty m:val="i"/>
              </m:rPr>
              <m:t>®</m:t>
            </m:r>
          </m:sup>
        </m:sSup>
      </m:oMath>
      <w:r>
        <w:rPr/>
        <w:t xml:space="preserve">, pacemaker.</w:t>
      </w:r>
    </w:p>
    <w:p>
      <w:pPr>
        <w:spacing w:after="220" w:lineRule="auto"/>
      </w:pPr>
      <w:r>
        <w:rPr>
          <w:rFonts w:eastAsia="Georgia" w:cs="Georgia" w:ascii="Georgia" w:hAnsi="Georgia"/>
        </w:rPr>
        <w:t xml:space="preserve">Il existe aujourd'hui différents moyens de transmission de puissance sans fil. Citons notamment le couplage inductif non résonant en champ proche, le couplage inductif résonant en champ proche (voir figure 2 ) et le rayonnement en champ lointain (voir figure 3). Les caractéristiques, avantages et inconvénients de ces techniques sont donnés dans le tableau ci-après. Nous développerons dans cette partie certains aspects du couplage inductif, non résonant puis résonant.</w:t>
      </w:r>
    </w:p>
    <w:p>
      <w:pPr>
        <w:spacing w:lineRule="auto"/>
        <w:jc w:val="center"/>
      </w:pPr>
      <w:r>
        <w:rPr/>
        <w:drawing>
          <wp:inline distB="0" distL="0" distR="0" distT="0">
            <wp:extent cx="5486400" cy="1104523"/>
            <wp:effectExtent b="0" l="0" r="0" t="0"/>
            <wp:docPr id="2" name="image-c5837706ae4201451fcba68c5af1116250d048e3.jpg"/>
            <a:graphic>
              <a:graphicData uri="http://schemas.openxmlformats.org/drawingml/2006/picture">
                <pic:pic>
                  <pic:nvPicPr>
                    <pic:cNvPr id="2" name="image-c5837706ae4201451fcba68c5af1116250d048e3.jpg" descr=""/>
                    <pic:cNvPicPr/>
                  </pic:nvPicPr>
                  <pic:blipFill>
                    <a:blip r:embed="rId6" cstate="print"/>
                    <a:srcRect b="0" l="0" r="0" t="0"/>
                    <a:stretch>
                      <a:fillRect/>
                    </a:stretch>
                  </pic:blipFill>
                  <pic:spPr>
                    <a:xfrm>
                      <a:off x="0" y="0"/>
                      <a:ext cx="5486400" cy="1104523"/>
                    </a:xfrm>
                    <a:prstGeom prst="rect"/>
                  </pic:spPr>
                </pic:pic>
              </a:graphicData>
            </a:graphic>
          </wp:inline>
        </w:drawing>
      </w:r>
    </w:p>
    <w:p>
      <w:pPr>
        <w:spacing w:lineRule="auto"/>
      </w:pPr>
      <w:r>
        <w:rPr>
          <w:rFonts w:eastAsia="Georgia" w:cs="Georgia" w:ascii="Georgia" w:hAnsi="Georgia"/>
        </w:rPr>
        <w:t xml:space="preserve">Figure 2 - À gauche : couplage inductif non résonant en champ proche ; à droite : couplage inductif résonant en champ proche.</w:t>
      </w:r>
    </w:p>
    <w:p>
      <w:pPr>
        <w:spacing w:lineRule="auto"/>
        <w:jc w:val="center"/>
      </w:pPr>
      <w:r>
        <w:rPr/>
        <w:drawing>
          <wp:inline distB="0" distL="0" distR="0" distT="0">
            <wp:extent cx="5486400" cy="1466269"/>
            <wp:effectExtent b="0" l="0" r="0" t="0"/>
            <wp:docPr id="3" name="image-b1418a5f186f99c8e34483cbdbd247cca8bed749.jpg"/>
            <a:graphic>
              <a:graphicData uri="http://schemas.openxmlformats.org/drawingml/2006/picture">
                <pic:pic>
                  <pic:nvPicPr>
                    <pic:cNvPr id="3" name="image-b1418a5f186f99c8e34483cbdbd247cca8bed749.jpg" descr=""/>
                    <pic:cNvPicPr/>
                  </pic:nvPicPr>
                  <pic:blipFill>
                    <a:blip r:embed="rId7" cstate="print"/>
                    <a:srcRect b="0" l="0" r="0" t="0"/>
                    <a:stretch>
                      <a:fillRect/>
                    </a:stretch>
                  </pic:blipFill>
                  <pic:spPr>
                    <a:xfrm>
                      <a:off x="0" y="0"/>
                      <a:ext cx="5486400" cy="1466269"/>
                    </a:xfrm>
                    <a:prstGeom prst="rect"/>
                  </pic:spPr>
                </pic:pic>
              </a:graphicData>
            </a:graphic>
          </wp:inline>
        </w:drawing>
      </w:r>
    </w:p>
    <w:p>
      <w:pPr>
        <w:spacing w:lineRule="auto"/>
      </w:pPr>
      <w:r>
        <w:rPr>
          <w:rFonts w:eastAsia="Georgia" w:cs="Georgia" w:ascii="Georgia" w:hAnsi="Georgia"/>
        </w:rPr>
        <w:t xml:space="preserve">Figure 3 - Quelques dispositifs de rayonnement en champ lointain, de gauche à droite : antenne à forte directivité, diode laser, antenne micro-onde.</w:t>
      </w:r>
    </w:p>
    <w:p>
      <w:pPr>
        <w:spacing w:after="220" w:lineRule="auto"/>
      </w:pPr>
      <w:r>
        <w:rPr>
          <w:rFonts w:eastAsia="Georgia" w:cs="Georgia" w:ascii="Georgia" w:hAnsi="Georgia"/>
        </w:rPr>
        <w:t xml:space="preserve">Mentionnons que le transfert de puissance sans fil par couplage résonant a été récemment mis en évidence par l'équipe de recherche dirigée par Marin Soljačić, au Massachusetts Institute of Technology (MIT), en réalisant une transmission de puissance de 60 W avec une distance de 2 m séparant les deux</w:t>
      </w:r>
      <w:r>
        <w:rPr/>
        <w:br w:type="textWrapping"/>
      </w:r>
      <w:r>
        <w:rPr>
          <w:rFonts w:eastAsia="Georgia" w:cs="Georgia" w:ascii="Georgia" w:hAnsi="Georgia"/>
        </w:rPr>
        <w:t xml:space="preserve">bobinages, permettant d'allumer une ampoule (voir figure 2). Ces travaux performants ont donné lieu à une publication dans la revue Science en 2007. C'est à cette occasion que le terme «witricity», contraction de Wireless Electricity, est apparu.</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Couplage non résonant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Couplage résonant</w:t>
            </w:r>
          </w:p>
        </w:tc>
        <w:tc>
          <w:tcPr>
            <w:tcBorders>
              <w:top w:val="single" w:sz="8" w:space="0" w:color="000000"/>
              <w:bottom w:val="single" w:sz="8" w:space="0" w:color="000000"/>
              <w:right w:val="single" w:sz="8" w:space="0" w:color="000000"/>
            </w:tcBorders>
            <w:vAlign w:val="center"/>
          </w:tcPr>
          <w:p>
            <w:pPr>
              <w:spacing w:lineRule="auto"/>
              <w:jc w:val="left"/>
            </w:pPr>
            <w:r>
              <w:rPr/>
              <w:t xml:space="preserve">Rayonnement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Matériel nécessaire</w:t>
            </w:r>
          </w:p>
        </w:tc>
        <w:tc>
          <w:tcPr>
            <w:tcBorders>
              <w:bottom w:val="single" w:sz="8" w:space="0" w:color="000000"/>
              <w:right w:val="single" w:sz="8" w:space="0" w:color="000000"/>
            </w:tcBorders>
            <w:vAlign w:val="center"/>
          </w:tcPr>
          <w:p>
            <w:pPr>
              <w:spacing w:lineRule="auto"/>
              <w:jc w:val="left"/>
            </w:pPr>
            <w:r>
              <w:rPr/>
              <w:t xml:space="preserve">bobines</w:t>
            </w:r>
          </w:p>
        </w:tc>
        <w:tc>
          <w:tcPr>
            <w:tcBorders>
              <w:bottom w:val="single" w:sz="8" w:space="0" w:color="000000"/>
              <w:right w:val="single" w:sz="8" w:space="0" w:color="000000"/>
            </w:tcBorders>
            <w:vAlign w:val="center"/>
          </w:tcPr>
          <w:p>
            <w:pPr>
              <w:spacing w:lineRule="auto"/>
              <w:jc w:val="left"/>
            </w:pPr>
            <w:r>
              <w:rPr/>
              <w:t xml:space="preserve">bobines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antenne à grande directivité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Type de champ</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magnétique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magnétique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électrique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Distance de transmission</w:t>
            </w:r>
          </w:p>
        </w:tc>
        <w:tc>
          <w:tcPr>
            <w:tcBorders>
              <w:bottom w:val="single" w:sz="8" w:space="0" w:color="000000"/>
              <w:right w:val="single" w:sz="8" w:space="0" w:color="000000"/>
            </w:tcBorders>
            <w:vAlign w:val="center"/>
          </w:tcPr>
          <w:p>
            <w:pPr>
              <w:spacing w:lineRule="auto"/>
              <w:jc w:val="left"/>
            </w:pPr>
            <w:r>
              <w:rPr/>
              <w:t xml:space="preserve">faible</w:t>
            </w:r>
          </w:p>
        </w:tc>
        <w:tc>
          <w:tcPr>
            <w:tcBorders>
              <w:bottom w:val="single" w:sz="8" w:space="0" w:color="000000"/>
              <w:right w:val="single" w:sz="8" w:space="0" w:color="000000"/>
            </w:tcBorders>
            <w:vAlign w:val="center"/>
          </w:tcPr>
          <w:p>
            <w:pPr>
              <w:spacing w:lineRule="auto"/>
              <w:jc w:val="left"/>
            </w:pPr>
            <w:r>
              <w:rPr/>
              <w:t xml:space="preserve">faible/moyenne</w:t>
            </w:r>
          </w:p>
        </w:tc>
        <w:tc>
          <w:tcPr>
            <w:tcBorders>
              <w:bottom w:val="single" w:sz="8" w:space="0" w:color="000000"/>
              <w:right w:val="single" w:sz="8" w:space="0" w:color="000000"/>
            </w:tcBorders>
            <w:vAlign w:val="center"/>
          </w:tcPr>
          <w:p>
            <w:pPr>
              <w:spacing w:lineRule="auto"/>
              <w:jc w:val="left"/>
            </w:pPr>
            <w:r>
              <w:rPr/>
              <w:t xml:space="preserve">moyenne/grande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transmissible</w:t>
            </w:r>
          </w:p>
        </w:tc>
        <w:tc>
          <w:tcPr>
            <w:tcBorders>
              <w:bottom w:val="single" w:sz="8" w:space="0" w:color="000000"/>
              <w:right w:val="single" w:sz="8" w:space="0" w:color="000000"/>
            </w:tcBorders>
            <w:vAlign w:val="center"/>
          </w:tcPr>
          <w:p>
            <w:pPr>
              <w:spacing w:lineRule="auto"/>
              <w:jc w:val="left"/>
            </w:pPr>
            <w:r>
              <w:rPr/>
              <w:t xml:space="preserve">faible</w:t>
            </w:r>
          </w:p>
        </w:tc>
        <w:tc>
          <w:tcPr>
            <w:tcBorders>
              <w:bottom w:val="single" w:sz="8" w:space="0" w:color="000000"/>
              <w:right w:val="single" w:sz="8" w:space="0" w:color="000000"/>
            </w:tcBorders>
            <w:vAlign w:val="center"/>
          </w:tcPr>
          <w:p>
            <w:pPr>
              <w:spacing w:lineRule="auto"/>
              <w:jc w:val="left"/>
            </w:pPr>
            <w:r>
              <w:rPr/>
              <w:t xml:space="preserve">moyenne</w:t>
            </w:r>
          </w:p>
        </w:tc>
        <w:tc>
          <w:tcPr>
            <w:tcBorders>
              <w:bottom w:val="single" w:sz="8" w:space="0" w:color="000000"/>
              <w:right w:val="single" w:sz="8" w:space="0" w:color="000000"/>
            </w:tcBorders>
            <w:vAlign w:val="center"/>
          </w:tcPr>
          <w:p>
            <w:pPr>
              <w:spacing w:lineRule="auto"/>
              <w:jc w:val="left"/>
            </w:pPr>
            <w:r>
              <w:rPr/>
              <w:t xml:space="preserve">moyenne/grande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Interactions avec le milieu</w:t>
            </w:r>
          </w:p>
        </w:tc>
        <w:tc>
          <w:tcPr>
            <w:tcBorders>
              <w:bottom w:val="single" w:sz="8" w:space="0" w:color="000000"/>
              <w:right w:val="single" w:sz="8" w:space="0" w:color="000000"/>
            </w:tcBorders>
            <w:vAlign w:val="center"/>
          </w:tcPr>
          <w:p>
            <w:pPr>
              <w:spacing w:lineRule="auto"/>
              <w:jc w:val="left"/>
            </w:pPr>
            <w:r>
              <w:rPr/>
              <w:t xml:space="preserve">faible</w:t>
            </w:r>
          </w:p>
        </w:tc>
        <w:tc>
          <w:tcPr>
            <w:tcBorders>
              <w:bottom w:val="single" w:sz="8" w:space="0" w:color="000000"/>
              <w:right w:val="single" w:sz="8" w:space="0" w:color="000000"/>
            </w:tcBorders>
            <w:vAlign w:val="center"/>
          </w:tcPr>
          <w:p>
            <w:pPr>
              <w:spacing w:lineRule="auto"/>
              <w:jc w:val="left"/>
            </w:pPr>
            <w:r>
              <w:rPr/>
              <w:t xml:space="preserve">faible</w:t>
            </w:r>
          </w:p>
        </w:tc>
        <w:tc>
          <w:tcPr>
            <w:tcBorders>
              <w:bottom w:val="single" w:sz="8" w:space="0" w:color="000000"/>
              <w:right w:val="single" w:sz="8" w:space="0" w:color="000000"/>
            </w:tcBorders>
            <w:vAlign w:val="center"/>
          </w:tcPr>
          <w:p>
            <w:pPr>
              <w:spacing w:lineRule="auto"/>
              <w:jc w:val="left"/>
            </w:pPr>
            <w:r>
              <w:rPr/>
              <w:t xml:space="preserve">forte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Sécurité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élevée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élevée</w:t>
            </w:r>
          </w:p>
        </w:tc>
        <w:tc>
          <w:tcPr>
            <w:tcBorders>
              <w:bottom w:val="single" w:sz="8" w:space="0" w:color="000000"/>
              <w:right w:val="single" w:sz="8" w:space="0" w:color="000000"/>
            </w:tcBorders>
            <w:vAlign w:val="center"/>
          </w:tcPr>
          <w:p>
            <w:pPr>
              <w:spacing w:lineRule="auto"/>
              <w:jc w:val="left"/>
            </w:pPr>
            <w:r>
              <w:rPr/>
              <w:t xml:space="preserve">potentiellement dangereux</w:t>
            </w:r>
          </w:p>
        </w:tc>
      </w:tr>
    </w:tbl>
    <w:p>
      <w:pPr>
        <w:spacing w:lineRule="auto"/>
      </w:pPr>
    </w:p>
    <w:p>
      <w:pPr>
        <w:spacing w:lineRule="auto"/>
      </w:pPr>
      <w:r>
        <w:rPr>
          <w:rFonts w:eastAsia="Georgia" w:cs="Georgia" w:ascii="Georgia" w:hAnsi="Georgia"/>
        </w:rPr>
        <w:t xml:space="preserve">Table 1 - Comparaison des différentes techniques.</w:t>
      </w:r>
    </w:p>
    <w:p>
      <w:pPr>
        <w:spacing w:line="271" w:before="330" w:lineRule="auto"/>
      </w:pPr>
      <w:r>
        <w:rPr>
          <w:rFonts w:eastAsia="Georgia" w:cs="Georgia" w:ascii="Georgia" w:hAnsi="Georgia"/>
          <w:b/>
          <w:sz w:val="42"/>
        </w:rPr>
        <w:t xml:space="preserve">COUPLAGE INDUCTIF NON RÉSONANT A / Étude des bobines utilisées</w:t>
      </w:r>
    </w:p>
    <w:p>
      <w:pPr>
        <w:spacing w:after="220" w:lineRule="auto"/>
      </w:pPr>
      <w:r>
        <w:rPr>
          <w:rFonts w:eastAsia="Georgia" w:cs="Georgia" w:ascii="Georgia" w:hAnsi="Georgia"/>
        </w:rPr>
        <w:t xml:space="preserve">Pour établir un couplage inductif non résonant entre une bobine émettrice et une bobine réceptrice, on peut utiliser des solénoïdes ou des bobines «plates» 2D (voir figure 4).</w:t>
      </w:r>
    </w:p>
    <w:p>
      <w:pPr>
        <w:spacing w:lineRule="auto"/>
        <w:jc w:val="center"/>
      </w:pPr>
      <w:r>
        <w:rPr/>
        <w:drawing>
          <wp:inline distB="0" distL="0" distR="0" distT="0">
            <wp:extent cx="5486400" cy="1057951"/>
            <wp:effectExtent b="0" l="0" r="0" t="0"/>
            <wp:docPr id="4" name="image-4626d1f89f460dc6ee0edeba9166cbb6d541194b.jpg"/>
            <a:graphic>
              <a:graphicData uri="http://schemas.openxmlformats.org/drawingml/2006/picture">
                <pic:pic>
                  <pic:nvPicPr>
                    <pic:cNvPr id="4" name="image-4626d1f89f460dc6ee0edeba9166cbb6d541194b.jpg" descr=""/>
                    <pic:cNvPicPr/>
                  </pic:nvPicPr>
                  <pic:blipFill>
                    <a:blip r:embed="rId8" cstate="print"/>
                    <a:srcRect b="0" l="0" r="0" t="0"/>
                    <a:stretch>
                      <a:fillRect/>
                    </a:stretch>
                  </pic:blipFill>
                  <pic:spPr>
                    <a:xfrm>
                      <a:off x="0" y="0"/>
                      <a:ext cx="5486400" cy="1057951"/>
                    </a:xfrm>
                    <a:prstGeom prst="rect"/>
                  </pic:spPr>
                </pic:pic>
              </a:graphicData>
            </a:graphic>
          </wp:inline>
        </w:drawing>
      </w:r>
    </w:p>
    <w:p>
      <w:pPr>
        <w:spacing w:lineRule="auto"/>
      </w:pPr>
      <w:r>
        <w:rPr>
          <w:rFonts w:eastAsia="Georgia" w:cs="Georgia" w:ascii="Georgia" w:hAnsi="Georgia"/>
        </w:rPr>
        <w:t xml:space="preserve">Figure 4 - Bobines utilisées.</w:t>
      </w:r>
    </w:p>
    <w:p>
      <w:pPr>
        <w:spacing w:after="220" w:lineRule="auto"/>
      </w:pPr>
      <w:r>
        <w:rPr>
          <w:rFonts w:eastAsia="Georgia" w:cs="Georgia" w:ascii="Georgia" w:hAnsi="Georgia"/>
        </w:rPr>
        <w:t xml:space="preserve">Considérons tout d'abord le cas d'un solénoïde de longueur </w:t>
      </w:r>
      <m:oMath>
        <m:r>
          <m:rPr>
            <m:sty m:val="i"/>
          </m:rPr>
          <m:t>ℓ</m:t>
        </m:r>
      </m:oMath>
      <w:r>
        <w:rPr>
          <w:rFonts w:eastAsia="Georgia" w:cs="Georgia" w:ascii="Georgia" w:hAnsi="Georgia"/>
        </w:rPr>
        <w:t xml:space="preserve"> et d'axe de révolution </w:t>
      </w:r>
      <m:oMath>
        <m:r>
          <m:rPr>
            <m:sty m:val="p"/>
          </m:rPr>
          <m:t>O</m:t>
        </m:r>
        <m:r>
          <m:rPr>
            <m:sty m:val="i"/>
          </m:rPr>
          <m:t>z</m:t>
        </m:r>
      </m:oMath>
      <w:r>
        <w:rPr/>
        <w:t xml:space="preserve">, comportant </w:t>
      </w:r>
      <m:oMath>
        <m:r>
          <m:rPr>
            <m:sty m:val="i"/>
          </m:rPr>
          <m:t>N</m:t>
        </m:r>
      </m:oMath>
      <w:r>
        <w:rPr/>
        <w:t xml:space="preserve"> spires circulaires jointives de rayon </w:t>
      </w:r>
      <m:oMath>
        <m:r>
          <m:rPr>
            <m:sty m:val="i"/>
          </m:rPr>
          <m:t>a</m:t>
        </m:r>
      </m:oMath>
      <w:r>
        <w:rPr>
          <w:rFonts w:eastAsia="Georgia" w:cs="Georgia" w:ascii="Georgia" w:hAnsi="Georgia"/>
        </w:rPr>
        <w:t xml:space="preserve">, et parcourues par un courant d'intensité variable </w:t>
      </w:r>
      <m:oMath>
        <m:r>
          <m:rPr>
            <m:sty m:val="i"/>
          </m:rPr>
          <m:t>i</m:t>
        </m:r>
        <m:r>
          <m:rPr>
            <m:sty m:val="p"/>
          </m:rPr>
          <m:t>(</m:t>
        </m:r>
        <m:r>
          <m:rPr>
            <m:sty m:val="i"/>
          </m:rPr>
          <m:t>t</m:t>
        </m:r>
        <m:r>
          <m:rPr>
            <m:sty m:val="p"/>
          </m:rPr>
          <m:t>)</m:t>
        </m:r>
      </m:oMath>
      <w:r>
        <w:rPr>
          <w:rFonts w:eastAsia="Georgia" w:cs="Georgia" w:ascii="Georgia" w:hAnsi="Georgia"/>
        </w:rPr>
        <w:t xml:space="preserve">. On fait l'hypothèse d'être dans le cadre de l'Approximation des Régimes Quasi Stationnaires (ARQS) : on calcule le champ magnétique créé par des courants variables </w:t>
      </w:r>
      <m:oMath>
        <m:r>
          <m:rPr>
            <m:sty m:val="i"/>
          </m:rPr>
          <m:t>i</m:t>
        </m:r>
        <m:r>
          <m:rPr>
            <m:sty m:val="p"/>
          </m:rPr>
          <m:t>(</m:t>
        </m:r>
        <m:r>
          <m:rPr>
            <m:sty m:val="i"/>
          </m:rPr>
          <m:t>t</m:t>
        </m:r>
        <m:r>
          <m:rPr>
            <m:sty m:val="p"/>
          </m:rPr>
          <m:t>)</m:t>
        </m:r>
      </m:oMath>
      <w:r>
        <w:rPr>
          <w:rFonts w:eastAsia="Georgia" w:cs="Georgia" w:ascii="Georgia" w:hAnsi="Georgia"/>
        </w:rPr>
        <w:t xml:space="preserve">, comme en magnétostatique par le théorème d'Ampère.</w:t>
      </w:r>
      <w:r>
        <w:rPr/>
        <w:br w:type="textWrapping"/>
      </w:r>
      <w:r>
        <w:rPr>
          <w:rFonts w:eastAsia="Georgia" w:cs="Georgia" w:ascii="Georgia" w:hAnsi="Georgia"/>
        </w:rPr>
        <w:t xml:space="preserve">A1. Rappeler les équations locales de Maxwell relatives au champ magnétique </w:t>
      </w:r>
      <m:oMath>
        <m:acc>
          <m:accPr>
            <m:chr m:val="⃗"/>
          </m:accPr>
          <m:e>
            <m:r>
              <m:rPr>
                <m:sty m:val="i"/>
              </m:rPr>
              <m:t>B</m:t>
            </m:r>
          </m:e>
        </m:acc>
      </m:oMath>
      <w:r>
        <w:rPr/>
        <w:t xml:space="preserve">. Comment se simplifient-elles dans l'ARQS ?</w:t>
      </w:r>
    </w:p>
    <w:p>
      <w:pPr>
        <w:spacing w:after="220" w:lineRule="auto"/>
      </w:pPr>
      <w:r>
        <w:rPr>
          <w:rFonts w:eastAsia="Georgia" w:cs="Georgia" w:ascii="Georgia" w:hAnsi="Georgia"/>
        </w:rPr>
        <w:t xml:space="preserve">A2. Dans le cadre de l'ARQS, indiquer comment on passe de l'équation locale concernée au théorème d'Ampère.</w:t>
      </w:r>
      <w:r>
        <w:rPr/>
        <w:br w:type="textWrapping"/>
      </w:r>
      <w:r>
        <w:rPr>
          <w:rFonts w:eastAsia="Georgia" w:cs="Georgia" w:ascii="Georgia" w:hAnsi="Georgia"/>
        </w:rPr>
        <w:t xml:space="preserve">On suppose dans la suite le solénoïde «infini» et on cherche à exprimer le champ magnétique </w:t>
      </w:r>
      <m:oMath>
        <m:acc>
          <m:accPr>
            <m:chr m:val="⃗"/>
          </m:accPr>
          <m:e>
            <m:r>
              <m:rPr>
                <m:sty m:val="i"/>
              </m:rPr>
              <m:t>B</m:t>
            </m:r>
          </m:e>
        </m:acc>
        <m:r>
          <m:rPr>
            <m:sty m:val="p"/>
          </m:rPr>
          <m:t>(</m:t>
        </m:r>
        <m:r>
          <m:rPr>
            <m:sty m:val="p"/>
          </m:rPr>
          <m:t>M</m:t>
        </m:r>
        <m:r>
          <m:rPr>
            <m:sty m:val="p"/>
          </m:rPr>
          <m:t>)</m:t>
        </m:r>
      </m:oMath>
      <w:r>
        <w:rPr>
          <w:rFonts w:eastAsia="Georgia" w:cs="Georgia" w:ascii="Georgia" w:hAnsi="Georgia"/>
        </w:rPr>
        <w:t xml:space="preserve"> en tout point M de l'espace, repéré par ses coordonnées cylindriques ( </w:t>
      </w:r>
      <m:oMath>
        <m:r>
          <m:rPr>
            <m:sty m:val="i"/>
          </m:rPr>
          <m:t>r</m:t>
        </m:r>
        <m:r>
          <m:rPr>
            <m:sty m:val="p"/>
          </m:rPr>
          <m:t>,</m:t>
        </m:r>
        <m:r>
          <m:rPr>
            <m:sty m:val="i"/>
          </m:rPr>
          <m:t>θ</m:t>
        </m:r>
        <m:r>
          <m:rPr>
            <m:sty m:val="p"/>
          </m:rPr>
          <m:t>,</m:t>
        </m:r>
        <m:r>
          <m:rPr>
            <m:sty m:val="i"/>
          </m:rPr>
          <m:t>z</m:t>
        </m:r>
      </m:oMath>
      <w:r>
        <w:rPr>
          <w:rFonts w:eastAsia="Georgia" w:cs="Georgia" w:ascii="Georgia" w:hAnsi="Georgia"/>
        </w:rPr>
        <w:t xml:space="preserve"> ). On admet que le champ magnétique est identiquement nul à l'extérieur du solénoïde.</w:t>
      </w:r>
      <w:r>
        <w:rPr/>
        <w:br w:type="textWrapping"/>
      </w:r>
      <w:r>
        <w:rPr>
          <w:rFonts w:eastAsia="Georgia" w:cs="Georgia" w:ascii="Georgia" w:hAnsi="Georgia"/>
        </w:rPr>
        <w:t xml:space="preserve">A3. Sous quelle(s) condition(s) l'approximation d'un solénoïde «infini» vous semble-t-elle légitime?</w:t>
      </w:r>
    </w:p>
    <w:p>
      <w:pPr>
        <w:spacing w:after="220" w:lineRule="auto"/>
      </w:pPr>
      <w:r>
        <w:rPr>
          <w:rFonts w:eastAsia="Georgia" w:cs="Georgia" w:ascii="Georgia" w:hAnsi="Georgia"/>
        </w:rPr>
        <w:t xml:space="preserve">A4. En invoquant des arguments de symétrie et d'invariance de la distribution de courants, déterminer la direction du champ </w:t>
      </w:r>
      <m:oMath>
        <m:acc>
          <m:accPr>
            <m:chr m:val="⃗"/>
          </m:accPr>
          <m:e>
            <m:r>
              <m:rPr>
                <m:sty m:val="i"/>
              </m:rPr>
              <m:t>B</m:t>
            </m:r>
          </m:e>
        </m:acc>
        <m:r>
          <m:rPr>
            <m:sty m:val="p"/>
          </m:rPr>
          <m:t>(</m:t>
        </m:r>
        <m:r>
          <m:rPr>
            <m:sty m:val="p"/>
          </m:rPr>
          <m:t>M</m:t>
        </m:r>
        <m:r>
          <m:rPr>
            <m:sty m:val="p"/>
          </m:rPr>
          <m:t>)</m:t>
        </m:r>
      </m:oMath>
      <w:r>
        <w:rPr>
          <w:rFonts w:eastAsia="Georgia" w:cs="Georgia" w:ascii="Georgia" w:hAnsi="Georgia"/>
        </w:rPr>
        <w:t xml:space="preserve">, ainsi que la (ou les) coordonnée(s) dont dépend(ent) son module.</w:t>
      </w:r>
    </w:p>
    <w:p>
      <w:pPr>
        <w:spacing w:after="220" w:lineRule="auto"/>
      </w:pPr>
      <w:r>
        <w:rPr>
          <w:rFonts w:eastAsia="Georgia" w:cs="Georgia" w:ascii="Georgia" w:hAnsi="Georgia"/>
        </w:rPr>
        <w:t xml:space="preserve">A5. En précisant le contour d'Ampère choisi, montrer tout d'abord que le champ magnétique est uniforme à l'intérieur du solénoïde. En choissant un second contour d'Ampère, déterminer le champ magnétique à l'intérieur du solénoïde en fonction de </w:t>
      </w:r>
      <m:oMath>
        <m:r>
          <m:rPr>
            <m:sty m:val="i"/>
          </m:rPr>
          <m:t>ℓ</m:t>
        </m:r>
        <m:r>
          <m:rPr>
            <m:sty m:val="p"/>
          </m:rPr>
          <m:t>,</m:t>
        </m:r>
        <m:r>
          <m:rPr>
            <m:sty m:val="i"/>
          </m:rPr>
          <m:t>N</m:t>
        </m:r>
      </m:oMath>
      <w:r>
        <w:rPr/>
        <w:t xml:space="preserve"> et </w:t>
      </w:r>
      <m:oMath>
        <m:r>
          <m:rPr>
            <m:sty m:val="i"/>
          </m:rPr>
          <m:t>i</m:t>
        </m:r>
        <m:r>
          <m:rPr>
            <m:sty m:val="p"/>
          </m:rPr>
          <m:t>(</m:t>
        </m:r>
        <m:r>
          <m:rPr>
            <m:sty m:val="i"/>
          </m:rPr>
          <m:t>t</m:t>
        </m:r>
        <m:r>
          <m:rPr>
            <m:sty m:val="p"/>
          </m:rPr>
          <m:t>)</m:t>
        </m:r>
      </m:oMath>
      <w:r>
        <w:rPr/>
        <w:t xml:space="preserve">.</w:t>
      </w:r>
      <w:r>
        <w:rPr/>
        <w:br w:type="textWrapping"/>
      </w:r>
      <w:r>
        <w:rPr>
          <w:rFonts w:eastAsia="Georgia" w:cs="Georgia" w:ascii="Georgia" w:hAnsi="Georgia"/>
        </w:rPr>
        <w:t xml:space="preserve">Intéressons-nous à présent au cas d'une bobine «plate», constituée (pour simplifier) de </w:t>
      </w:r>
      <m:oMath>
        <m:r>
          <m:rPr>
            <m:sty m:val="i"/>
          </m:rPr>
          <m:t>N</m:t>
        </m:r>
      </m:oMath>
      <w:r>
        <w:rPr>
          <w:rFonts w:eastAsia="Georgia" w:cs="Georgia" w:ascii="Georgia" w:hAnsi="Georgia"/>
        </w:rPr>
        <w:t xml:space="preserve"> spires circulaires identiques, d'axe de révolution </w:t>
      </w:r>
      <m:oMath>
        <m:r>
          <m:rPr>
            <m:sty m:val="p"/>
          </m:rPr>
          <m:t>O</m:t>
        </m:r>
        <m:r>
          <m:rPr>
            <m:sty m:val="i"/>
          </m:rPr>
          <m:t>z</m:t>
        </m:r>
      </m:oMath>
      <w:r>
        <w:rPr/>
        <w:t xml:space="preserve"> et de rayon </w:t>
      </w:r>
      <m:oMath>
        <m:r>
          <m:rPr>
            <m:sty m:val="i"/>
          </m:rPr>
          <m:t>a</m:t>
        </m:r>
      </m:oMath>
      <w:r>
        <w:rPr>
          <w:rFonts w:eastAsia="Georgia" w:cs="Georgia" w:ascii="Georgia" w:hAnsi="Georgia"/>
        </w:rPr>
        <w:t xml:space="preserve">, placées dans le plan </w:t>
      </w:r>
      <m:oMath>
        <m:r>
          <m:rPr>
            <m:sty m:val="i"/>
          </m:rPr>
          <m:t>z</m:t>
        </m:r>
        <m:r>
          <m:rPr>
            <m:sty m:val="p"/>
          </m:rPr>
          <m:t>=</m:t>
        </m:r>
        <m:r>
          <m:rPr>
            <m:sty m:val="p"/>
          </m:rPr>
          <m:t>0</m:t>
        </m:r>
      </m:oMath>
      <w:r>
        <w:rPr>
          <w:rFonts w:eastAsia="Georgia" w:cs="Georgia" w:ascii="Georgia" w:hAnsi="Georgia"/>
        </w:rPr>
        <w:t xml:space="preserve"> et parcourues par un courant d'intensité </w:t>
      </w:r>
      <m:oMath>
        <m:r>
          <m:rPr>
            <m:sty m:val="i"/>
          </m:rPr>
          <m:t>i</m:t>
        </m:r>
        <m:r>
          <m:rPr>
            <m:sty m:val="p"/>
          </m:rPr>
          <m:t>(</m:t>
        </m:r>
        <m:r>
          <m:rPr>
            <m:sty m:val="i"/>
          </m:rPr>
          <m:t>t</m:t>
        </m:r>
        <m:r>
          <m:rPr>
            <m:sty m:val="p"/>
          </m:rPr>
          <m:t>)</m:t>
        </m:r>
      </m:oMath>
      <w:r>
        <w:rPr>
          <w:rFonts w:eastAsia="Georgia" w:cs="Georgia" w:ascii="Georgia" w:hAnsi="Georgia"/>
        </w:rPr>
        <w:t xml:space="preserve">. On se place à nouveau dans le cadre de l'ARQS et on considère un point M de l'axe </w:t>
      </w:r>
      <m:oMath>
        <m:r>
          <m:rPr>
            <m:sty m:val="p"/>
          </m:rPr>
          <m:t>O</m:t>
        </m:r>
        <m:r>
          <m:rPr>
            <m:sty m:val="i"/>
          </m:rPr>
          <m:t>z</m:t>
        </m:r>
      </m:oMath>
      <w:r>
        <w:rPr/>
        <w:t xml:space="preserve">, de cote </w:t>
      </w:r>
      <m:oMath>
        <m:r>
          <m:rPr>
            <m:sty m:val="i"/>
          </m:rPr>
          <m:t>z</m:t>
        </m:r>
        <m:r>
          <m:rPr>
            <m:sty m:val="p"/>
          </m:rPr>
          <m:t>&gt;</m:t>
        </m:r>
        <m:r>
          <m:rPr>
            <m:sty m:val="p"/>
          </m:rPr>
          <m:t>0</m:t>
        </m:r>
      </m:oMath>
      <w:r>
        <w:rPr/>
        <w:t xml:space="preserve">.</w:t>
      </w:r>
      <w:r>
        <w:rPr/>
        <w:br w:type="textWrapping"/>
      </w:r>
      <w:r>
        <w:rPr>
          <w:rFonts w:eastAsia="Georgia" w:cs="Georgia" w:ascii="Georgia" w:hAnsi="Georgia"/>
        </w:rPr>
        <w:t xml:space="preserve">A6. Préciser, en justifiant votre réponse, la direction du champ magnétique </w:t>
      </w:r>
      <m:oMath>
        <m:acc>
          <m:accPr>
            <m:chr m:val="⃗"/>
          </m:accPr>
          <m:e>
            <m:r>
              <m:rPr>
                <m:sty m:val="i"/>
              </m:rPr>
              <m:t>B</m:t>
            </m:r>
          </m:e>
        </m:acc>
        <m:r>
          <m:rPr>
            <m:sty m:val="p"/>
          </m:rPr>
          <m:t>(</m:t>
        </m:r>
        <m:r>
          <m:rPr>
            <m:sty m:val="p"/>
          </m:rPr>
          <m:t>M</m:t>
        </m:r>
        <m:r>
          <m:rPr>
            <m:sty m:val="p"/>
          </m:rPr>
          <m:t>)</m:t>
        </m:r>
      </m:oMath>
      <w:r>
        <w:rPr/>
        <w:t xml:space="preserve"> au point M .</w:t>
      </w:r>
      <w:r>
        <w:rPr/>
        <w:br w:type="textWrapping"/>
      </w:r>
      <w:r>
        <w:rPr>
          <w:rFonts w:eastAsia="Georgia" w:cs="Georgia" w:ascii="Georgia" w:hAnsi="Georgia"/>
        </w:rPr>
        <w:t xml:space="preserve">A7. Que dire du plan d'équation </w:t>
      </w:r>
      <m:oMath>
        <m:r>
          <m:rPr>
            <m:sty m:val="i"/>
          </m:rPr>
          <m:t>z</m:t>
        </m:r>
        <m:r>
          <m:rPr>
            <m:sty m:val="p"/>
          </m:rPr>
          <m:t>=</m:t>
        </m:r>
        <m:r>
          <m:rPr>
            <m:sty m:val="p"/>
          </m:rPr>
          <m:t>0</m:t>
        </m:r>
      </m:oMath>
      <w:r>
        <w:rPr>
          <w:rFonts w:eastAsia="Georgia" w:cs="Georgia" w:ascii="Georgia" w:hAnsi="Georgia"/>
        </w:rPr>
        <w:t xml:space="preserve"> d'un point de vue des courants? Qu'en déduire d'un point de vue du champ magnétique ? En déduire une relation simple entre </w:t>
      </w:r>
      <m:oMath>
        <m:sSub>
          <m:sSubPr/>
          <m:e>
            <m:r>
              <m:rPr>
                <m:sty m:val="i"/>
              </m:rPr>
              <m:t>B</m:t>
            </m:r>
          </m:e>
          <m:sub>
            <m:r>
              <m:rPr>
                <m:sty m:val="i"/>
              </m:rPr>
              <m:t>z</m:t>
            </m:r>
          </m:sub>
        </m:sSub>
        <m:r>
          <m:rPr>
            <m:sty m:val="p"/>
          </m:rPr>
          <m:t>(</m:t>
        </m:r>
        <m:r>
          <m:rPr>
            <m:sty m:val="p"/>
          </m:rPr>
          <m:t>−</m:t>
        </m:r>
        <m:r>
          <m:rPr>
            <m:sty m:val="i"/>
          </m:rPr>
          <m:t>z</m:t>
        </m:r>
        <m:r>
          <m:rPr>
            <m:sty m:val="p"/>
          </m:rPr>
          <m:t>)</m:t>
        </m:r>
      </m:oMath>
      <w:r>
        <w:rPr/>
        <w:t xml:space="preserve"> et </w:t>
      </w:r>
      <m:oMath>
        <m:sSub>
          <m:sSubPr/>
          <m:e>
            <m:r>
              <m:rPr>
                <m:sty m:val="i"/>
              </m:rPr>
              <m:t>B</m:t>
            </m:r>
          </m:e>
          <m:sub>
            <m:r>
              <m:rPr>
                <m:sty m:val="i"/>
              </m:rPr>
              <m:t>z</m:t>
            </m:r>
          </m:sub>
        </m:sSub>
        <m:r>
          <m:rPr>
            <m:sty m:val="p"/>
          </m:rPr>
          <m:t>(</m:t>
        </m:r>
        <m:r>
          <m:rPr>
            <m:sty m:val="i"/>
          </m:rPr>
          <m:t>z</m:t>
        </m:r>
        <m:r>
          <m:rPr>
            <m:sty m:val="p"/>
          </m:rPr>
          <m:t>)</m:t>
        </m:r>
      </m:oMath>
      <w:r>
        <w:rPr/>
        <w:t xml:space="preserve">.</w:t>
      </w:r>
      <w:r>
        <w:rPr/>
        <w:br w:type="textWrapping"/>
      </w:r>
      <w:r>
        <w:rPr>
          <w:rFonts w:eastAsia="Georgia" w:cs="Georgia" w:ascii="Georgia" w:hAnsi="Georgia"/>
        </w:rPr>
        <w:t xml:space="preserve">On donne l'expression du champ magnétique créé par la bobine «plate» au point M :</w:t>
      </w:r>
    </w:p>
    <w:p>
      <w:pPr>
        <w:spacing w:after="220" w:lineRule="auto"/>
      </w:pPr>
      <m:oMathPara>
        <m:oMath>
          <m:sSub>
            <m:sSubPr/>
            <m:e>
              <m:r>
                <m:rPr>
                  <m:sty m:val="i"/>
                </m:rPr>
                <m:t>B</m:t>
              </m:r>
            </m:e>
            <m:sub>
              <m:r>
                <m:rPr>
                  <m:sty m:val="i"/>
                </m:rPr>
                <m:t>z</m:t>
              </m:r>
            </m:sub>
          </m:sSub>
          <m:r>
            <m:rPr>
              <m:sty m:val="p"/>
            </m:rPr>
            <m:t>(</m:t>
          </m:r>
          <m:r>
            <m:rPr>
              <m:sty m:val="i"/>
            </m:rPr>
            <m:t>z</m:t>
          </m:r>
          <m:r>
            <m:rPr>
              <m:sty m:val="p"/>
            </m:rPr>
            <m:t>)</m:t>
          </m:r>
          <m:r>
            <m:rPr>
              <m:sty m:val="p"/>
            </m:rPr>
            <m:t>=</m:t>
          </m:r>
          <m:f>
            <m:fPr>
              <m:ctrlPr>
                <w:rPr>
                  <w:rFonts w:ascii="Cambria Math" w:hAnsi="Cambria Math"/>
                </w:rPr>
              </m:ctrlPr>
            </m:fPr>
            <m:num>
              <m:sSub>
                <m:sSubPr/>
                <m:e>
                  <m:r>
                    <m:rPr>
                      <m:sty m:val="i"/>
                    </m:rPr>
                    <m:t>μ</m:t>
                  </m:r>
                </m:e>
                <m:sub>
                  <m:r>
                    <m:rPr>
                      <m:sty m:val="p"/>
                    </m:rPr>
                    <m:t>0</m:t>
                  </m:r>
                </m:sub>
              </m:sSub>
              <m:r>
                <m:rPr>
                  <m:sty m:val="i"/>
                </m:rPr>
                <m:t>N</m:t>
              </m:r>
              <m:r>
                <m:rPr>
                  <m:sty m:val="i"/>
                </m:rPr>
                <m:t>i</m:t>
              </m:r>
              <m:r>
                <m:rPr>
                  <m:sty m:val="p"/>
                </m:rPr>
                <m:t>(</m:t>
              </m:r>
              <m:r>
                <m:rPr>
                  <m:sty m:val="i"/>
                </m:rPr>
                <m:t>t</m:t>
              </m:r>
              <m:r>
                <m:rPr>
                  <m:sty m:val="p"/>
                </m:rPr>
                <m:t>)</m:t>
              </m:r>
              <m:sSup>
                <m:sSupPr/>
                <m:e>
                  <m:r>
                    <m:rPr>
                      <m:sty m:val="i"/>
                    </m:rPr>
                    <m:t>a</m:t>
                  </m:r>
                </m:e>
                <m:sup>
                  <m:r>
                    <m:rPr>
                      <m:sty m:val="p"/>
                    </m:rPr>
                    <m:t>2</m:t>
                  </m:r>
                </m:sup>
              </m:sSup>
            </m:num>
            <m:den>
              <m:r>
                <m:rPr>
                  <m:sty m:val="p"/>
                </m:rPr>
                <m:t>2</m:t>
              </m:r>
              <m:sSup>
                <m:sSupPr/>
                <m:e>
                  <m:d>
                    <m:dPr>
                      <m:begChr m:val="("/>
                      <m:endChr m:val=")"/>
                      <m:ctrlPr>
                        <w:rPr>
                          <w:rFonts w:ascii="Cambria Math" w:hAnsi="Cambria Math"/>
                        </w:rPr>
                      </m:ctrlPr>
                    </m:dPr>
                    <m:e>
                      <m:sSup>
                        <m:sSupPr/>
                        <m:e>
                          <m:r>
                            <m:rPr>
                              <m:sty m:val="i"/>
                            </m:rPr>
                            <m:t>z</m:t>
                          </m:r>
                        </m:e>
                        <m:sup>
                          <m:r>
                            <m:rPr>
                              <m:sty m:val="p"/>
                            </m:rPr>
                            <m:t>2</m:t>
                          </m:r>
                        </m:sup>
                      </m:sSup>
                      <m:r>
                        <m:rPr>
                          <m:sty m:val="p"/>
                        </m:rPr>
                        <m:t>+</m:t>
                      </m:r>
                      <m:sSup>
                        <m:sSupPr/>
                        <m:e>
                          <m:r>
                            <m:rPr>
                              <m:sty m:val="i"/>
                            </m:rPr>
                            <m:t>a</m:t>
                          </m:r>
                        </m:e>
                        <m:sup>
                          <m:r>
                            <m:rPr>
                              <m:sty m:val="p"/>
                            </m:rPr>
                            <m:t>2</m:t>
                          </m:r>
                        </m:sup>
                      </m:sSup>
                    </m:e>
                  </m:d>
                </m:e>
                <m:sup>
                  <m:r>
                    <m:rPr>
                      <m:sty m:val="p"/>
                    </m:rPr>
                    <m:t>3</m:t>
                  </m:r>
                  <m:r>
                    <m:rPr>
                      <m:sty m:val="p"/>
                    </m:rPr>
                    <m:t>/</m:t>
                  </m:r>
                  <m:r>
                    <m:rPr>
                      <m:sty m:val="p"/>
                    </m:rPr>
                    <m:t>2</m:t>
                  </m:r>
                </m:sup>
              </m:sSup>
            </m:den>
          </m:f>
          <m:r>
            <m:rPr>
              <m:sty m:val="p"/>
            </m:rPr>
            <m:t>.</m:t>
          </m:r>
        </m:oMath>
      </m:oMathPara>
    </w:p>
    <w:p>
      <w:pPr>
        <w:spacing w:after="220" w:lineRule="auto"/>
      </w:pPr>
      <w:r>
        <w:rPr>
          <w:rFonts w:eastAsia="Georgia" w:cs="Georgia" w:ascii="Georgia" w:hAnsi="Georgia"/>
        </w:rPr>
        <w:t xml:space="preserve">A8. Représenter l'allure de la fonction </w:t>
      </w:r>
      <m:oMath>
        <m:sSub>
          <m:sSubPr/>
          <m:e>
            <m:r>
              <m:rPr>
                <m:sty m:val="i"/>
              </m:rPr>
              <m:t>B</m:t>
            </m:r>
          </m:e>
          <m:sub>
            <m:r>
              <m:rPr>
                <m:sty m:val="i"/>
              </m:rPr>
              <m:t>z</m:t>
            </m:r>
          </m:sub>
        </m:sSub>
        <m:r>
          <m:rPr>
            <m:sty m:val="p"/>
          </m:rPr>
          <m:t>(</m:t>
        </m:r>
        <m:r>
          <m:rPr>
            <m:sty m:val="i"/>
          </m:rPr>
          <m:t>z</m:t>
        </m:r>
        <m:r>
          <m:rPr>
            <m:sty m:val="p"/>
          </m:rPr>
          <m:t>)</m:t>
        </m:r>
      </m:oMath>
      <w:r>
        <w:rPr>
          <w:rFonts w:eastAsia="Georgia" w:cs="Georgia" w:ascii="Georgia" w:hAnsi="Georgia"/>
        </w:rPr>
        <w:t xml:space="preserve">. Exprimer le champ magnétique maximal </w:t>
      </w:r>
      <m:oMath>
        <m:sSub>
          <m:sSubPr/>
          <m:e>
            <m:r>
              <m:rPr>
                <m:sty m:val="i"/>
              </m:rPr>
              <m:t>B</m:t>
            </m:r>
          </m:e>
          <m:sub>
            <m:r>
              <m:rPr>
                <m:sty m:val="i"/>
              </m:rPr>
              <m:t>z</m:t>
            </m:r>
            <m:r>
              <m:rPr>
                <m:sty m:val="p"/>
              </m:rPr>
              <m:t>,</m:t>
            </m:r>
            <m:r>
              <m:rPr>
                <m:sty m:val="p"/>
              </m:rPr>
              <m:t>max</m:t>
            </m:r>
          </m:sub>
        </m:sSub>
      </m:oMath>
      <w:r>
        <w:rPr>
          <w:rFonts w:eastAsia="Georgia" w:cs="Georgia" w:ascii="Georgia" w:hAnsi="Georgia"/>
        </w:rPr>
        <w:t xml:space="preserve">, et déterminer à quelle distance </w:t>
      </w:r>
      <m:oMath>
        <m:sSub>
          <m:sSubPr/>
          <m:e>
            <m:r>
              <m:rPr>
                <m:sty m:val="i"/>
              </m:rPr>
              <m:t>z</m:t>
            </m:r>
          </m:e>
          <m:sub>
            <m:r>
              <m:rPr>
                <m:sty m:val="p"/>
              </m:rPr>
              <m:t>1</m:t>
            </m:r>
            <m:r>
              <m:rPr>
                <m:sty m:val="p"/>
              </m:rPr>
              <m:t>/</m:t>
            </m:r>
            <m:r>
              <m:rPr>
                <m:sty m:val="p"/>
              </m:rPr>
              <m:t>2</m:t>
            </m:r>
          </m:sub>
        </m:sSub>
      </m:oMath>
      <w:r>
        <w:rPr>
          <w:rFonts w:eastAsia="Georgia" w:cs="Georgia" w:ascii="Georgia" w:hAnsi="Georgia"/>
        </w:rPr>
        <w:t xml:space="preserve"> de la spire le champ magnétique vaut </w:t>
      </w:r>
      <m:oMath>
        <m:sSub>
          <m:sSubPr/>
          <m:e>
            <m:r>
              <m:rPr>
                <m:sty m:val="i"/>
              </m:rPr>
              <m:t>B</m:t>
            </m:r>
          </m:e>
          <m:sub>
            <m:r>
              <m:rPr>
                <m:sty m:val="i"/>
              </m:rPr>
              <m:t>z</m:t>
            </m:r>
            <m:r>
              <m:rPr>
                <m:sty m:val="p"/>
              </m:rPr>
              <m:t>,</m:t>
            </m:r>
            <m:r>
              <m:rPr>
                <m:sty m:val="p"/>
              </m:rPr>
              <m:t>max</m:t>
            </m:r>
          </m:sub>
        </m:sSub>
        <m:r>
          <m:rPr>
            <m:sty m:val="p"/>
          </m:rPr>
          <m:t>/</m:t>
        </m:r>
        <m:r>
          <m:rPr>
            <m:sty m:val="p"/>
          </m:rPr>
          <m:t>2</m:t>
        </m:r>
      </m:oMath>
      <w:r>
        <w:rPr/>
        <w:t xml:space="preserve">, en fonction de </w:t>
      </w:r>
      <m:oMath>
        <m:r>
          <m:rPr>
            <m:sty m:val="i"/>
          </m:rPr>
          <m:t>a</m:t>
        </m:r>
      </m:oMath>
      <w:r>
        <w:rPr/>
        <w:t xml:space="preserve">.</w:t>
      </w:r>
      <w:r>
        <w:rPr/>
        <w:br w:type="textWrapping"/>
      </w:r>
      <w:r>
        <w:rPr>
          <w:rFonts w:eastAsia="Georgia" w:cs="Georgia" w:ascii="Georgia" w:hAnsi="Georgia"/>
        </w:rPr>
        <w:t xml:space="preserve">On donne sur la figure 5 les cartes de champ du solénoïde et de la bobine «plate», simulées à l'aide du logiciel FEMM (Finite Element Method Magnetics).</w:t>
      </w:r>
    </w:p>
    <w:p>
      <w:pPr>
        <w:spacing w:lineRule="auto"/>
        <w:jc w:val="center"/>
      </w:pPr>
      <w:r>
        <w:rPr/>
        <w:drawing>
          <wp:inline distB="0" distL="0" distR="0" distT="0">
            <wp:extent cx="5486400" cy="1899913"/>
            <wp:effectExtent b="0" l="0" r="0" t="0"/>
            <wp:docPr id="5" name="image-1f2ff2ee57efc56d369cdceb355262f881b4972e.jpg"/>
            <a:graphic>
              <a:graphicData uri="http://schemas.openxmlformats.org/drawingml/2006/picture">
                <pic:pic>
                  <pic:nvPicPr>
                    <pic:cNvPr id="5" name="image-1f2ff2ee57efc56d369cdceb355262f881b4972e.jpg" descr=""/>
                    <pic:cNvPicPr/>
                  </pic:nvPicPr>
                  <pic:blipFill>
                    <a:blip r:embed="rId9" cstate="print"/>
                    <a:srcRect b="0" l="0" r="0" t="0"/>
                    <a:stretch>
                      <a:fillRect/>
                    </a:stretch>
                  </pic:blipFill>
                  <pic:spPr>
                    <a:xfrm>
                      <a:off x="0" y="0"/>
                      <a:ext cx="5486400" cy="1899913"/>
                    </a:xfrm>
                    <a:prstGeom prst="rect"/>
                  </pic:spPr>
                </pic:pic>
              </a:graphicData>
            </a:graphic>
          </wp:inline>
        </w:drawing>
      </w:r>
    </w:p>
    <w:p>
      <w:pPr>
        <w:spacing w:lineRule="auto"/>
      </w:pPr>
      <w:r>
        <w:rPr>
          <w:rFonts w:eastAsia="Georgia" w:cs="Georgia" w:ascii="Georgia" w:hAnsi="Georgia"/>
        </w:rPr>
        <w:t xml:space="preserve">Figure 5 - Cartes de champ du solénoïde (à gauche) et de la bobine «plate» (à droite).</w:t>
      </w:r>
    </w:p>
    <w:p>
      <w:pPr>
        <w:spacing w:after="220" w:lineRule="auto"/>
      </w:pPr>
      <w:r>
        <w:rPr>
          <w:rFonts w:eastAsia="Georgia" w:cs="Georgia" w:ascii="Georgia" w:hAnsi="Georgia"/>
        </w:rPr>
        <w:t xml:space="preserve">A9. Justifier les symétries et/ou antisymétries observées sur chacune de ces cartes de champ.</w:t>
      </w:r>
      <w:r>
        <w:rPr/>
        <w:br w:type="textWrapping"/>
      </w:r>
      <w:r>
        <w:rPr>
          <w:rFonts w:eastAsia="Georgia" w:cs="Georgia" w:ascii="Georgia" w:hAnsi="Georgia"/>
        </w:rPr>
        <w:t xml:space="preserve">A10. Sur la carte de champ du solénoïde, on remarque que les lignes de champ se resserrent au sein du solénoïde et qu'elles y sont approximativement parallèles. Que peut-on déduire de ces observations topologiques? Quelle propriété, relative au flux du champ </w:t>
      </w:r>
      <m:oMath>
        <m:acc>
          <m:accPr>
            <m:chr m:val="⃗"/>
          </m:accPr>
          <m:e>
            <m:r>
              <m:rPr>
                <m:sty m:val="i"/>
              </m:rPr>
              <m:t>B</m:t>
            </m:r>
          </m:e>
        </m:acc>
      </m:oMath>
      <w:r>
        <w:rPr/>
        <w:t xml:space="preserve">, permet de le confirmer?</w:t>
      </w:r>
    </w:p>
    <w:p>
      <w:pPr>
        <w:spacing w:line="271" w:before="330" w:lineRule="auto"/>
      </w:pPr>
      <w:r>
        <w:rPr>
          <w:b/>
          <w:sz w:val="42"/>
        </w:rPr>
        <w:t xml:space="preserve">B / Transfert de puissance : rendement de Yates</w:t>
      </w:r>
    </w:p>
    <w:p>
      <w:pPr>
        <w:spacing w:after="220" w:lineRule="auto"/>
      </w:pPr>
      <w:r>
        <w:rPr>
          <w:rFonts w:eastAsia="Georgia" w:cs="Georgia" w:ascii="Georgia" w:hAnsi="Georgia"/>
        </w:rPr>
        <w:t xml:space="preserve">Modélisons à présent le transfert inductif de puissance entre deux bobines, comme celles représentées sur la figure 6.</w:t>
      </w:r>
    </w:p>
    <w:p>
      <w:pPr>
        <w:spacing w:lineRule="auto"/>
        <w:jc w:val="center"/>
      </w:pPr>
      <w:r>
        <w:rPr/>
        <w:drawing>
          <wp:inline distB="0" distL="0" distR="0" distT="0">
            <wp:extent cx="5486400" cy="2147957"/>
            <wp:effectExtent b="0" l="0" r="0" t="0"/>
            <wp:docPr id="6" name="image-7ccecc6312e8673e4a110d3c351e17cd704a733e.jpg"/>
            <a:graphic>
              <a:graphicData uri="http://schemas.openxmlformats.org/drawingml/2006/picture">
                <pic:pic>
                  <pic:nvPicPr>
                    <pic:cNvPr id="6" name="image-7ccecc6312e8673e4a110d3c351e17cd704a733e.jpg" descr=""/>
                    <pic:cNvPicPr/>
                  </pic:nvPicPr>
                  <pic:blipFill>
                    <a:blip r:embed="rId10" cstate="print"/>
                    <a:srcRect b="0" l="0" r="0" t="0"/>
                    <a:stretch>
                      <a:fillRect/>
                    </a:stretch>
                  </pic:blipFill>
                  <pic:spPr>
                    <a:xfrm>
                      <a:off x="0" y="0"/>
                      <a:ext cx="5486400" cy="2147957"/>
                    </a:xfrm>
                    <a:prstGeom prst="rect"/>
                  </pic:spPr>
                </pic:pic>
              </a:graphicData>
            </a:graphic>
          </wp:inline>
        </w:drawing>
      </w:r>
    </w:p>
    <w:p>
      <w:pPr>
        <w:spacing w:lineRule="auto"/>
      </w:pPr>
      <w:r>
        <w:rPr>
          <w:rFonts w:eastAsia="Georgia" w:cs="Georgia" w:ascii="Georgia" w:hAnsi="Georgia"/>
        </w:rPr>
        <w:t xml:space="preserve">Figure 6 - À gauche : système de transmission classique (émetteur et récepteur) utilisé dans les chargeurs sans fil actuels. À droite : schéma et notations utilisées.</w:t>
      </w:r>
    </w:p>
    <w:p>
      <w:pPr>
        <w:spacing w:after="220" w:lineRule="auto"/>
      </w:pPr>
      <w:r>
        <w:rPr>
          <w:rFonts w:eastAsia="Georgia" w:cs="Georgia" w:ascii="Georgia" w:hAnsi="Georgia"/>
        </w:rPr>
        <w:t xml:space="preserve">Une bobine émettrice «plate», de résistance électrique </w:t>
      </w:r>
      <m:oMath>
        <m:sSub>
          <m:sSubPr/>
          <m:e>
            <m:r>
              <m:rPr>
                <m:sty m:val="i"/>
              </m:rPr>
              <m:t>R</m:t>
            </m:r>
          </m:e>
          <m:sub>
            <m:r>
              <m:rPr>
                <m:sty m:val="p"/>
              </m:rPr>
              <m:t>1</m:t>
            </m:r>
          </m:sub>
        </m:sSub>
      </m:oMath>
      <w:r>
        <w:rPr/>
        <w:t xml:space="preserve"> et d'inductance propre </w:t>
      </w:r>
      <m:oMath>
        <m:sSub>
          <m:sSubPr/>
          <m:e>
            <m:r>
              <m:rPr>
                <m:sty m:val="i"/>
              </m:rPr>
              <m:t>L</m:t>
            </m:r>
          </m:e>
          <m:sub>
            <m:r>
              <m:rPr>
                <m:sty m:val="p"/>
              </m:rPr>
              <m:t>1</m:t>
            </m:r>
          </m:sub>
        </m:sSub>
      </m:oMath>
      <w:r>
        <w:rPr/>
        <w:t xml:space="preserve">, comportant </w:t>
      </w:r>
      <m:oMath>
        <m:sSub>
          <m:sSubPr/>
          <m:e>
            <m:r>
              <m:rPr>
                <m:sty m:val="i"/>
              </m:rPr>
              <m:t>N</m:t>
            </m:r>
          </m:e>
          <m:sub>
            <m:r>
              <m:rPr>
                <m:sty m:val="p"/>
              </m:rPr>
              <m:t>1</m:t>
            </m:r>
          </m:sub>
        </m:sSub>
      </m:oMath>
      <w:r>
        <w:rPr/>
        <w:t xml:space="preserve"> spires circulaires de rayon </w:t>
      </w:r>
      <m:oMath>
        <m:r>
          <m:rPr>
            <m:sty m:val="i"/>
          </m:rPr>
          <m:t>a</m:t>
        </m:r>
      </m:oMath>
      <w:r>
        <w:rPr>
          <w:rFonts w:eastAsia="Georgia" w:cs="Georgia" w:ascii="Georgia" w:hAnsi="Georgia"/>
        </w:rPr>
        <w:t xml:space="preserve">, est parcourue par un courant d'intensité :</w:t>
      </w:r>
    </w:p>
    <w:p>
      <w:pPr>
        <w:spacing w:after="220" w:lineRule="auto"/>
      </w:pPr>
      <m:oMathPara>
        <m:oMath>
          <m:r>
            <m:rPr>
              <m:sty m:val="i"/>
            </m:rPr>
            <m:t>i</m:t>
          </m:r>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imposé par un générateur (non représenté sur la figure 6).</w:t>
      </w:r>
      <w:r>
        <w:rPr/>
        <w:br w:type="textWrapping"/>
      </w:r>
      <w:r>
        <w:rPr>
          <w:rFonts w:eastAsia="Georgia" w:cs="Georgia" w:ascii="Georgia" w:hAnsi="Georgia"/>
        </w:rPr>
        <w:t xml:space="preserve">B1. Définir et exprimer la puissance instantanée reçue par la bobine émettrice de la part du générateur, notée </w:t>
      </w:r>
      <m:oMath>
        <m:sSub>
          <m:sSubPr/>
          <m:e>
            <m:r>
              <m:rPr>
                <m:sty m:val="i"/>
              </m:rPr>
              <m:t>P</m:t>
            </m:r>
          </m:e>
          <m:sub>
            <m:r>
              <m:rPr>
                <m:nor/>
              </m:rPr>
              <m:t>reçue </m:t>
            </m:r>
          </m:sub>
        </m:sSub>
      </m:oMath>
      <w:r>
        <w:rPr/>
        <w:t xml:space="preserve">, en fonction de </w:t>
      </w:r>
      <m:oMath>
        <m:sSub>
          <m:sSubPr/>
          <m:e>
            <m:r>
              <m:rPr>
                <m:sty m:val="i"/>
              </m:rPr>
              <m:t>L</m:t>
            </m:r>
          </m:e>
          <m:sub>
            <m:r>
              <m:rPr>
                <m:sty m:val="p"/>
              </m:rPr>
              <m:t>1</m:t>
            </m:r>
          </m:sub>
        </m:sSub>
        <m:r>
          <m:rPr>
            <m:sty m:val="p"/>
          </m:rPr>
          <m:t>,</m:t>
        </m:r>
        <m:sSub>
          <m:sSubPr/>
          <m:e>
            <m:r>
              <m:rPr>
                <m:sty m:val="i"/>
              </m:rPr>
              <m:t>R</m:t>
            </m:r>
          </m:e>
          <m:sub>
            <m:r>
              <m:rPr>
                <m:sty m:val="p"/>
              </m:rPr>
              <m:t>1</m:t>
            </m:r>
          </m:sub>
        </m:sSub>
      </m:oMath>
      <w:r>
        <w:rPr>
          <w:rFonts w:eastAsia="Georgia" w:cs="Georgia" w:ascii="Georgia" w:hAnsi="Georgia"/>
        </w:rPr>
        <w:t xml:space="preserve">, de l'intensité </w:t>
      </w:r>
      <m:oMath>
        <m:r>
          <m:rPr>
            <m:sty m:val="i"/>
          </m:rPr>
          <m:t>i</m:t>
        </m:r>
        <m:r>
          <m:rPr>
            <m:sty m:val="p"/>
          </m:rPr>
          <m:t>(</m:t>
        </m:r>
        <m:r>
          <m:rPr>
            <m:sty m:val="i"/>
          </m:rPr>
          <m:t>t</m:t>
        </m:r>
        <m:r>
          <m:rPr>
            <m:sty m:val="p"/>
          </m:rPr>
          <m:t>)</m:t>
        </m:r>
      </m:oMath>
      <w:r>
        <w:rPr>
          <w:rFonts w:eastAsia="Georgia" w:cs="Georgia" w:ascii="Georgia" w:hAnsi="Georgia"/>
        </w:rPr>
        <w:t xml:space="preserve"> et de sa dérivée </w:t>
      </w:r>
      <m:oMath>
        <m:r>
          <m:rPr>
            <m:sty m:val="p"/>
          </m:rPr>
          <m:t>d</m:t>
        </m:r>
        <m:r>
          <m:rPr>
            <m:sty m:val="i"/>
          </m:rPr>
          <m:t>i</m:t>
        </m:r>
        <m:r>
          <m:rPr>
            <m:sty m:val="p"/>
          </m:rPr>
          <m:t>/</m:t>
        </m:r>
        <m:r>
          <m:rPr>
            <m:sty m:val="p"/>
          </m:rPr>
          <m:t>d</m:t>
        </m:r>
        <m:r>
          <m:rPr>
            <m:sty m:val="i"/>
          </m:rPr>
          <m:t>t</m:t>
        </m:r>
      </m:oMath>
      <w:r>
        <w:rPr>
          <w:rFonts w:eastAsia="Georgia" w:cs="Georgia" w:ascii="Georgia" w:hAnsi="Georgia"/>
        </w:rPr>
        <w:t xml:space="preserve">. En déduire la moyenne temporelle de cette puissance </w:t>
      </w:r>
      <m:oMath>
        <m:d>
          <m:dPr>
            <m:begChr m:val="⟨"/>
            <m:endChr m:val="⟩"/>
            <m:ctrlPr>
              <w:rPr>
                <w:rFonts w:ascii="Cambria Math" w:hAnsi="Cambria Math"/>
              </w:rPr>
            </m:ctrlPr>
          </m:dPr>
          <m:e>
            <m:sSub>
              <m:sSubPr/>
              <m:e>
                <m:r>
                  <m:rPr>
                    <m:sty m:val="i"/>
                  </m:rPr>
                  <m:t>P</m:t>
                </m:r>
              </m:e>
              <m:sub>
                <m:r>
                  <m:rPr>
                    <m:nor/>
                  </m:rPr>
                  <m:t>reçue </m:t>
                </m:r>
              </m:sub>
            </m:sSub>
          </m:e>
        </m:d>
      </m:oMath>
      <w:r>
        <w:rPr/>
        <w:t xml:space="preserve"> en fonction de </w:t>
      </w:r>
      <m:oMath>
        <m:sSub>
          <m:sSubPr/>
          <m:e>
            <m:r>
              <m:rPr>
                <m:sty m:val="i"/>
              </m:rPr>
              <m:t>R</m:t>
            </m:r>
          </m:e>
          <m:sub>
            <m:r>
              <m:rPr>
                <m:sty m:val="p"/>
              </m:rPr>
              <m:t>1</m:t>
            </m:r>
          </m:sub>
        </m:sSub>
      </m:oMath>
      <w:r>
        <w:rPr/>
        <w:t xml:space="preserve"> et </w:t>
      </w:r>
      <m:oMath>
        <m:sSub>
          <m:sSubPr/>
          <m:e>
            <m:r>
              <m:rPr>
                <m:sty m:val="i"/>
              </m:rPr>
              <m:t>I</m:t>
            </m:r>
          </m:e>
          <m:sub>
            <m:r>
              <m:rPr>
                <m:sty m:val="p"/>
              </m:rPr>
              <m:t>0</m:t>
            </m:r>
          </m:sub>
        </m:sSub>
      </m:oMath>
      <w:r>
        <w:rPr/>
        <w:t xml:space="preserve">.</w:t>
      </w:r>
      <w:r>
        <w:rPr/>
        <w:br w:type="textWrapping"/>
      </w:r>
      <w:r>
        <w:rPr>
          <w:rFonts w:eastAsia="Georgia" w:cs="Georgia" w:ascii="Georgia" w:hAnsi="Georgia"/>
        </w:rPr>
        <w:t xml:space="preserve">Considérons également une bobine réceptrice «plate», de résistance électrique </w:t>
      </w:r>
      <m:oMath>
        <m:sSub>
          <m:sSubPr/>
          <m:e>
            <m:r>
              <m:rPr>
                <m:sty m:val="i"/>
              </m:rPr>
              <m:t>R</m:t>
            </m:r>
          </m:e>
          <m:sub>
            <m:r>
              <m:rPr>
                <m:sty m:val="p"/>
              </m:rPr>
              <m:t>2</m:t>
            </m:r>
          </m:sub>
        </m:sSub>
      </m:oMath>
      <w:r>
        <w:rPr/>
        <w:t xml:space="preserve">, d'inductance propre </w:t>
      </w:r>
      <m:oMath>
        <m:sSub>
          <m:sSubPr/>
          <m:e>
            <m:r>
              <m:rPr>
                <m:sty m:val="i"/>
              </m:rPr>
              <m:t>L</m:t>
            </m:r>
          </m:e>
          <m:sub>
            <m:r>
              <m:rPr>
                <m:sty m:val="p"/>
              </m:rPr>
              <m:t>2</m:t>
            </m:r>
          </m:sub>
        </m:sSub>
      </m:oMath>
      <w:r>
        <w:rPr/>
        <w:t xml:space="preserve"> et comportant </w:t>
      </w:r>
      <m:oMath>
        <m:sSub>
          <m:sSubPr/>
          <m:e>
            <m:r>
              <m:rPr>
                <m:sty m:val="i"/>
              </m:rPr>
              <m:t>N</m:t>
            </m:r>
          </m:e>
          <m:sub>
            <m:r>
              <m:rPr>
                <m:sty m:val="p"/>
              </m:rPr>
              <m:t>2</m:t>
            </m:r>
          </m:sub>
        </m:sSub>
      </m:oMath>
      <w:r>
        <w:rPr/>
        <w:t xml:space="preserve"> spires circulaires de rayon </w:t>
      </w:r>
      <m:oMath>
        <m:r>
          <m:rPr>
            <m:sty m:val="i"/>
          </m:rPr>
          <m:t>b</m:t>
        </m:r>
      </m:oMath>
      <w:r>
        <w:rPr>
          <w:rFonts w:eastAsia="Georgia" w:cs="Georgia" w:ascii="Georgia" w:hAnsi="Georgia"/>
        </w:rPr>
        <w:t xml:space="preserve">, située à une distance </w:t>
      </w:r>
      <m:oMath>
        <m:r>
          <m:rPr>
            <m:sty m:val="i"/>
          </m:rPr>
          <m:t>d</m:t>
        </m:r>
      </m:oMath>
      <w:r>
        <w:rPr>
          <w:rFonts w:eastAsia="Georgia" w:cs="Georgia" w:ascii="Georgia" w:hAnsi="Georgia"/>
        </w:rPr>
        <w:t xml:space="preserve"> de la bobine émettrice. On cherche à définir et exprimer le rendement de transfert de puissance entre les deux bobines, dans le cas d'un alignement parfait. On rappelle l'expression du champ magnétique créé par la bobine émettrice en un point </w:t>
      </w:r>
      <m:oMath>
        <m:r>
          <m:rPr>
            <m:sty m:val="p"/>
          </m:rPr>
          <m:t>M</m:t>
        </m:r>
        <m:r>
          <m:rPr>
            <m:sty m:val="p"/>
          </m:rPr>
          <m:t>(</m:t>
        </m:r>
        <m:r>
          <m:rPr>
            <m:sty m:val="i"/>
          </m:rPr>
          <m:t>z</m:t>
        </m:r>
        <m:r>
          <m:rPr>
            <m:sty m:val="p"/>
          </m:rPr>
          <m:t>)</m:t>
        </m:r>
      </m:oMath>
      <w:r>
        <w:rPr/>
        <w:t xml:space="preserve"> de l'axe </w:t>
      </w:r>
      <m:oMath>
        <m:r>
          <m:rPr>
            <m:sty m:val="p"/>
          </m:rPr>
          <m:t>O</m:t>
        </m:r>
        <m:r>
          <m:rPr>
            <m:sty m:val="i"/>
          </m:rPr>
          <m:t>z</m:t>
        </m:r>
      </m:oMath>
      <w:r>
        <w:rPr/>
        <w:t xml:space="preserve"> :</w:t>
      </w:r>
    </w:p>
    <w:p>
      <w:pPr>
        <w:spacing w:after="220" w:lineRule="auto"/>
      </w:pPr>
      <m:oMathPara>
        <m:oMath>
          <m:acc>
            <m:accPr>
              <m:chr m:val="⃗"/>
            </m:accPr>
            <m:e>
              <m:r>
                <m:rPr>
                  <m:sty m:val="i"/>
                </m:rPr>
                <m:t>B</m:t>
              </m:r>
            </m:e>
          </m:acc>
          <m:r>
            <m:rPr>
              <m:sty m:val="p"/>
            </m:rPr>
            <m:t>=</m:t>
          </m:r>
          <m:f>
            <m:fPr>
              <m:ctrlPr>
                <w:rPr>
                  <w:rFonts w:ascii="Cambria Math" w:hAnsi="Cambria Math"/>
                </w:rPr>
              </m:ctrlPr>
            </m:fPr>
            <m:num>
              <m:sSub>
                <m:sSubPr/>
                <m:e>
                  <m:r>
                    <m:rPr>
                      <m:sty m:val="i"/>
                    </m:rPr>
                    <m:t>μ</m:t>
                  </m:r>
                </m:e>
                <m:sub>
                  <m:r>
                    <m:rPr>
                      <m:sty m:val="p"/>
                    </m:rPr>
                    <m:t>0</m:t>
                  </m:r>
                </m:sub>
              </m:sSub>
              <m:sSub>
                <m:sSubPr/>
                <m:e>
                  <m:r>
                    <m:rPr>
                      <m:sty m:val="i"/>
                    </m:rPr>
                    <m:t>N</m:t>
                  </m:r>
                </m:e>
                <m:sub>
                  <m:r>
                    <m:rPr>
                      <m:sty m:val="p"/>
                    </m:rPr>
                    <m:t>1</m:t>
                  </m:r>
                </m:sub>
              </m:sSub>
              <m:r>
                <m:rPr>
                  <m:sty m:val="i"/>
                </m:rPr>
                <m:t>i</m:t>
              </m:r>
              <m:r>
                <m:rPr>
                  <m:sty m:val="p"/>
                </m:rPr>
                <m:t>(</m:t>
              </m:r>
              <m:r>
                <m:rPr>
                  <m:sty m:val="i"/>
                </m:rPr>
                <m:t>t</m:t>
              </m:r>
              <m:r>
                <m:rPr>
                  <m:sty m:val="p"/>
                </m:rPr>
                <m:t>)</m:t>
              </m:r>
              <m:sSup>
                <m:sSupPr/>
                <m:e>
                  <m:r>
                    <m:rPr>
                      <m:sty m:val="i"/>
                    </m:rPr>
                    <m:t>a</m:t>
                  </m:r>
                </m:e>
                <m:sup>
                  <m:r>
                    <m:rPr>
                      <m:sty m:val="p"/>
                    </m:rPr>
                    <m:t>2</m:t>
                  </m:r>
                </m:sup>
              </m:sSup>
            </m:num>
            <m:den>
              <m:r>
                <m:rPr>
                  <m:sty m:val="p"/>
                </m:rPr>
                <m:t>2</m:t>
              </m:r>
              <m:sSup>
                <m:sSupPr/>
                <m:e>
                  <m:d>
                    <m:dPr>
                      <m:begChr m:val="("/>
                      <m:endChr m:val=")"/>
                      <m:ctrlPr>
                        <w:rPr>
                          <w:rFonts w:ascii="Cambria Math" w:hAnsi="Cambria Math"/>
                        </w:rPr>
                      </m:ctrlPr>
                    </m:dPr>
                    <m:e>
                      <m:sSup>
                        <m:sSupPr/>
                        <m:e>
                          <m:r>
                            <m:rPr>
                              <m:sty m:val="i"/>
                            </m:rPr>
                            <m:t>z</m:t>
                          </m:r>
                        </m:e>
                        <m:sup>
                          <m:r>
                            <m:rPr>
                              <m:sty m:val="p"/>
                            </m:rPr>
                            <m:t>2</m:t>
                          </m:r>
                        </m:sup>
                      </m:sSup>
                      <m:r>
                        <m:rPr>
                          <m:sty m:val="p"/>
                        </m:rPr>
                        <m:t>+</m:t>
                      </m:r>
                      <m:sSup>
                        <m:sSupPr/>
                        <m:e>
                          <m:r>
                            <m:rPr>
                              <m:sty m:val="i"/>
                            </m:rPr>
                            <m:t>a</m:t>
                          </m:r>
                        </m:e>
                        <m:sup>
                          <m:r>
                            <m:rPr>
                              <m:sty m:val="p"/>
                            </m:rPr>
                            <m:t>2</m:t>
                          </m:r>
                        </m:sup>
                      </m:sSup>
                    </m:e>
                  </m:d>
                </m:e>
                <m:sup>
                  <m:r>
                    <m:rPr>
                      <m:sty m:val="p"/>
                    </m:rPr>
                    <m:t>3</m:t>
                  </m:r>
                  <m:r>
                    <m:rPr>
                      <m:sty m:val="p"/>
                    </m:rPr>
                    <m:t>/</m:t>
                  </m:r>
                  <m:r>
                    <m:rPr>
                      <m:sty m:val="p"/>
                    </m:rPr>
                    <m:t>2</m:t>
                  </m:r>
                </m:sup>
              </m:sSup>
            </m:den>
          </m:f>
          <m:sSub>
            <m:sSubPr/>
            <m:e>
              <m:acc>
                <m:accPr>
                  <m:chr m:val="⃗"/>
                </m:accPr>
                <m:e>
                  <m:r>
                    <m:rPr>
                      <m:sty m:val="i"/>
                    </m:rPr>
                    <m:t>u</m:t>
                  </m:r>
                </m:e>
              </m:acc>
            </m:e>
            <m:sub>
              <m:r>
                <m:rPr>
                  <m:sty m:val="i"/>
                </m:rPr>
                <m:t>z</m:t>
              </m:r>
            </m:sub>
          </m:sSub>
          <m:r>
            <m:rPr>
              <m:sty m:val="p"/>
            </m:rPr>
            <m:t>.</m:t>
          </m:r>
        </m:oMath>
      </m:oMathPara>
    </w:p>
    <w:p>
      <w:pPr>
        <w:spacing w:after="220" w:lineRule="auto"/>
      </w:pPr>
      <w:r>
        <w:rPr>
          <w:rFonts w:eastAsia="Georgia" w:cs="Georgia" w:ascii="Georgia" w:hAnsi="Georgia"/>
        </w:rPr>
        <w:t xml:space="preserve">Pour simplifier, on suppose ce champ magnétique uniforme dans le plan de la bobine réceptrice.</w:t>
      </w:r>
      <w:r>
        <w:rPr/>
        <w:br w:type="textWrapping"/>
      </w:r>
      <w:r>
        <w:rPr/>
        <w:t xml:space="preserve">B2. Exprimer le flux </w:t>
      </w:r>
      <m:oMath>
        <m:r>
          <m:rPr>
            <m:sty m:val="p"/>
          </m:rPr>
          <m:t>Φ</m:t>
        </m:r>
      </m:oMath>
      <w:r>
        <w:rPr>
          <w:rFonts w:eastAsia="Georgia" w:cs="Georgia" w:ascii="Georgia" w:hAnsi="Georgia"/>
        </w:rPr>
        <w:t xml:space="preserve"> du champ magnétique créé par la bobine émettrice à travers la bobine réceptrice, en fonction de </w:t>
      </w:r>
      <m:oMath>
        <m:r>
          <m:rPr>
            <m:sty m:val="i"/>
          </m:rPr>
          <m:t>i</m:t>
        </m:r>
        <m:r>
          <m:rPr>
            <m:sty m:val="p"/>
          </m:rPr>
          <m:t>(</m:t>
        </m:r>
        <m:r>
          <m:rPr>
            <m:sty m:val="i"/>
          </m:rPr>
          <m:t>t</m:t>
        </m:r>
        <m:r>
          <m:rPr>
            <m:sty m:val="p"/>
          </m:rPr>
          <m:t>)</m:t>
        </m:r>
        <m:r>
          <m:rPr>
            <m:sty m:val="p"/>
          </m:rPr>
          <m:t>,</m:t>
        </m:r>
        <m:r>
          <m:rPr>
            <m:sty m:val="i"/>
          </m:rPr>
          <m:t>a</m:t>
        </m:r>
        <m:r>
          <m:rPr>
            <m:sty m:val="p"/>
          </m:rPr>
          <m:t>,</m:t>
        </m:r>
        <m:r>
          <m:rPr>
            <m:sty m:val="i"/>
          </m:rPr>
          <m:t>b</m:t>
        </m:r>
        <m:r>
          <m:rPr>
            <m:sty m:val="p"/>
          </m:rPr>
          <m:t>,</m:t>
        </m:r>
        <m:r>
          <m:rPr>
            <m:sty m:val="i"/>
          </m:rPr>
          <m:t>d</m:t>
        </m:r>
        <m:r>
          <m:rPr>
            <m:sty m:val="p"/>
          </m:rPr>
          <m:t>,</m:t>
        </m:r>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w:t>
      </w:r>
      <w:r>
        <w:rPr/>
        <w:br w:type="textWrapping"/>
      </w:r>
      <w:r>
        <w:rPr/>
        <w:t xml:space="preserve">B3. Le courant </w:t>
      </w:r>
      <m:oMath>
        <m:r>
          <m:rPr>
            <m:sty m:val="i"/>
          </m:rPr>
          <m:t>i</m:t>
        </m:r>
        <m:r>
          <m:rPr>
            <m:sty m:val="p"/>
          </m:rPr>
          <m:t>(</m:t>
        </m:r>
        <m:r>
          <m:rPr>
            <m:sty m:val="i"/>
          </m:rPr>
          <m:t>t</m:t>
        </m:r>
        <m:r>
          <m:rPr>
            <m:sty m:val="p"/>
          </m:rPr>
          <m:t>)</m:t>
        </m:r>
      </m:oMath>
      <w:r>
        <w:rPr>
          <w:rFonts w:eastAsia="Georgia" w:cs="Georgia" w:ascii="Georgia" w:hAnsi="Georgia"/>
        </w:rPr>
        <w:t xml:space="preserve"> étant variable, il apparaît une force électromotrice (fem) </w:t>
      </w:r>
      <m:oMath>
        <m:r>
          <m:rPr>
            <m:sty m:val="i"/>
          </m:rPr>
          <m:t>e</m:t>
        </m:r>
        <m:r>
          <m:rPr>
            <m:sty m:val="p"/>
          </m:rPr>
          <m:t>(</m:t>
        </m:r>
        <m:r>
          <m:rPr>
            <m:sty m:val="i"/>
          </m:rPr>
          <m:t>t</m:t>
        </m:r>
        <m:r>
          <m:rPr>
            <m:sty m:val="p"/>
          </m:rPr>
          <m:t>)</m:t>
        </m:r>
      </m:oMath>
      <w:r>
        <w:rPr>
          <w:rFonts w:eastAsia="Georgia" w:cs="Georgia" w:ascii="Georgia" w:hAnsi="Georgia"/>
        </w:rPr>
        <w:t xml:space="preserve"> aux bornes de la bobine réceptrice. Quel phénomène est ainsi mis en évidence ? Donner l'équation locale de Maxwell à l'origine de celui-ci.</w:t>
      </w:r>
    </w:p>
    <w:p>
      <w:pPr>
        <w:spacing w:after="220" w:lineRule="auto"/>
      </w:pPr>
      <w:r>
        <w:rPr>
          <w:rFonts w:eastAsia="Georgia" w:cs="Georgia" w:ascii="Georgia" w:hAnsi="Georgia"/>
        </w:rPr>
        <w:t xml:space="preserve">B4. Après avoir nommé la loi utilisée, exprimer la fem </w:t>
      </w:r>
      <m:oMath>
        <m:r>
          <m:rPr>
            <m:sty m:val="i"/>
          </m:rPr>
          <m:t>e</m:t>
        </m:r>
        <m:r>
          <m:rPr>
            <m:sty m:val="p"/>
          </m:rPr>
          <m:t>(</m:t>
        </m:r>
        <m:r>
          <m:rPr>
            <m:sty m:val="i"/>
          </m:rPr>
          <m:t>t</m:t>
        </m:r>
        <m:r>
          <m:rPr>
            <m:sty m:val="p"/>
          </m:rPr>
          <m:t>)</m:t>
        </m:r>
      </m:oMath>
      <w:r>
        <w:rPr/>
        <w:t xml:space="preserve"> en fonction de </w:t>
      </w:r>
      <m:oMath>
        <m:sSub>
          <m:sSubPr/>
          <m:e>
            <m:r>
              <m:rPr>
                <m:sty m:val="i"/>
              </m:rPr>
              <m:t>I</m:t>
            </m:r>
          </m:e>
          <m:sub>
            <m:r>
              <m:rPr>
                <m:sty m:val="p"/>
              </m:rPr>
              <m:t>0</m:t>
            </m:r>
          </m:sub>
        </m:sSub>
        <m:r>
          <m:rPr>
            <m:sty m:val="p"/>
          </m:rPr>
          <m:t>,</m:t>
        </m:r>
        <m:r>
          <m:rPr>
            <m:sty m:val="i"/>
          </m:rPr>
          <m:t>ω</m:t>
        </m:r>
        <m:r>
          <m:rPr>
            <m:sty m:val="p"/>
          </m:rPr>
          <m:t>,</m:t>
        </m:r>
        <m:r>
          <m:rPr>
            <m:sty m:val="i"/>
          </m:rPr>
          <m:t>t</m:t>
        </m:r>
        <m:r>
          <m:rPr>
            <m:sty m:val="p"/>
          </m:rPr>
          <m:t>,</m:t>
        </m:r>
        <m:r>
          <m:rPr>
            <m:sty m:val="i"/>
          </m:rPr>
          <m:t>a</m:t>
        </m:r>
        <m:r>
          <m:rPr>
            <m:sty m:val="p"/>
          </m:rPr>
          <m:t>,</m:t>
        </m:r>
        <m:r>
          <m:rPr>
            <m:sty m:val="i"/>
          </m:rPr>
          <m:t>b</m:t>
        </m:r>
        <m:r>
          <m:rPr>
            <m:sty m:val="p"/>
          </m:rPr>
          <m:t>,</m:t>
        </m:r>
        <m:r>
          <m:rPr>
            <m:sty m:val="i"/>
          </m:rPr>
          <m:t>d</m:t>
        </m:r>
        <m:r>
          <m:rPr>
            <m:sty m:val="p"/>
          </m:rPr>
          <m:t>,</m:t>
        </m:r>
        <m:sSub>
          <m:sSubPr/>
          <m:e>
            <m:r>
              <m:rPr>
                <m:sty m:val="i"/>
              </m:rPr>
              <m:t>N</m:t>
            </m:r>
          </m:e>
          <m:sub>
            <m:r>
              <m:rPr>
                <m:sty m:val="p"/>
              </m:rPr>
              <m:t>1</m:t>
            </m:r>
          </m:sub>
        </m:sSub>
      </m:oMath>
      <w:r>
        <w:rPr/>
        <w:t xml:space="preserve"> et </w:t>
      </w:r>
      <m:oMath>
        <m:sSub>
          <m:sSubPr/>
          <m:e>
            <m:r>
              <m:rPr>
                <m:sty m:val="i"/>
              </m:rPr>
              <m:t>N</m:t>
            </m:r>
          </m:e>
          <m:sub>
            <m:r>
              <m:rPr>
                <m:sty m:val="p"/>
              </m:rPr>
              <m:t>2</m:t>
            </m:r>
          </m:sub>
        </m:sSub>
      </m:oMath>
      <w:r>
        <w:rPr>
          <w:rFonts w:eastAsia="Georgia" w:cs="Georgia" w:ascii="Georgia" w:hAnsi="Georgia"/>
        </w:rPr>
        <w:t xml:space="preserve">. On négligera le flux magnétique propre du circuit récepteur devant le flux extérieur.</w:t>
      </w:r>
    </w:p>
    <w:p>
      <w:pPr>
        <w:spacing w:after="220" w:lineRule="auto"/>
      </w:pPr>
      <w:r>
        <w:rPr>
          <w:rFonts w:eastAsia="Georgia" w:cs="Georgia" w:ascii="Georgia" w:hAnsi="Georgia"/>
        </w:rPr>
        <w:t xml:space="preserve">B5. En négligeant l'inductance propre </w:t>
      </w:r>
      <m:oMath>
        <m:sSub>
          <m:sSubPr/>
          <m:e>
            <m:r>
              <m:rPr>
                <m:sty m:val="i"/>
              </m:rPr>
              <m:t>L</m:t>
            </m:r>
          </m:e>
          <m:sub>
            <m:r>
              <m:rPr>
                <m:sty m:val="p"/>
              </m:rPr>
              <m:t>2</m:t>
            </m:r>
          </m:sub>
        </m:sSub>
      </m:oMath>
      <w:r>
        <w:rPr>
          <w:rFonts w:eastAsia="Georgia" w:cs="Georgia" w:ascii="Georgia" w:hAnsi="Georgia"/>
        </w:rPr>
        <w:t xml:space="preserve"> de la bobine réceptrice, en déduire la puissance reçue par cette dernière de la part de la bobine émettrice, notée </w:t>
      </w:r>
      <m:oMath>
        <m:sSub>
          <m:sSubPr/>
          <m:e>
            <m:r>
              <m:rPr>
                <m:sty m:val="i"/>
              </m:rPr>
              <m:t>P</m:t>
            </m:r>
          </m:e>
          <m:sub>
            <m:r>
              <m:rPr>
                <m:nor/>
              </m:rPr>
              <m:t>géné </m:t>
            </m:r>
          </m:sub>
        </m:sSub>
      </m:oMath>
      <w:r>
        <w:rPr/>
        <w:t xml:space="preserve">, puis sa moyenne temporelle </w:t>
      </w:r>
      <m:oMath>
        <m:d>
          <m:dPr>
            <m:begChr m:val="⟨"/>
            <m:endChr m:val="⟩"/>
            <m:ctrlPr>
              <w:rPr>
                <w:rFonts w:ascii="Cambria Math" w:hAnsi="Cambria Math"/>
              </w:rPr>
            </m:ctrlPr>
          </m:dPr>
          <m:e>
            <m:sSub>
              <m:sSubPr/>
              <m:e>
                <m:r>
                  <m:rPr>
                    <m:sty m:val="i"/>
                  </m:rPr>
                  <m:t>P</m:t>
                </m:r>
              </m:e>
              <m:sub>
                <m:r>
                  <m:rPr>
                    <m:nor/>
                  </m:rPr>
                  <m:t>géné </m:t>
                </m:r>
              </m:sub>
            </m:sSub>
          </m:e>
        </m:d>
      </m:oMath>
      <w:r>
        <w:rPr/>
        <w:t xml:space="preserve"> en fonction de </w:t>
      </w:r>
      <m:oMath>
        <m:sSub>
          <m:sSubPr/>
          <m:e>
            <m:r>
              <m:rPr>
                <m:sty m:val="i"/>
              </m:rPr>
              <m:t>I</m:t>
            </m:r>
          </m:e>
          <m:sub>
            <m:r>
              <m:rPr>
                <m:sty m:val="p"/>
              </m:rPr>
              <m:t>0</m:t>
            </m:r>
          </m:sub>
        </m:sSub>
        <m:r>
          <m:rPr>
            <m:sty m:val="p"/>
          </m:rPr>
          <m:t>,</m:t>
        </m:r>
        <m:r>
          <m:rPr>
            <m:sty m:val="i"/>
          </m:rPr>
          <m:t>ω</m:t>
        </m:r>
        <m:r>
          <m:rPr>
            <m:sty m:val="p"/>
          </m:rPr>
          <m:t>,</m:t>
        </m:r>
        <m:r>
          <m:rPr>
            <m:sty m:val="i"/>
          </m:rPr>
          <m:t>a</m:t>
        </m:r>
        <m:r>
          <m:rPr>
            <m:sty m:val="p"/>
          </m:rPr>
          <m:t>,</m:t>
        </m:r>
        <m:r>
          <m:rPr>
            <m:sty m:val="i"/>
          </m:rPr>
          <m:t>b</m:t>
        </m:r>
        <m:r>
          <m:rPr>
            <m:sty m:val="p"/>
          </m:rPr>
          <m:t>,</m:t>
        </m:r>
        <m:r>
          <m:rPr>
            <m:sty m:val="i"/>
          </m:rPr>
          <m:t>d</m:t>
        </m:r>
        <m:r>
          <m:rPr>
            <m:sty m:val="p"/>
          </m:rPr>
          <m:t>,</m:t>
        </m:r>
        <m:sSub>
          <m:sSubPr/>
          <m:e>
            <m:r>
              <m:rPr>
                <m:sty m:val="i"/>
              </m:rPr>
              <m:t>N</m:t>
            </m:r>
          </m:e>
          <m:sub>
            <m:r>
              <m:rPr>
                <m:sty m:val="p"/>
              </m:rPr>
              <m:t>1</m:t>
            </m:r>
          </m:sub>
        </m:sSub>
        <m:r>
          <m:rPr>
            <m:sty m:val="p"/>
          </m:rPr>
          <m:t>,</m:t>
        </m:r>
        <m:sSub>
          <m:sSubPr/>
          <m:e>
            <m:r>
              <m:rPr>
                <m:sty m:val="i"/>
              </m:rPr>
              <m:t>N</m:t>
            </m:r>
          </m:e>
          <m:sub>
            <m:r>
              <m:rPr>
                <m:sty m:val="p"/>
              </m:rPr>
              <m:t>2</m:t>
            </m:r>
          </m:sub>
        </m:sSub>
      </m:oMath>
      <w:r>
        <w:rPr/>
        <w:t xml:space="preserve"> et </w:t>
      </w:r>
      <m:oMath>
        <m:sSub>
          <m:sSubPr/>
          <m:e>
            <m:r>
              <m:rPr>
                <m:sty m:val="i"/>
              </m:rPr>
              <m:t>R</m:t>
            </m:r>
          </m:e>
          <m:sub>
            <m:r>
              <m:rPr>
                <m:sty m:val="p"/>
              </m:rPr>
              <m:t>2</m:t>
            </m:r>
          </m:sub>
        </m:sSub>
      </m:oMath>
      <w:r>
        <w:rPr/>
        <w:t xml:space="preserve">.</w:t>
      </w:r>
    </w:p>
    <w:p>
      <w:pPr>
        <w:spacing w:after="220" w:lineRule="auto"/>
      </w:pPr>
      <w:r>
        <w:rPr>
          <w:rFonts w:eastAsia="Georgia" w:cs="Georgia" w:ascii="Georgia" w:hAnsi="Georgia"/>
        </w:rPr>
        <w:t xml:space="preserve">On définit le rendement de transmission de puissance par le quotient :</w:t>
      </w:r>
    </w:p>
    <w:p>
      <w:pPr>
        <w:spacing w:after="220" w:lineRule="auto"/>
      </w:pPr>
      <m:oMathPara>
        <m:oMath>
          <m:r>
            <m:rPr>
              <m:sty m:val="i"/>
            </m:rPr>
            <m:t>η</m:t>
          </m:r>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P</m:t>
                      </m:r>
                    </m:e>
                    <m:sub>
                      <m:r>
                        <m:rPr>
                          <m:nor/>
                        </m:rPr>
                        <m:t>géné </m:t>
                      </m:r>
                    </m:sub>
                  </m:sSub>
                </m:e>
              </m:d>
            </m:num>
            <m:den>
              <m:d>
                <m:dPr>
                  <m:begChr m:val="⟨"/>
                  <m:endChr m:val="⟩"/>
                  <m:ctrlPr>
                    <w:rPr>
                      <w:rFonts w:ascii="Cambria Math" w:hAnsi="Cambria Math"/>
                    </w:rPr>
                  </m:ctrlPr>
                </m:dPr>
                <m:e>
                  <m:sSub>
                    <m:sSubPr/>
                    <m:e>
                      <m:r>
                        <m:rPr>
                          <m:sty m:val="i"/>
                        </m:rPr>
                        <m:t>P</m:t>
                      </m:r>
                    </m:e>
                    <m:sub>
                      <m:r>
                        <m:rPr>
                          <m:nor/>
                        </m:rPr>
                        <m:t>reçue </m:t>
                      </m:r>
                    </m:sub>
                  </m:sSub>
                </m:e>
              </m:d>
            </m:den>
          </m:f>
          <m:r>
            <m:rPr>
              <m:sty m:val="p"/>
            </m:rPr>
            <m:t>.</m:t>
          </m:r>
        </m:oMath>
      </m:oMathPara>
    </w:p>
    <w:p>
      <w:pPr>
        <w:spacing w:after="220" w:lineRule="auto"/>
      </w:pPr>
      <w:r>
        <w:rPr/>
        <w:t xml:space="preserve">B6. Montrer que le rendement peut se mettre sous la forme :</w:t>
      </w:r>
    </w:p>
    <w:p>
      <w:pPr>
        <w:spacing w:after="220" w:lineRule="auto"/>
      </w:pPr>
      <m:oMathPara>
        <m:oMath>
          <m:r>
            <m:rPr>
              <m:sty m:val="i"/>
            </m:rPr>
            <m:t>η</m:t>
          </m:r>
          <m:r>
            <m:rPr>
              <m:sty m:val="p"/>
            </m:rPr>
            <m:t>=</m:t>
          </m:r>
          <m:r>
            <m:rPr>
              <m:sty m:val="i"/>
            </m:rPr>
            <m:t>k</m:t>
          </m:r>
          <m:f>
            <m:fPr>
              <m:ctrlPr>
                <w:rPr>
                  <w:rFonts w:ascii="Cambria Math" w:hAnsi="Cambria Math"/>
                </w:rPr>
              </m:ctrlPr>
            </m:fPr>
            <m:num>
              <m:sSubSup>
                <m:sSubSupPr/>
                <m:e>
                  <m:r>
                    <m:rPr>
                      <m:sty m:val="i"/>
                    </m:rPr>
                    <m:t>μ</m:t>
                  </m:r>
                </m:e>
                <m:sub>
                  <m:r>
                    <m:rPr>
                      <m:sty m:val="p"/>
                    </m:rPr>
                    <m:t>0</m:t>
                  </m:r>
                </m:sub>
                <m:sup>
                  <m:r>
                    <m:rPr>
                      <m:sty m:val="p"/>
                    </m:rPr>
                    <m:t>2</m:t>
                  </m:r>
                </m:sup>
              </m:sSubSup>
              <m:sSubSup>
                <m:sSubSupPr/>
                <m:e>
                  <m:r>
                    <m:rPr>
                      <m:sty m:val="i"/>
                    </m:rPr>
                    <m:t>N</m:t>
                  </m:r>
                </m:e>
                <m:sub>
                  <m:r>
                    <m:rPr>
                      <m:sty m:val="p"/>
                    </m:rPr>
                    <m:t>1</m:t>
                  </m:r>
                </m:sub>
                <m:sup>
                  <m:r>
                    <m:rPr>
                      <m:sty m:val="p"/>
                    </m:rPr>
                    <m:t>2</m:t>
                  </m:r>
                </m:sup>
              </m:sSubSup>
              <m:sSubSup>
                <m:sSubSupPr/>
                <m:e>
                  <m:r>
                    <m:rPr>
                      <m:sty m:val="i"/>
                    </m:rPr>
                    <m:t>N</m:t>
                  </m:r>
                </m:e>
                <m:sub>
                  <m:r>
                    <m:rPr>
                      <m:sty m:val="p"/>
                    </m:rPr>
                    <m:t>2</m:t>
                  </m:r>
                </m:sub>
                <m:sup>
                  <m:r>
                    <m:rPr>
                      <m:sty m:val="p"/>
                    </m:rPr>
                    <m:t>2</m:t>
                  </m:r>
                </m:sup>
              </m:sSubSup>
              <m:sSup>
                <m:sSupPr/>
                <m:e>
                  <m:r>
                    <m:rPr>
                      <m:sty m:val="i"/>
                    </m:rPr>
                    <m:t>a</m:t>
                  </m:r>
                </m:e>
                <m:sup>
                  <m:r>
                    <m:rPr>
                      <m:sty m:val="p"/>
                    </m:rPr>
                    <m:t>4</m:t>
                  </m:r>
                </m:sup>
              </m:sSup>
              <m:sSup>
                <m:sSupPr/>
                <m:e>
                  <m:r>
                    <m:rPr>
                      <m:sty m:val="i"/>
                    </m:rPr>
                    <m:t>b</m:t>
                  </m:r>
                </m:e>
                <m:sup>
                  <m:r>
                    <m:rPr>
                      <m:sty m:val="p"/>
                    </m:rPr>
                    <m:t>4</m:t>
                  </m:r>
                </m:sup>
              </m:sSup>
              <m:sSup>
                <m:sSupPr/>
                <m:e>
                  <m:r>
                    <m:rPr>
                      <m:sty m:val="i"/>
                    </m:rPr>
                    <m:t>ω</m:t>
                  </m:r>
                </m:e>
                <m:sup>
                  <m:r>
                    <m:rPr>
                      <m:sty m:val="p"/>
                    </m:rPr>
                    <m:t>2</m:t>
                  </m:r>
                </m:sup>
              </m:sSup>
            </m:num>
            <m:den>
              <m:sSub>
                <m:sSubPr/>
                <m:e>
                  <m:r>
                    <m:rPr>
                      <m:sty m:val="i"/>
                    </m:rPr>
                    <m:t>R</m:t>
                  </m:r>
                </m:e>
                <m:sub>
                  <m:r>
                    <m:rPr>
                      <m:sty m:val="p"/>
                    </m:rPr>
                    <m:t>1</m:t>
                  </m:r>
                </m:sub>
              </m:sSub>
              <m:sSub>
                <m:sSubPr/>
                <m:e>
                  <m:r>
                    <m:rPr>
                      <m:sty m:val="i"/>
                    </m:rPr>
                    <m:t>R</m:t>
                  </m:r>
                </m:e>
                <m:sub>
                  <m:r>
                    <m:rPr>
                      <m:sty m:val="p"/>
                    </m:rPr>
                    <m:t>2</m:t>
                  </m:r>
                </m:sub>
              </m:sSub>
              <m:sSup>
                <m:sSupPr/>
                <m:e>
                  <m:d>
                    <m:dPr>
                      <m:begChr m:val="("/>
                      <m:endChr m:val=")"/>
                      <m:ctrlPr>
                        <w:rPr>
                          <w:rFonts w:ascii="Cambria Math" w:hAnsi="Cambria Math"/>
                        </w:rPr>
                      </m:ctrlPr>
                    </m:dPr>
                    <m:e>
                      <m:sSup>
                        <m:sSupPr/>
                        <m:e>
                          <m:r>
                            <m:rPr>
                              <m:sty m:val="i"/>
                            </m:rPr>
                            <m:t>d</m:t>
                          </m:r>
                        </m:e>
                        <m:sup>
                          <m:r>
                            <m:rPr>
                              <m:sty m:val="p"/>
                            </m:rPr>
                            <m:t>2</m:t>
                          </m:r>
                        </m:sup>
                      </m:sSup>
                      <m:r>
                        <m:rPr>
                          <m:sty m:val="p"/>
                        </m:rPr>
                        <m:t>+</m:t>
                      </m:r>
                      <m:sSup>
                        <m:sSupPr/>
                        <m:e>
                          <m:r>
                            <m:rPr>
                              <m:sty m:val="i"/>
                            </m:rPr>
                            <m:t>a</m:t>
                          </m:r>
                        </m:e>
                        <m:sup>
                          <m:r>
                            <m:rPr>
                              <m:sty m:val="p"/>
                            </m:rPr>
                            <m:t>2</m:t>
                          </m:r>
                        </m:sup>
                      </m:sSup>
                    </m:e>
                  </m:d>
                </m:e>
                <m:sup>
                  <m:r>
                    <m:rPr>
                      <m:sty m:val="p"/>
                    </m:rPr>
                    <m:t>3</m:t>
                  </m:r>
                </m:sup>
              </m:sSup>
            </m:den>
          </m:f>
        </m:oMath>
      </m:oMathPara>
    </w:p>
    <w:p>
      <w:pPr>
        <w:spacing w:after="220" w:lineRule="auto"/>
      </w:pPr>
      <w:r>
        <w:rPr/>
        <w:t xml:space="preserve">avec </w:t>
      </w:r>
      <m:oMath>
        <m:r>
          <m:rPr>
            <m:sty m:val="i"/>
          </m:rPr>
          <m:t>k</m:t>
        </m:r>
      </m:oMath>
      <w:r>
        <w:rPr>
          <w:rFonts w:eastAsia="Georgia" w:cs="Georgia" w:ascii="Georgia" w:hAnsi="Georgia"/>
        </w:rPr>
        <w:t xml:space="preserve"> un coefficient sans dimension à expliciter. Ce résultat constitue la loi de Yates.</w:t>
      </w:r>
    </w:p>
    <w:p>
      <w:pPr>
        <w:spacing w:line="271" w:before="330" w:lineRule="auto"/>
      </w:pPr>
      <w:r>
        <w:rPr>
          <w:rFonts w:eastAsia="Georgia" w:cs="Georgia" w:ascii="Georgia" w:hAnsi="Georgia"/>
          <w:b/>
          <w:sz w:val="42"/>
        </w:rPr>
        <w:t xml:space="preserve">C/Modélisation du couplage : inductance mutuelle</w:t>
      </w:r>
    </w:p>
    <w:p>
      <w:pPr>
        <w:spacing w:after="220" w:lineRule="auto"/>
      </w:pPr>
      <w:r>
        <w:rPr>
          <w:rFonts w:eastAsia="Georgia" w:cs="Georgia" w:ascii="Georgia" w:hAnsi="Georgia"/>
        </w:rPr>
        <w:t xml:space="preserve">On propose dans cette sous-partie une modélisation plus générale du couplage magnétique, s'affranchissant des hypothèses faites dans la sous-partie précédente. Le couplage est quantifié par l'inductance mutuelle </w:t>
      </w:r>
      <m:oMath>
        <m:r>
          <m:rPr>
            <m:sty m:val="i"/>
          </m:rPr>
          <m:t>M</m:t>
        </m:r>
      </m:oMath>
      <w:r>
        <w:rPr/>
        <w:t xml:space="preserve"> entre les deux bobines, d'inductances propres respectives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t xml:space="preserve"> (voir figure 7).</w:t>
      </w:r>
    </w:p>
    <w:p>
      <w:pPr>
        <w:spacing w:lineRule="auto"/>
        <w:jc w:val="center"/>
      </w:pPr>
      <w:r>
        <w:rPr/>
        <w:drawing>
          <wp:inline distB="0" distL="0" distR="0" distT="0">
            <wp:extent cx="4581525" cy="2590800"/>
            <wp:effectExtent b="0" l="0" r="0" t="0"/>
            <wp:docPr id="7" name="image-4404b6a746a4a02c228ee2735303cd9c315f2a3e.jpg"/>
            <a:graphic>
              <a:graphicData uri="http://schemas.openxmlformats.org/drawingml/2006/picture">
                <pic:pic>
                  <pic:nvPicPr>
                    <pic:cNvPr id="7" name="image-4404b6a746a4a02c228ee2735303cd9c315f2a3e.jpg" descr=""/>
                    <pic:cNvPicPr/>
                  </pic:nvPicPr>
                  <pic:blipFill>
                    <a:blip r:embed="rId11" cstate="print"/>
                    <a:srcRect b="0" l="0" r="0" t="0"/>
                    <a:stretch>
                      <a:fillRect/>
                    </a:stretch>
                  </pic:blipFill>
                  <pic:spPr>
                    <a:xfrm>
                      <a:off x="0" y="0"/>
                      <a:ext cx="4581525" cy="2590800"/>
                    </a:xfrm>
                    <a:prstGeom prst="rect"/>
                  </pic:spPr>
                </pic:pic>
              </a:graphicData>
            </a:graphic>
          </wp:inline>
        </w:drawing>
      </w:r>
    </w:p>
    <w:p>
      <w:pPr>
        <w:spacing w:lineRule="auto"/>
      </w:pPr>
      <w:r>
        <w:rPr>
          <w:rFonts w:eastAsia="Georgia" w:cs="Georgia" w:ascii="Georgia" w:hAnsi="Georgia"/>
        </w:rPr>
        <w:t xml:space="preserve">Figure 7 - Circuits couplés par mutuelle inductance.</w:t>
      </w:r>
    </w:p>
    <w:p>
      <w:pPr>
        <w:spacing w:after="220" w:lineRule="auto"/>
      </w:pPr>
      <w:r>
        <w:rPr>
          <w:rFonts w:eastAsia="Georgia" w:cs="Georgia" w:ascii="Georgia" w:hAnsi="Georgia"/>
        </w:rPr>
        <w:t xml:space="preserve">C1. Rappeler la définition de </w:t>
      </w:r>
      <m:oMath>
        <m:r>
          <m:rPr>
            <m:sty m:val="i"/>
          </m:rPr>
          <m:t>M</m:t>
        </m:r>
      </m:oMath>
      <w:r>
        <w:rPr/>
        <w:t xml:space="preserve">, ainsi que sa dimension.</w:t>
      </w:r>
      <w:r>
        <w:rPr/>
        <w:br w:type="textWrapping"/>
      </w:r>
      <w:r>
        <w:rPr>
          <w:rFonts w:eastAsia="Georgia" w:cs="Georgia" w:ascii="Georgia" w:hAnsi="Georgia"/>
        </w:rPr>
        <w:t xml:space="preserve">C2. En appliquant la loi des mailles dans chacun des deux circuits, établir le système d'équations électriques couplées vérifiées par les intensités </w:t>
      </w:r>
      <m:oMath>
        <m:sSub>
          <m:sSubPr/>
          <m:e>
            <m:r>
              <m:rPr>
                <m:sty m:val="i"/>
              </m:rPr>
              <m:t>i</m:t>
            </m:r>
          </m:e>
          <m:sub>
            <m:r>
              <m:rPr>
                <m:sty m:val="p"/>
              </m:rPr>
              <m:t>1</m:t>
            </m:r>
          </m:sub>
        </m:sSub>
        <m:r>
          <m:rPr>
            <m:sty m:val="p"/>
          </m:rPr>
          <m:t>(</m:t>
        </m:r>
        <m:r>
          <m:rPr>
            <m:sty m:val="i"/>
          </m:rPr>
          <m:t>t</m:t>
        </m:r>
        <m:r>
          <m:rPr>
            <m:sty m:val="p"/>
          </m:rPr>
          <m:t>)</m:t>
        </m:r>
      </m:oMath>
      <w:r>
        <w:rPr/>
        <w:t xml:space="preserve"> et </w:t>
      </w:r>
      <m:oMath>
        <m:sSub>
          <m:sSubPr/>
          <m:e>
            <m:r>
              <m:rPr>
                <m:sty m:val="i"/>
              </m:rPr>
              <m:t>i</m:t>
            </m:r>
          </m:e>
          <m:sub>
            <m:r>
              <m:rPr>
                <m:sty m:val="p"/>
              </m:rPr>
              <m:t>2</m:t>
            </m:r>
          </m:sub>
        </m:sSub>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C3. Montrer que ce système d'équations conduit au bilan de puissance</w:t>
      </w:r>
    </w:p>
    <w:p>
      <w:pPr>
        <w:spacing w:after="220" w:lineRule="auto"/>
      </w:pPr>
      <m:oMathPara>
        <m:oMath>
          <m:r>
            <m:rPr>
              <m:sty m:val="i"/>
            </m:rPr>
            <m:t>E</m:t>
          </m:r>
          <m:sSub>
            <m:sSubPr/>
            <m:e>
              <m:r>
                <m:rPr>
                  <m:sty m:val="i"/>
                </m:rPr>
                <m:t>i</m:t>
              </m:r>
            </m:e>
            <m:sub>
              <m:r>
                <m:rPr>
                  <m:sty m:val="p"/>
                </m:rPr>
                <m:t>1</m:t>
              </m:r>
            </m:sub>
          </m:sSub>
          <m:r>
            <m:rPr>
              <m:sty m:val="p"/>
            </m:rPr>
            <m:t>=</m:t>
          </m:r>
          <m:sSub>
            <m:sSubPr/>
            <m:e>
              <m:r>
                <m:rPr>
                  <m:sty m:val="i"/>
                </m:rPr>
                <m:t>R</m:t>
              </m:r>
            </m:e>
            <m:sub>
              <m:r>
                <m:rPr>
                  <m:sty m:val="p"/>
                </m:rPr>
                <m:t>1</m:t>
              </m:r>
            </m:sub>
          </m:sSub>
          <m:sSubSup>
            <m:sSubSupPr/>
            <m:e>
              <m:r>
                <m:rPr>
                  <m:sty m:val="i"/>
                </m:rPr>
                <m:t>i</m:t>
              </m:r>
            </m:e>
            <m:sub>
              <m:r>
                <m:rPr>
                  <m:sty m:val="p"/>
                </m:rPr>
                <m:t>1</m:t>
              </m:r>
            </m:sub>
            <m:sup>
              <m:r>
                <m:rPr>
                  <m:sty m:val="p"/>
                </m:rPr>
                <m:t>2</m:t>
              </m:r>
            </m:sup>
          </m:sSubSup>
          <m:r>
            <m:rPr>
              <m:sty m:val="p"/>
            </m:rPr>
            <m:t>+</m:t>
          </m:r>
          <m:sSub>
            <m:sSubPr/>
            <m:e>
              <m:r>
                <m:rPr>
                  <m:sty m:val="i"/>
                </m:rPr>
                <m:t>R</m:t>
              </m:r>
            </m:e>
            <m:sub>
              <m:r>
                <m:rPr>
                  <m:sty m:val="p"/>
                </m:rPr>
                <m:t>2</m:t>
              </m:r>
            </m:sub>
          </m:sSub>
          <m:sSubSup>
            <m:sSubSupPr/>
            <m:e>
              <m:r>
                <m:rPr>
                  <m:sty m:val="i"/>
                </m:rPr>
                <m:t>i</m:t>
              </m:r>
            </m:e>
            <m:sub>
              <m:r>
                <m:rPr>
                  <m:sty m:val="p"/>
                </m:rPr>
                <m:t>2</m:t>
              </m:r>
            </m:sub>
            <m:sup>
              <m:r>
                <m:rPr>
                  <m:sty m:val="p"/>
                </m:rPr>
                <m:t>2</m:t>
              </m:r>
            </m:sup>
          </m:sSubSup>
          <m:r>
            <m:rPr>
              <m:sty m:val="p"/>
            </m:rPr>
            <m:t>+</m:t>
          </m:r>
          <m:f>
            <m:fPr>
              <m:ctrlPr>
                <w:rPr>
                  <w:rFonts w:ascii="Cambria Math" w:hAnsi="Cambria Math"/>
                </w:rPr>
              </m:ctrlPr>
            </m:fPr>
            <m:num>
              <m:r>
                <m:rPr>
                  <m:sty m:val="p"/>
                </m:rPr>
                <m:t>d</m:t>
              </m:r>
              <m:sSub>
                <m:sSubPr/>
                <m:e>
                  <m:r>
                    <m:rPr>
                      <m:scr m:val="script"/>
                    </m:rPr>
                    <m:t>E</m:t>
                  </m:r>
                </m:e>
                <m:sub>
                  <m:r>
                    <m:rPr>
                      <m:sty m:val="p"/>
                    </m:rPr>
                    <m:t>mag</m:t>
                  </m:r>
                </m:sub>
              </m:sSub>
            </m:num>
            <m:den>
              <m:r>
                <m:rPr>
                  <m:nor/>
                </m:rPr>
                <m:t xml:space="preserve"> </m:t>
              </m:r>
              <m:r>
                <m:rPr>
                  <m:sty m:val="p"/>
                </m:rPr>
                <m:t>d</m:t>
              </m:r>
              <m:r>
                <m:rPr>
                  <m:sty m:val="i"/>
                </m:rPr>
                <m:t>t</m:t>
              </m:r>
            </m:den>
          </m:f>
        </m:oMath>
      </m:oMathPara>
    </w:p>
    <w:p>
      <w:pPr>
        <w:spacing w:after="220" w:lineRule="auto"/>
      </w:pPr>
      <w:r>
        <w:rPr/>
        <w:t xml:space="preserve">avec </w:t>
      </w:r>
      <m:oMath>
        <m:sSub>
          <m:sSubPr/>
          <m:e>
            <m:r>
              <m:rPr>
                <m:scr m:val="script"/>
              </m:rPr>
              <m:t>E</m:t>
            </m:r>
          </m:e>
          <m:sub>
            <m:r>
              <m:rPr>
                <m:nor/>
              </m:rPr>
              <m:t>mag </m:t>
            </m:r>
          </m:sub>
        </m:sSub>
      </m:oMath>
      <w:r>
        <w:rPr>
          <w:rFonts w:eastAsia="Georgia" w:cs="Georgia" w:ascii="Georgia" w:hAnsi="Georgia"/>
        </w:rPr>
        <w:t xml:space="preserve"> une quantité à exprimer en fonction de </w:t>
      </w:r>
      <m:oMath>
        <m:sSub>
          <m:sSubPr/>
          <m:e>
            <m:r>
              <m:rPr>
                <m:sty m:val="i"/>
              </m:rPr>
              <m:t>L</m:t>
            </m:r>
          </m:e>
          <m:sub>
            <m:r>
              <m:rPr>
                <m:sty m:val="p"/>
              </m:rPr>
              <m:t>1</m:t>
            </m:r>
          </m:sub>
        </m:sSub>
        <m:r>
          <m:rPr>
            <m:sty m:val="p"/>
          </m:rPr>
          <m:t>,</m:t>
        </m:r>
        <m:sSub>
          <m:sSubPr/>
          <m:e>
            <m:r>
              <m:rPr>
                <m:sty m:val="i"/>
              </m:rPr>
              <m:t>L</m:t>
            </m:r>
          </m:e>
          <m:sub>
            <m:r>
              <m:rPr>
                <m:sty m:val="p"/>
              </m:rPr>
              <m:t>2</m:t>
            </m:r>
          </m:sub>
        </m:sSub>
        <m:r>
          <m:rPr>
            <m:sty m:val="p"/>
          </m:rPr>
          <m:t>,</m:t>
        </m:r>
        <m:r>
          <m:rPr>
            <m:sty m:val="i"/>
          </m:rPr>
          <m:t>M</m:t>
        </m:r>
        <m:r>
          <m:rPr>
            <m:sty m:val="p"/>
          </m:rPr>
          <m:t>,</m:t>
        </m:r>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Interpréter ce bilan.</w:t>
      </w:r>
      <w:r>
        <w:rPr/>
        <w:br w:type="textWrapping"/>
      </w:r>
      <m:oMathPara>
        <m:oMathParaPr>
          <m:jc m:val="left"/>
        </m:oMathParaPr>
        <m:oMath>
          <m:bar>
            <m:barPr/>
            <m:e>
              <m:r>
                <m:rPr>
                  <m:sty m:val="b"/>
                </m:rPr>
                <m:t>C</m:t>
              </m:r>
              <m:r>
                <m:rPr>
                  <m:sty m:val="b"/>
                </m:rPr>
                <m:t>4</m:t>
              </m:r>
              <m:r>
                <m:rPr>
                  <m:sty m:val="b"/>
                </m:rPr>
                <m:t>.</m:t>
              </m:r>
              <m:r>
                <m:rPr>
                  <m:nor/>
                </m:rPr>
                <m:t xml:space="preserve"> </m:t>
              </m:r>
              <m:r>
                <m:rPr>
                  <m:sty m:val="b"/>
                </m:rPr>
                <m:t>O</m:t>
              </m:r>
              <m:r>
                <m:rPr>
                  <m:sty m:val="b"/>
                </m:rPr>
                <m:t>n</m:t>
              </m:r>
              <m:r>
                <m:rPr>
                  <m:nor/>
                </m:rPr>
                <m:t xml:space="preserve"> </m:t>
              </m:r>
              <m:r>
                <m:rPr>
                  <m:sty m:val="b"/>
                </m:rPr>
                <m:t>p</m:t>
              </m:r>
              <m:r>
                <m:rPr>
                  <m:sty m:val="b"/>
                </m:rPr>
                <m:t>o</m:t>
              </m:r>
              <m:r>
                <m:rPr>
                  <m:sty m:val="b"/>
                </m:rPr>
                <m:t>s</m:t>
              </m:r>
              <m:r>
                <m:rPr>
                  <m:sty m:val="b"/>
                </m:rPr>
                <m:t>e</m:t>
              </m:r>
              <m:r>
                <m:rPr>
                  <m:nor/>
                </m:rPr>
                <m:t xml:space="preserve"> </m:t>
              </m:r>
              <m:r>
                <m:rPr>
                  <m:sty m:val="b"/>
                </m:rPr>
                <m:t>l</m:t>
              </m:r>
              <m:r>
                <m:rPr>
                  <m:sty m:val="b"/>
                </m:rPr>
                <m:t>a</m:t>
              </m:r>
              <m:r>
                <m:rPr>
                  <m:nor/>
                </m:rPr>
                <m:t xml:space="preserve"> </m:t>
              </m:r>
              <m:r>
                <m:rPr>
                  <m:sty m:val="b"/>
                </m:rPr>
                <m:t>v</m:t>
              </m:r>
              <m:r>
                <m:rPr>
                  <m:sty m:val="b"/>
                </m:rPr>
                <m:t>a</m:t>
              </m:r>
              <m:r>
                <m:rPr>
                  <m:sty m:val="b"/>
                </m:rPr>
                <m:t>r</m:t>
              </m:r>
              <m:r>
                <m:rPr>
                  <m:sty m:val="b"/>
                </m:rPr>
                <m:t>i</m:t>
              </m:r>
              <m:r>
                <m:rPr>
                  <m:sty m:val="b"/>
                </m:rPr>
                <m:t>a</m:t>
              </m:r>
              <m:r>
                <m:rPr>
                  <m:sty m:val="b"/>
                </m:rPr>
                <m:t>b</m:t>
              </m:r>
              <m:r>
                <m:rPr>
                  <m:sty m:val="b"/>
                </m:rPr>
                <m:t>l</m:t>
              </m:r>
              <m:r>
                <m:rPr>
                  <m:sty m:val="b"/>
                </m:rPr>
                <m:t>e</m:t>
              </m:r>
              <m:r>
                <m:rPr>
                  <m:nor/>
                </m:rPr>
                <m:t xml:space="preserve"> </m:t>
              </m:r>
              <m:r>
                <m:rPr>
                  <m:sty m:val="b"/>
                </m:rPr>
                <m:t>a</m:t>
              </m:r>
              <m:r>
                <m:rPr>
                  <m:sty m:val="b"/>
                </m:rPr>
                <m:t>d</m:t>
              </m:r>
              <m:r>
                <m:rPr>
                  <m:sty m:val="b"/>
                </m:rPr>
                <m:t>i</m:t>
              </m:r>
              <m:r>
                <m:rPr>
                  <m:sty m:val="b"/>
                </m:rPr>
                <m:t>m</m:t>
              </m:r>
              <m:r>
                <m:rPr>
                  <m:sty m:val="b"/>
                </m:rPr>
                <m:t>e</m:t>
              </m:r>
              <m:r>
                <m:rPr>
                  <m:sty m:val="b"/>
                </m:rPr>
                <m:t>n</m:t>
              </m:r>
              <m:r>
                <m:rPr>
                  <m:sty m:val="b"/>
                </m:rPr>
                <m:t>s</m:t>
              </m:r>
              <m:r>
                <m:rPr>
                  <m:sty m:val="b"/>
                </m:rPr>
                <m:t>i</m:t>
              </m:r>
              <m:r>
                <m:rPr>
                  <m:sty m:val="b"/>
                </m:rPr>
                <m:t>o</m:t>
              </m:r>
              <m:r>
                <m:rPr>
                  <m:sty m:val="b"/>
                </m:rPr>
                <m:t>n</m:t>
              </m:r>
              <m:r>
                <m:rPr>
                  <m:sty m:val="b"/>
                </m:rPr>
                <m:t>n</m:t>
              </m:r>
              <m:r>
                <m:rPr>
                  <m:sty m:val="b"/>
                </m:rPr>
                <m:t>e</m:t>
              </m:r>
              <m:r>
                <m:rPr>
                  <m:sty m:val="b"/>
                </m:rPr>
                <m:t>́</m:t>
              </m:r>
              <m:r>
                <m:rPr>
                  <m:sty m:val="b"/>
                </m:rPr>
                <m:t>e</m:t>
              </m:r>
              <m:r>
                <m:rPr>
                  <m:nor/>
                </m:rPr>
                <m:t xml:space="preserve"> </m:t>
              </m:r>
              <m:r>
                <m:rPr>
                  <m:sty m:val="i"/>
                </m:rPr>
                <m:t>x</m:t>
              </m:r>
              <m:r>
                <m:rPr>
                  <m:sty m:val="p"/>
                </m:rPr>
                <m:t>=</m:t>
              </m:r>
              <m:sSub>
                <m:sSubPr/>
                <m:e>
                  <m:r>
                    <m:rPr>
                      <m:sty m:val="i"/>
                    </m:rPr>
                    <m:t>i</m:t>
                  </m:r>
                </m:e>
                <m:sub>
                  <m:r>
                    <m:rPr>
                      <m:sty m:val="p"/>
                    </m:rPr>
                    <m:t>1</m:t>
                  </m:r>
                </m:sub>
              </m:sSub>
              <m:r>
                <m:rPr>
                  <m:sty m:val="p"/>
                </m:rPr>
                <m:t>/</m:t>
              </m:r>
              <m:sSub>
                <m:sSubPr/>
                <m:e>
                  <m:r>
                    <m:rPr>
                      <m:sty m:val="i"/>
                    </m:rPr>
                    <m:t>i</m:t>
                  </m:r>
                </m:e>
                <m:sub>
                  <m:r>
                    <m:rPr>
                      <m:sty m:val="p"/>
                    </m:rPr>
                    <m:t>2</m:t>
                  </m:r>
                </m:sub>
              </m:sSub>
              <m:r>
                <m:rPr>
                  <m:nor/>
                </m:rPr>
                <m:t>. Mettre </m:t>
              </m:r>
              <m:sSub>
                <m:sSubPr/>
                <m:e>
                  <m:r>
                    <m:rPr>
                      <m:scr m:val="script"/>
                    </m:rPr>
                    <m:t>E</m:t>
                  </m:r>
                </m:e>
                <m:sub>
                  <m:r>
                    <m:rPr>
                      <m:nor/>
                    </m:rPr>
                    <m:t>mag </m:t>
                  </m:r>
                </m:sub>
              </m:sSub>
              <m:r>
                <m:rPr>
                  <m:nor/>
                </m:rPr>
                <m:t> sous la forme </m:t>
              </m:r>
            </m:e>
          </m:bar>
        </m:oMath>
      </m:oMathPara>
    </w:p>
    <w:p>
      <w:pPr>
        <w:spacing w:after="220" w:lineRule="auto"/>
      </w:pPr>
      <m:oMathPara>
        <m:oMath>
          <m:sSub>
            <m:sSubPr/>
            <m:e>
              <m:r>
                <m:rPr>
                  <m:scr m:val="script"/>
                </m:rPr>
                <m:t>E</m:t>
              </m:r>
            </m:e>
            <m:sub>
              <m:r>
                <m:rPr>
                  <m:sty m:val="p"/>
                </m:rPr>
                <m:t>mag</m:t>
              </m:r>
            </m:sub>
          </m:sSub>
          <m:r>
            <m:rPr>
              <m:sty m:val="p"/>
            </m:rPr>
            <m:t>=</m:t>
          </m:r>
          <m:f>
            <m:fPr>
              <m:ctrlPr>
                <w:rPr>
                  <w:rFonts w:ascii="Cambria Math" w:hAnsi="Cambria Math"/>
                </w:rPr>
              </m:ctrlPr>
            </m:fPr>
            <m:num>
              <m:r>
                <m:rPr>
                  <m:sty m:val="p"/>
                </m:rPr>
                <m:t>1</m:t>
              </m:r>
            </m:num>
            <m:den>
              <m:r>
                <m:rPr>
                  <m:sty m:val="p"/>
                </m:rPr>
                <m:t>2</m:t>
              </m:r>
            </m:den>
          </m:f>
          <m:sSubSup>
            <m:sSubSupPr/>
            <m:e>
              <m:r>
                <m:rPr>
                  <m:sty m:val="i"/>
                </m:rPr>
                <m:t>i</m:t>
              </m:r>
            </m:e>
            <m:sub>
              <m:r>
                <m:rPr>
                  <m:sty m:val="p"/>
                </m:rPr>
                <m:t>2</m:t>
              </m:r>
            </m:sub>
            <m:sup>
              <m:r>
                <m:rPr>
                  <m:sty m:val="p"/>
                </m:rPr>
                <m:t>2</m:t>
              </m:r>
            </m:sup>
          </m:sSubSup>
          <m:r>
            <m:rPr>
              <m:sty m:val="i"/>
            </m:rPr>
            <m:t>P</m:t>
          </m:r>
          <m:r>
            <m:rPr>
              <m:sty m:val="p"/>
            </m:rPr>
            <m:t>(</m:t>
          </m:r>
          <m:r>
            <m:rPr>
              <m:sty m:val="i"/>
            </m:rPr>
            <m:t>x</m:t>
          </m:r>
          <m:r>
            <m:rPr>
              <m:sty m:val="p"/>
            </m:rPr>
            <m:t>)</m:t>
          </m:r>
        </m:oMath>
      </m:oMathPara>
    </w:p>
    <w:p>
      <w:pPr>
        <w:spacing w:after="220" w:lineRule="auto"/>
      </w:pPr>
      <w:r>
        <w:rPr>
          <w:rFonts w:eastAsia="Georgia" w:cs="Georgia" w:ascii="Georgia" w:hAnsi="Georgia"/>
        </w:rPr>
        <w:t xml:space="preserve">où </w:t>
      </w:r>
      <m:oMath>
        <m:r>
          <m:rPr>
            <m:sty m:val="i"/>
          </m:rPr>
          <m:t>P</m:t>
        </m:r>
        <m:r>
          <m:rPr>
            <m:sty m:val="p"/>
          </m:rPr>
          <m:t>(</m:t>
        </m:r>
        <m:r>
          <m:rPr>
            <m:sty m:val="i"/>
          </m:rPr>
          <m:t>x</m:t>
        </m:r>
        <m:r>
          <m:rPr>
            <m:sty m:val="p"/>
          </m:rPr>
          <m:t>)</m:t>
        </m:r>
      </m:oMath>
      <w:r>
        <w:rPr>
          <w:rFonts w:eastAsia="Georgia" w:cs="Georgia" w:ascii="Georgia" w:hAnsi="Georgia"/>
        </w:rPr>
        <w:t xml:space="preserve"> est un polynôme d'ordre 2 que l'on explicitera.</w:t>
      </w:r>
      <w:r>
        <w:rPr/>
        <w:br w:type="textWrapping"/>
      </w:r>
      <w:r>
        <w:rPr/>
        <w:t xml:space="preserve">C5. En admettant que </w:t>
      </w:r>
      <m:oMath>
        <m:sSub>
          <m:sSubPr/>
          <m:e>
            <m:r>
              <m:rPr>
                <m:scr m:val="script"/>
              </m:rPr>
              <m:t>E</m:t>
            </m:r>
          </m:e>
          <m:sub>
            <m:r>
              <m:rPr>
                <m:nor/>
              </m:rPr>
              <m:t>mag </m:t>
            </m:r>
          </m:sub>
        </m:sSub>
      </m:oMath>
      <w:r>
        <w:rPr>
          <w:rFonts w:eastAsia="Georgia" w:cs="Georgia" w:ascii="Georgia" w:hAnsi="Georgia"/>
        </w:rPr>
        <w:t xml:space="preserve"> est une quantité positive, montrer que l'inductance mutuelle vérifie une inégalité de la forme </w:t>
      </w:r>
      <m:oMath>
        <m:r>
          <m:rPr>
            <m:sty m:val="i"/>
          </m:rPr>
          <m:t>M</m:t>
        </m:r>
        <m:r>
          <m:rPr>
            <m:sty m:val="p"/>
          </m:rPr>
          <m:t>≤</m:t>
        </m:r>
        <m:sSub>
          <m:sSubPr/>
          <m:e>
            <m:r>
              <m:rPr>
                <m:sty m:val="i"/>
              </m:rPr>
              <m:t>M</m:t>
            </m:r>
          </m:e>
          <m:sub>
            <m:r>
              <m:rPr>
                <m:sty m:val="p"/>
              </m:rPr>
              <m:t>max</m:t>
            </m:r>
          </m:sub>
        </m:sSub>
      </m:oMath>
      <w:r>
        <w:rPr/>
        <w:t xml:space="preserve">. Exprimer son majorant </w:t>
      </w:r>
      <m:oMath>
        <m:sSub>
          <m:sSubPr/>
          <m:e>
            <m:r>
              <m:rPr>
                <m:sty m:val="i"/>
              </m:rPr>
              <m:t>M</m:t>
            </m:r>
          </m:e>
          <m:sub>
            <m:r>
              <m:rPr>
                <m:sty m:val="p"/>
              </m:rPr>
              <m:t>max</m:t>
            </m:r>
          </m:sub>
        </m:sSub>
      </m:oMath>
      <w:r>
        <w:rPr/>
        <w:t xml:space="preserve"> en fonction de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t xml:space="preserve">.</w:t>
      </w:r>
      <w:r>
        <w:rPr/>
        <w:br w:type="textWrapping"/>
      </w:r>
      <w:r>
        <w:rPr>
          <w:rFonts w:eastAsia="Georgia" w:cs="Georgia" w:ascii="Georgia" w:hAnsi="Georgia"/>
        </w:rPr>
        <w:t xml:space="preserve">C6. Connaissez-vous d'autres applications de tels circuits couplés par mutuelle induction dans les domaines de l'industrie et de la vie courante ? Deux applications détaillées sont attendues.</w:t>
      </w:r>
    </w:p>
    <w:p>
      <w:pPr>
        <w:spacing w:line="271" w:before="330" w:lineRule="auto"/>
      </w:pPr>
      <w:r>
        <w:rPr>
          <w:rFonts w:eastAsia="Georgia" w:cs="Georgia" w:ascii="Georgia" w:hAnsi="Georgia"/>
          <w:b/>
          <w:sz w:val="42"/>
        </w:rPr>
        <w:t xml:space="preserve">D / Résultats expérimentaux</w:t>
      </w:r>
    </w:p>
    <w:p>
      <w:pPr>
        <w:spacing w:lineRule="auto"/>
        <w:jc w:val="center"/>
      </w:pPr>
      <w:r>
        <w:rPr/>
        <w:drawing>
          <wp:inline distB="0" distL="0" distR="0" distT="0">
            <wp:extent cx="5486400" cy="2672027"/>
            <wp:effectExtent b="0" l="0" r="0" t="0"/>
            <wp:docPr id="8" name="image-b1fb352f5ab6a28de3b8f1bd2e33d02153a08ee2.jpg"/>
            <a:graphic>
              <a:graphicData uri="http://schemas.openxmlformats.org/drawingml/2006/picture">
                <pic:pic>
                  <pic:nvPicPr>
                    <pic:cNvPr id="8" name="image-b1fb352f5ab6a28de3b8f1bd2e33d02153a08ee2.jpg" descr=""/>
                    <pic:cNvPicPr/>
                  </pic:nvPicPr>
                  <pic:blipFill>
                    <a:blip r:embed="rId12" cstate="print"/>
                    <a:srcRect b="0" l="0" r="0" t="0"/>
                    <a:stretch>
                      <a:fillRect/>
                    </a:stretch>
                  </pic:blipFill>
                  <pic:spPr>
                    <a:xfrm>
                      <a:off x="0" y="0"/>
                      <a:ext cx="5486400" cy="2672027"/>
                    </a:xfrm>
                    <a:prstGeom prst="rect"/>
                  </pic:spPr>
                </pic:pic>
              </a:graphicData>
            </a:graphic>
          </wp:inline>
        </w:drawing>
      </w:r>
    </w:p>
    <w:p>
      <w:pPr>
        <w:spacing w:lineRule="auto"/>
      </w:pPr>
      <w:r>
        <w:rPr>
          <w:rFonts w:eastAsia="Georgia" w:cs="Georgia" w:ascii="Georgia" w:hAnsi="Georgia"/>
        </w:rPr>
        <w:t xml:space="preserve">Figure 8 - Photographie légendée du montage expérimental.</w:t>
      </w:r>
    </w:p>
    <w:p>
      <w:pPr>
        <w:spacing w:after="220" w:lineRule="auto"/>
      </w:pPr>
      <w:r>
        <w:rPr>
          <w:rFonts w:eastAsia="Georgia" w:cs="Georgia" w:ascii="Georgia" w:hAnsi="Georgia"/>
        </w:rPr>
        <w:t xml:space="preserve">On cherche à tester expérimentalement, à partir de matériel usuel de travaux pratiques (voir figure 8), la prédiction théorique de Yates obtenue à la question </w:t>
      </w:r>
      <m:oMath>
        <m:bar>
          <m:barPr/>
          <m:e>
            <m:r>
              <m:rPr>
                <m:sty m:val="b"/>
              </m:rPr>
              <m:t>B</m:t>
            </m:r>
            <m:r>
              <m:rPr>
                <m:sty m:val="b"/>
              </m:rPr>
              <m:t>6</m:t>
            </m:r>
          </m:e>
        </m:bar>
      </m:oMath>
      <w:r>
        <w:rPr/>
        <w:t xml:space="preserve"> :</w:t>
      </w:r>
    </w:p>
    <w:p>
      <w:pPr>
        <w:spacing w:after="220" w:lineRule="auto"/>
      </w:pPr>
      <m:oMathPara>
        <m:oMath>
          <m:r>
            <m:rPr>
              <m:sty m:val="i"/>
            </m:rPr>
            <m:t>η</m:t>
          </m:r>
          <m:r>
            <m:rPr>
              <m:sty m:val="p"/>
            </m:rPr>
            <m:t>=</m:t>
          </m:r>
          <m:r>
            <m:rPr>
              <m:sty m:val="i"/>
            </m:rPr>
            <m:t>k</m:t>
          </m:r>
          <m:f>
            <m:fPr>
              <m:ctrlPr>
                <w:rPr>
                  <w:rFonts w:ascii="Cambria Math" w:hAnsi="Cambria Math"/>
                </w:rPr>
              </m:ctrlPr>
            </m:fPr>
            <m:num>
              <m:sSubSup>
                <m:sSubSupPr/>
                <m:e>
                  <m:r>
                    <m:rPr>
                      <m:sty m:val="i"/>
                    </m:rPr>
                    <m:t>μ</m:t>
                  </m:r>
                </m:e>
                <m:sub>
                  <m:r>
                    <m:rPr>
                      <m:sty m:val="p"/>
                    </m:rPr>
                    <m:t>0</m:t>
                  </m:r>
                </m:sub>
                <m:sup>
                  <m:r>
                    <m:rPr>
                      <m:sty m:val="p"/>
                    </m:rPr>
                    <m:t>2</m:t>
                  </m:r>
                </m:sup>
              </m:sSubSup>
              <m:sSubSup>
                <m:sSubSupPr/>
                <m:e>
                  <m:r>
                    <m:rPr>
                      <m:sty m:val="i"/>
                    </m:rPr>
                    <m:t>N</m:t>
                  </m:r>
                </m:e>
                <m:sub>
                  <m:r>
                    <m:rPr>
                      <m:sty m:val="p"/>
                    </m:rPr>
                    <m:t>1</m:t>
                  </m:r>
                </m:sub>
                <m:sup>
                  <m:r>
                    <m:rPr>
                      <m:sty m:val="p"/>
                    </m:rPr>
                    <m:t>2</m:t>
                  </m:r>
                </m:sup>
              </m:sSubSup>
              <m:sSubSup>
                <m:sSubSupPr/>
                <m:e>
                  <m:r>
                    <m:rPr>
                      <m:sty m:val="i"/>
                    </m:rPr>
                    <m:t>N</m:t>
                  </m:r>
                </m:e>
                <m:sub>
                  <m:r>
                    <m:rPr>
                      <m:sty m:val="p"/>
                    </m:rPr>
                    <m:t>2</m:t>
                  </m:r>
                </m:sub>
                <m:sup>
                  <m:r>
                    <m:rPr>
                      <m:sty m:val="p"/>
                    </m:rPr>
                    <m:t>2</m:t>
                  </m:r>
                </m:sup>
              </m:sSubSup>
              <m:sSup>
                <m:sSupPr/>
                <m:e>
                  <m:r>
                    <m:rPr>
                      <m:sty m:val="i"/>
                    </m:rPr>
                    <m:t>a</m:t>
                  </m:r>
                </m:e>
                <m:sup>
                  <m:r>
                    <m:rPr>
                      <m:sty m:val="p"/>
                    </m:rPr>
                    <m:t>4</m:t>
                  </m:r>
                </m:sup>
              </m:sSup>
              <m:sSup>
                <m:sSupPr/>
                <m:e>
                  <m:r>
                    <m:rPr>
                      <m:sty m:val="i"/>
                    </m:rPr>
                    <m:t>b</m:t>
                  </m:r>
                </m:e>
                <m:sup>
                  <m:r>
                    <m:rPr>
                      <m:sty m:val="p"/>
                    </m:rPr>
                    <m:t>4</m:t>
                  </m:r>
                </m:sup>
              </m:sSup>
              <m:sSup>
                <m:sSupPr/>
                <m:e>
                  <m:r>
                    <m:rPr>
                      <m:sty m:val="i"/>
                    </m:rPr>
                    <m:t>ω</m:t>
                  </m:r>
                </m:e>
                <m:sup>
                  <m:r>
                    <m:rPr>
                      <m:sty m:val="p"/>
                    </m:rPr>
                    <m:t>2</m:t>
                  </m:r>
                </m:sup>
              </m:sSup>
            </m:num>
            <m:den>
              <m:sSub>
                <m:sSubPr/>
                <m:e>
                  <m:r>
                    <m:rPr>
                      <m:sty m:val="i"/>
                    </m:rPr>
                    <m:t>R</m:t>
                  </m:r>
                </m:e>
                <m:sub>
                  <m:r>
                    <m:rPr>
                      <m:sty m:val="p"/>
                    </m:rPr>
                    <m:t>1</m:t>
                  </m:r>
                </m:sub>
              </m:sSub>
              <m:sSub>
                <m:sSubPr/>
                <m:e>
                  <m:r>
                    <m:rPr>
                      <m:sty m:val="i"/>
                    </m:rPr>
                    <m:t>R</m:t>
                  </m:r>
                </m:e>
                <m:sub>
                  <m:r>
                    <m:rPr>
                      <m:sty m:val="p"/>
                    </m:rPr>
                    <m:t>2</m:t>
                  </m:r>
                </m:sub>
              </m:sSub>
              <m:sSup>
                <m:sSupPr/>
                <m:e>
                  <m:d>
                    <m:dPr>
                      <m:begChr m:val="("/>
                      <m:endChr m:val=")"/>
                      <m:ctrlPr>
                        <w:rPr>
                          <w:rFonts w:ascii="Cambria Math" w:hAnsi="Cambria Math"/>
                        </w:rPr>
                      </m:ctrlPr>
                    </m:dPr>
                    <m:e>
                      <m:sSup>
                        <m:sSupPr/>
                        <m:e>
                          <m:r>
                            <m:rPr>
                              <m:sty m:val="i"/>
                            </m:rPr>
                            <m:t>d</m:t>
                          </m:r>
                        </m:e>
                        <m:sup>
                          <m:r>
                            <m:rPr>
                              <m:sty m:val="p"/>
                            </m:rPr>
                            <m:t>2</m:t>
                          </m:r>
                        </m:sup>
                      </m:sSup>
                      <m:r>
                        <m:rPr>
                          <m:sty m:val="p"/>
                        </m:rPr>
                        <m:t>+</m:t>
                      </m:r>
                      <m:sSup>
                        <m:sSupPr/>
                        <m:e>
                          <m:r>
                            <m:rPr>
                              <m:sty m:val="i"/>
                            </m:rPr>
                            <m:t>a</m:t>
                          </m:r>
                        </m:e>
                        <m:sup>
                          <m:r>
                            <m:rPr>
                              <m:sty m:val="p"/>
                            </m:rPr>
                            <m:t>2</m:t>
                          </m:r>
                        </m:sup>
                      </m:sSup>
                    </m:e>
                  </m:d>
                </m:e>
                <m:sup>
                  <m:r>
                    <m:rPr>
                      <m:sty m:val="p"/>
                    </m:rPr>
                    <m:t>3</m:t>
                  </m:r>
                </m:sup>
              </m:sSup>
            </m:den>
          </m:f>
          <m:r>
            <m:rPr>
              <m:sty m:val="p"/>
            </m:rPr>
            <m:t>.</m:t>
          </m:r>
        </m:oMath>
      </m:oMathPara>
    </w:p>
    <w:p>
      <w:pPr>
        <w:spacing w:after="220" w:lineRule="auto"/>
      </w:pPr>
      <w:r>
        <w:rPr>
          <w:rFonts w:eastAsia="Georgia" w:cs="Georgia" w:ascii="Georgia" w:hAnsi="Georgia"/>
        </w:rPr>
        <w:t xml:space="preserve">Un générateur basse fréquence (GBF), délivrant un signal sinusoïdal de fréquence </w:t>
      </w:r>
      <m:oMath>
        <m:r>
          <m:rPr>
            <m:sty m:val="i"/>
          </m:rPr>
          <m:t>f</m:t>
        </m:r>
      </m:oMath>
      <w:r>
        <w:rPr>
          <w:rFonts w:eastAsia="Georgia" w:cs="Georgia" w:ascii="Georgia" w:hAnsi="Georgia"/>
        </w:rPr>
        <w:t xml:space="preserve">, alimente un circuit composé d'une bobine émettrice d'inductance </w:t>
      </w:r>
      <m:oMath>
        <m:r>
          <m:rPr>
            <m:sty m:val="i"/>
          </m:rPr>
          <m:t>L</m:t>
        </m:r>
        <m:r>
          <m:rPr>
            <m:sty m:val="p"/>
          </m:rPr>
          <m:t>=</m:t>
        </m:r>
        <m:r>
          <m:rPr>
            <m:sty m:val="p"/>
          </m:rPr>
          <m:t>0</m:t>
        </m:r>
        <m:r>
          <m:rPr>
            <m:sty m:val="p"/>
          </m:rPr>
          <m:t>,</m:t>
        </m:r>
        <m:r>
          <m:rPr>
            <m:sty m:val="p"/>
          </m:rPr>
          <m:t>86</m:t>
        </m:r>
        <m:r>
          <m:rPr>
            <m:sty m:val="p"/>
          </m:rPr>
          <m:t>mH</m:t>
        </m:r>
      </m:oMath>
      <w:r>
        <w:rPr>
          <w:rFonts w:eastAsia="Georgia" w:cs="Georgia" w:ascii="Georgia" w:hAnsi="Georgia"/>
        </w:rPr>
        <w:t xml:space="preserve">, dite «bobine primaire», et d'une résistance. Un amplificateur de courant permet d'augmenter la puissance fournie à la bobine émettrice. On place à une distance </w:t>
      </w:r>
      <m:oMath>
        <m:r>
          <m:rPr>
            <m:sty m:val="i"/>
          </m:rPr>
          <m:t>d</m:t>
        </m:r>
      </m:oMath>
      <w:r>
        <w:rPr>
          <w:rFonts w:eastAsia="Georgia" w:cs="Georgia" w:ascii="Georgia" w:hAnsi="Georgia"/>
        </w:rPr>
        <w:t xml:space="preserve"> de la bobine émettrice une bobine réceptrice identique, dite «bobine secondaire », mise en série avec une résistance. Deux oscilloscopes permettent de mesurer les puissances moyennes reçues par les bobines émettrice et réceptrice. Les bobines étant accolées, on étudie tout d'abord la variation du rendement </w:t>
      </w:r>
      <m:oMath>
        <m:r>
          <m:rPr>
            <m:sty m:val="i"/>
          </m:rPr>
          <m:t>η</m:t>
        </m:r>
      </m:oMath>
      <w:r>
        <w:rPr>
          <w:rFonts w:eastAsia="Georgia" w:cs="Georgia" w:ascii="Georgia" w:hAnsi="Georgia"/>
        </w:rPr>
        <w:t xml:space="preserve"> avec la fréquence </w:t>
      </w:r>
      <m:oMath>
        <m:r>
          <m:rPr>
            <m:sty m:val="i"/>
          </m:rPr>
          <m:t>f</m:t>
        </m:r>
      </m:oMath>
      <w:r>
        <w:rPr>
          <w:rFonts w:eastAsia="Georgia" w:cs="Georgia" w:ascii="Georgia" w:hAnsi="Georgia"/>
        </w:rPr>
        <w:t xml:space="preserve"> imposée par le GBF, tous les autres paramètres demeurant constants (voir figure 9).</w:t>
      </w:r>
    </w:p>
    <w:p>
      <w:pPr>
        <w:spacing w:lineRule="auto"/>
        <w:jc w:val="center"/>
      </w:pPr>
      <w:r>
        <w:rPr/>
        <w:drawing>
          <wp:inline distB="0" distL="0" distR="0" distT="0">
            <wp:extent cx="5486400" cy="3017520"/>
            <wp:effectExtent b="0" l="0" r="0" t="0"/>
            <wp:docPr id="9" name="image-0b049649d1c23d947e565e55648c0819919ea443.jpg"/>
            <a:graphic>
              <a:graphicData uri="http://schemas.openxmlformats.org/drawingml/2006/picture">
                <pic:pic>
                  <pic:nvPicPr>
                    <pic:cNvPr id="9" name="image-0b049649d1c23d947e565e55648c0819919ea443.jpg" descr=""/>
                    <pic:cNvPicPr/>
                  </pic:nvPicPr>
                  <pic:blipFill>
                    <a:blip r:embed="rId13" cstate="print"/>
                    <a:srcRect b="0" l="0" r="0" t="0"/>
                    <a:stretch>
                      <a:fillRect/>
                    </a:stretch>
                  </pic:blipFill>
                  <pic:spPr>
                    <a:xfrm>
                      <a:off x="0" y="0"/>
                      <a:ext cx="5486400" cy="3017520"/>
                    </a:xfrm>
                    <a:prstGeom prst="rect"/>
                  </pic:spPr>
                </pic:pic>
              </a:graphicData>
            </a:graphic>
          </wp:inline>
        </w:drawing>
      </w:r>
    </w:p>
    <w:p>
      <w:pPr>
        <w:spacing w:lineRule="auto"/>
      </w:pPr>
      <w:r>
        <w:rPr>
          <w:rFonts w:eastAsia="Georgia" w:cs="Georgia" w:ascii="Georgia" w:hAnsi="Georgia"/>
        </w:rPr>
        <w:t xml:space="preserve">Figure 9 - Évolution du rendement en fonction de la fréquence.</w:t>
      </w:r>
    </w:p>
    <w:p>
      <w:pPr>
        <w:spacing w:after="220" w:lineRule="auto"/>
      </w:pPr>
      <w:r>
        <w:rPr>
          <w:rFonts w:eastAsia="Georgia" w:cs="Georgia" w:ascii="Georgia" w:hAnsi="Georgia"/>
        </w:rPr>
        <w:t xml:space="preserve">D1. Estimer le rendement expérimental maximal </w:t>
      </w:r>
      <m:oMath>
        <m:sSub>
          <m:sSubPr/>
          <m:e>
            <m:r>
              <m:rPr>
                <m:sty m:val="i"/>
              </m:rPr>
              <m:t>η</m:t>
            </m:r>
          </m:e>
          <m:sub>
            <m:r>
              <m:rPr>
                <m:sty m:val="p"/>
              </m:rPr>
              <m:t>max</m:t>
            </m:r>
          </m:sub>
        </m:sSub>
      </m:oMath>
      <w:r>
        <w:rPr>
          <w:rFonts w:eastAsia="Georgia" w:cs="Georgia" w:ascii="Georgia" w:hAnsi="Georgia"/>
        </w:rPr>
        <w:t xml:space="preserve">, ainsi que la fréquence </w:t>
      </w:r>
      <m:oMath>
        <m:sSub>
          <m:sSubPr/>
          <m:e>
            <m:r>
              <m:rPr>
                <m:sty m:val="i"/>
              </m:rPr>
              <m:t>f</m:t>
            </m:r>
          </m:e>
          <m:sub>
            <m:r>
              <m:rPr>
                <m:sty m:val="p"/>
              </m:rPr>
              <m:t>max</m:t>
            </m:r>
          </m:sub>
        </m:sSub>
      </m:oMath>
      <w:r>
        <w:rPr>
          <w:rFonts w:eastAsia="Georgia" w:cs="Georgia" w:ascii="Georgia" w:hAnsi="Georgia"/>
        </w:rPr>
        <w:t xml:space="preserve"> à laquelle celui-ci est atteint.</w:t>
      </w:r>
      <w:r>
        <w:rPr/>
        <w:br w:type="textWrapping"/>
      </w:r>
      <w:r>
        <w:rPr>
          <w:rFonts w:eastAsia="Georgia" w:cs="Georgia" w:ascii="Georgia" w:hAnsi="Georgia"/>
        </w:rPr>
        <w:t xml:space="preserve">D2. Quel comportement en fréquence pouvait-on prévoir par la loi théorique de Yates ? Ce comportement est-il vérifié expérimentalement? On pourra distinguer le cas des basses et hautes fréquences.</w:t>
      </w:r>
      <w:r>
        <w:rPr/>
        <w:br w:type="textWrapping"/>
      </w:r>
      <w:r>
        <w:rPr>
          <w:rFonts w:eastAsia="Georgia" w:cs="Georgia" w:ascii="Georgia" w:hAnsi="Georgia"/>
        </w:rPr>
        <w:t xml:space="preserve">En réalité, chaque bobine souffre d'effets capacitifs associés aux différents matériaux isolants séparant les spires. On propose de déterminer un ordre de grandeur de cette capacité parasite </w:t>
      </w:r>
      <m:oMath>
        <m:sSub>
          <m:sSubPr/>
          <m:e>
            <m:r>
              <m:rPr>
                <m:sty m:val="i"/>
              </m:rPr>
              <m:t>C</m:t>
            </m:r>
          </m:e>
          <m:sub>
            <m:r>
              <m:rPr>
                <m:sty m:val="p"/>
              </m:rPr>
              <m:t>p</m:t>
            </m:r>
          </m:sub>
        </m:sSub>
      </m:oMath>
      <w:r>
        <w:rPr/>
        <w:t xml:space="preserve">.</w:t>
      </w:r>
      <w:r>
        <w:rPr/>
        <w:br w:type="textWrapping"/>
      </w:r>
      <w:r>
        <w:rPr/>
        <w:t xml:space="preserve">D3. Rappeler l'expression de la pulsation propre </w:t>
      </w:r>
      <m:oMath>
        <m:sSub>
          <m:sSubPr/>
          <m:e>
            <m:r>
              <m:rPr>
                <m:sty m:val="i"/>
              </m:rPr>
              <m:t>ω</m:t>
            </m:r>
          </m:e>
          <m:sub>
            <m:r>
              <m:rPr>
                <m:sty m:val="p"/>
              </m:rPr>
              <m:t>0</m:t>
            </m:r>
          </m:sub>
        </m:sSub>
      </m:oMath>
      <w:r>
        <w:rPr>
          <w:rFonts w:eastAsia="Georgia" w:cs="Georgia" w:ascii="Georgia" w:hAnsi="Georgia"/>
        </w:rPr>
        <w:t xml:space="preserve"> d'un oscillateur électronique LC en fonction de </w:t>
      </w:r>
      <m:oMath>
        <m:r>
          <m:rPr>
            <m:sty m:val="i"/>
          </m:rPr>
          <m:t>L</m:t>
        </m:r>
      </m:oMath>
      <w:r>
        <w:rPr/>
        <w:t xml:space="preserve"> et </w:t>
      </w:r>
      <m:oMath>
        <m:r>
          <m:rPr>
            <m:sty m:val="i"/>
          </m:rPr>
          <m:t>C</m:t>
        </m:r>
      </m:oMath>
      <w:r>
        <w:rPr/>
        <w:t xml:space="preserve">.</w:t>
      </w:r>
      <w:r>
        <w:rPr/>
        <w:br w:type="textWrapping"/>
      </w:r>
      <w:r>
        <w:rPr/>
        <w:t xml:space="preserve">D4. En supposant que le rendement soit maximal pour la pulsation </w:t>
      </w:r>
      <m:oMath>
        <m:sSub>
          <m:sSubPr/>
          <m:e>
            <m:r>
              <m:rPr>
                <m:sty m:val="i"/>
              </m:rPr>
              <m:t>ω</m:t>
            </m:r>
          </m:e>
          <m:sub>
            <m:r>
              <m:rPr>
                <m:sty m:val="p"/>
              </m:rPr>
              <m:t>0</m:t>
            </m:r>
          </m:sub>
        </m:sSub>
      </m:oMath>
      <w:r>
        <w:rPr>
          <w:rFonts w:eastAsia="Georgia" w:cs="Georgia" w:ascii="Georgia" w:hAnsi="Georgia"/>
        </w:rPr>
        <w:t xml:space="preserve">, en déduire la valeur de </w:t>
      </w:r>
      <m:oMath>
        <m:sSub>
          <m:sSubPr/>
          <m:e>
            <m:r>
              <m:rPr>
                <m:sty m:val="i"/>
              </m:rPr>
              <m:t>C</m:t>
            </m:r>
          </m:e>
          <m:sub>
            <m:r>
              <m:rPr>
                <m:sty m:val="p"/>
              </m:rPr>
              <m:t>p</m:t>
            </m:r>
          </m:sub>
        </m:sSub>
      </m:oMath>
      <w:r>
        <w:rPr/>
        <w:t xml:space="preserve">.</w:t>
      </w:r>
      <w:r>
        <w:rPr/>
        <w:br w:type="textWrapping"/>
      </w:r>
      <w:r>
        <w:rPr>
          <w:rFonts w:eastAsia="Georgia" w:cs="Georgia" w:ascii="Georgia" w:hAnsi="Georgia"/>
        </w:rPr>
        <w:t xml:space="preserve">On cherche ensuite à sonder expérimentalement l'influence d'un désalignement des bobines sur le rendement. Les résultats sont présentés sur la figure 10 .</w:t>
      </w:r>
    </w:p>
    <w:p>
      <w:pPr>
        <w:spacing w:lineRule="auto"/>
        <w:jc w:val="center"/>
      </w:pPr>
      <w:r>
        <w:rPr/>
        <w:drawing>
          <wp:inline distB="0" distL="0" distR="0" distT="0">
            <wp:extent cx="3543300" cy="4600575"/>
            <wp:effectExtent b="0" l="0" r="0" t="0"/>
            <wp:docPr id="10" name="image-7ba3ddc7f3481917d33d0c029dc513a448429165.jpg"/>
            <a:graphic>
              <a:graphicData uri="http://schemas.openxmlformats.org/drawingml/2006/picture">
                <pic:pic>
                  <pic:nvPicPr>
                    <pic:cNvPr id="10" name="image-7ba3ddc7f3481917d33d0c029dc513a448429165.jpg" descr=""/>
                    <pic:cNvPicPr/>
                  </pic:nvPicPr>
                  <pic:blipFill>
                    <a:blip r:embed="rId14" cstate="print"/>
                    <a:srcRect b="0" l="0" r="0" t="0"/>
                    <a:stretch>
                      <a:fillRect/>
                    </a:stretch>
                  </pic:blipFill>
                  <pic:spPr>
                    <a:xfrm>
                      <a:off x="0" y="0"/>
                      <a:ext cx="3543300" cy="4600575"/>
                    </a:xfrm>
                    <a:prstGeom prst="rect"/>
                  </pic:spPr>
                </pic:pic>
              </a:graphicData>
            </a:graphic>
          </wp:inline>
        </w:drawing>
      </w:r>
    </w:p>
    <w:p>
      <w:pPr>
        <w:spacing w:lineRule="auto"/>
      </w:pPr>
      <w:r>
        <w:rPr>
          <w:rFonts w:eastAsia="Georgia" w:cs="Georgia" w:ascii="Georgia" w:hAnsi="Georgia"/>
        </w:rPr>
        <w:t xml:space="preserve">Figure 10 - Évolution du rendement en fonction du désalignement entre les bobines. Chaque série de mesures est effectuée à écartement longitudinal entre bobines </w:t>
      </w:r>
      <m:oMath>
        <m:r>
          <m:rPr>
            <m:sty m:val="i"/>
          </m:rPr>
          <m:t>d</m:t>
        </m:r>
      </m:oMath>
      <w:r>
        <w:rPr>
          <w:rFonts w:eastAsia="Georgia" w:cs="Georgia" w:ascii="Georgia" w:hAnsi="Georgia"/>
        </w:rPr>
        <w:t xml:space="preserve"> fixé.</w:t>
      </w:r>
    </w:p>
    <w:p>
      <w:pPr>
        <w:spacing w:lineRule="auto"/>
        <w:jc w:val="center"/>
      </w:pPr>
      <w:r>
        <w:rPr/>
        <w:drawing>
          <wp:inline distB="0" distL="0" distR="0" distT="0">
            <wp:extent cx="5486400" cy="3969234"/>
            <wp:effectExtent b="0" l="0" r="0" t="0"/>
            <wp:docPr id="11" name="image-1aec537410853e623fb4791c2891e894d876dd9a.jpg"/>
            <a:graphic>
              <a:graphicData uri="http://schemas.openxmlformats.org/drawingml/2006/picture">
                <pic:pic>
                  <pic:nvPicPr>
                    <pic:cNvPr id="11" name="image-1aec537410853e623fb4791c2891e894d876dd9a.jpg" descr=""/>
                    <pic:cNvPicPr/>
                  </pic:nvPicPr>
                  <pic:blipFill>
                    <a:blip r:embed="rId15" cstate="print"/>
                    <a:srcRect b="0" l="0" r="0" t="0"/>
                    <a:stretch>
                      <a:fillRect/>
                    </a:stretch>
                  </pic:blipFill>
                  <pic:spPr>
                    <a:xfrm>
                      <a:off x="0" y="0"/>
                      <a:ext cx="5486400" cy="3969234"/>
                    </a:xfrm>
                    <a:prstGeom prst="rect"/>
                  </pic:spPr>
                </pic:pic>
              </a:graphicData>
            </a:graphic>
          </wp:inline>
        </w:drawing>
      </w:r>
    </w:p>
    <w:p>
      <w:pPr>
        <w:spacing w:after="220" w:lineRule="auto"/>
      </w:pPr>
      <w:r>
        <w:rPr>
          <w:rFonts w:eastAsia="Georgia" w:cs="Georgia" w:ascii="Georgia" w:hAnsi="Georgia"/>
        </w:rPr>
        <w:t xml:space="preserve">D5. Interpréter l'évolution observée. Justifier qualitativement que l'effondrement du rendement soit plus important lorsque </w:t>
      </w:r>
      <m:oMath>
        <m:r>
          <m:rPr>
            <m:sty m:val="i"/>
          </m:rPr>
          <m:t>d</m:t>
        </m:r>
      </m:oMath>
      <w:r>
        <w:rPr/>
        <w:t xml:space="preserve"> est petit.</w:t>
      </w:r>
      <w:r>
        <w:rPr/>
        <w:br w:type="textWrapping"/>
      </w:r>
      <w:r>
        <w:rPr>
          <w:rFonts w:eastAsia="Georgia" w:cs="Georgia" w:ascii="Georgia" w:hAnsi="Georgia"/>
        </w:rPr>
        <w:t xml:space="preserve">On sonde enfin l'influence de l'orientation relative des bobines sur le rendement. Les résultats sont reportés sur la figure 11.</w:t>
      </w:r>
    </w:p>
    <w:p>
      <w:pPr>
        <w:spacing w:lineRule="auto"/>
        <w:jc w:val="center"/>
      </w:pPr>
      <w:r>
        <w:rPr/>
        <w:drawing>
          <wp:inline distB="0" distL="0" distR="0" distT="0">
            <wp:extent cx="5486400" cy="2177638"/>
            <wp:effectExtent b="0" l="0" r="0" t="0"/>
            <wp:docPr id="12" name="image-c2c0258a073b5bc943e30551101ed37f8e923d30.jpg"/>
            <a:graphic>
              <a:graphicData uri="http://schemas.openxmlformats.org/drawingml/2006/picture">
                <pic:pic>
                  <pic:nvPicPr>
                    <pic:cNvPr id="12" name="image-c2c0258a073b5bc943e30551101ed37f8e923d30.jpg" descr=""/>
                    <pic:cNvPicPr/>
                  </pic:nvPicPr>
                  <pic:blipFill>
                    <a:blip r:embed="rId16" cstate="print"/>
                    <a:srcRect b="0" l="0" r="0" t="0"/>
                    <a:stretch>
                      <a:fillRect/>
                    </a:stretch>
                  </pic:blipFill>
                  <pic:spPr>
                    <a:xfrm>
                      <a:off x="0" y="0"/>
                      <a:ext cx="5486400" cy="2177638"/>
                    </a:xfrm>
                    <a:prstGeom prst="rect"/>
                  </pic:spPr>
                </pic:pic>
              </a:graphicData>
            </a:graphic>
          </wp:inline>
        </w:drawing>
      </w:r>
    </w:p>
    <w:p>
      <w:pPr>
        <w:spacing w:lineRule="auto"/>
      </w:pPr>
      <w:r>
        <w:rPr>
          <w:rFonts w:eastAsia="Georgia" w:cs="Georgia" w:ascii="Georgia" w:hAnsi="Georgia"/>
        </w:rPr>
        <w:t xml:space="preserve">Figure 11 - Évolution du rendement en fonction de l'angle entre les bobines.</w:t>
      </w:r>
    </w:p>
    <w:p>
      <w:pPr>
        <w:spacing w:after="220" w:lineRule="auto"/>
      </w:pPr>
      <w:r>
        <w:rPr>
          <w:rFonts w:eastAsia="Georgia" w:cs="Georgia" w:ascii="Georgia" w:hAnsi="Georgia"/>
        </w:rPr>
        <w:t xml:space="preserve">D6. Commenter les résultats obtenus. Proposer une justification qualitative, en lien avec les cartes de champ représentées sur la figure 5, permettant de comprendre le contraste avec les résultats obtenus à la question </w:t>
      </w:r>
      <m:oMath>
        <m:bar>
          <m:barPr/>
          <m:e>
            <m:r>
              <m:rPr>
                <m:sty m:val="b"/>
              </m:rPr>
              <m:t>D</m:t>
            </m:r>
            <m:r>
              <m:rPr>
                <m:sty m:val="b"/>
              </m:rPr>
              <m:t>5</m:t>
            </m:r>
          </m:e>
        </m:bar>
      </m:oMath>
      <w:r>
        <w:rPr/>
        <w:t xml:space="preserve">.</w:t>
      </w:r>
    </w:p>
    <w:p>
      <w:pPr>
        <w:spacing w:line="271" w:before="330" w:lineRule="auto"/>
      </w:pPr>
      <w:r>
        <w:rPr>
          <w:rFonts w:eastAsia="Georgia" w:cs="Georgia" w:ascii="Georgia" w:hAnsi="Georgia"/>
          <w:b/>
          <w:sz w:val="42"/>
        </w:rPr>
        <w:t xml:space="preserve">COUPLAGE INDUCTIF RÉSONANT</w:t>
      </w:r>
    </w:p>
    <w:p>
      <w:pPr>
        <w:spacing w:line="271" w:before="330" w:lineRule="auto"/>
      </w:pPr>
      <w:r>
        <w:rPr>
          <w:b/>
          <w:sz w:val="42"/>
        </w:rPr>
        <w:t xml:space="preserve">E / Fonction de transfert</w:t>
      </w:r>
    </w:p>
    <w:p>
      <w:pPr>
        <w:spacing w:after="220" w:lineRule="auto"/>
      </w:pPr>
      <w:r>
        <w:rPr>
          <w:rFonts w:eastAsia="Georgia" w:cs="Georgia" w:ascii="Georgia" w:hAnsi="Georgia"/>
        </w:rPr>
        <w:t xml:space="preserve">Pour observer un couplage inductif résonant, ajoutons au montage de la sous-partie C des condensateurs identiques de capacité </w:t>
      </w:r>
      <m:oMath>
        <m:r>
          <m:rPr>
            <m:sty m:val="i"/>
          </m:rPr>
          <m:t>C</m:t>
        </m:r>
      </m:oMath>
      <w:r>
        <w:rPr>
          <w:rFonts w:eastAsia="Georgia" w:cs="Georgia" w:ascii="Georgia" w:hAnsi="Georgia"/>
        </w:rPr>
        <w:t xml:space="preserve"> dans les circuits primaire et secondaire. On définit le coefficient de couplage </w:t>
      </w:r>
      <m:oMath>
        <m:r>
          <m:rPr>
            <m:sty m:val="i"/>
          </m:rPr>
          <m:t>k</m:t>
        </m:r>
        <m:r>
          <m:rPr>
            <m:sty m:val="p"/>
          </m:rPr>
          <m:t>=</m:t>
        </m:r>
        <m:r>
          <m:rPr>
            <m:sty m:val="i"/>
          </m:rPr>
          <m:t>M</m:t>
        </m:r>
        <m:r>
          <m:rPr>
            <m:sty m:val="p"/>
          </m:rPr>
          <m:t>/</m:t>
        </m:r>
        <m:sSub>
          <m:sSubPr/>
          <m:e>
            <m:r>
              <m:rPr>
                <m:sty m:val="i"/>
              </m:rPr>
              <m:t>M</m:t>
            </m:r>
          </m:e>
          <m:sub>
            <m:r>
              <m:rPr>
                <m:nor/>
              </m:rPr>
              <m:t>max </m:t>
            </m:r>
          </m:sub>
        </m:sSub>
      </m:oMath>
      <w:r>
        <w:rPr/>
        <w:t xml:space="preserve"> entre les deux circuits, </w:t>
      </w:r>
      <m:oMath>
        <m:r>
          <m:rPr>
            <m:sty m:val="i"/>
          </m:rPr>
          <m:t>M</m:t>
        </m:r>
      </m:oMath>
      <w:r>
        <w:rPr>
          <w:rFonts w:eastAsia="Georgia" w:cs="Georgia" w:ascii="Georgia" w:hAnsi="Georgia"/>
        </w:rPr>
        <w:t xml:space="preserve"> représentant l'inductance mutuelle. Du point de vue des calculs, les circuits couplés sont équivalents au circuit représenté sur la figure 12.</w:t>
      </w:r>
    </w:p>
    <w:p>
      <w:pPr>
        <w:spacing w:lineRule="auto"/>
        <w:jc w:val="center"/>
      </w:pPr>
      <w:r>
        <w:rPr/>
        <w:drawing>
          <wp:inline distB="0" distL="0" distR="0" distT="0">
            <wp:extent cx="5486400" cy="1719437"/>
            <wp:effectExtent b="0" l="0" r="0" t="0"/>
            <wp:docPr id="13" name="image-39dc9f32ac39ae3d82063ae287664785e03b77c7.jpg"/>
            <a:graphic>
              <a:graphicData uri="http://schemas.openxmlformats.org/drawingml/2006/picture">
                <pic:pic>
                  <pic:nvPicPr>
                    <pic:cNvPr id="13" name="image-39dc9f32ac39ae3d82063ae287664785e03b77c7.jpg" descr=""/>
                    <pic:cNvPicPr/>
                  </pic:nvPicPr>
                  <pic:blipFill>
                    <a:blip r:embed="rId17" cstate="print"/>
                    <a:srcRect b="0" l="0" r="0" t="0"/>
                    <a:stretch>
                      <a:fillRect/>
                    </a:stretch>
                  </pic:blipFill>
                  <pic:spPr>
                    <a:xfrm>
                      <a:off x="0" y="0"/>
                      <a:ext cx="5486400" cy="1719437"/>
                    </a:xfrm>
                    <a:prstGeom prst="rect"/>
                  </pic:spPr>
                </pic:pic>
              </a:graphicData>
            </a:graphic>
          </wp:inline>
        </w:drawing>
      </w:r>
    </w:p>
    <w:p>
      <w:pPr>
        <w:spacing w:lineRule="auto"/>
      </w:pPr>
      <w:r>
        <w:rPr>
          <w:rFonts w:eastAsia="Georgia" w:cs="Georgia" w:ascii="Georgia" w:hAnsi="Georgia"/>
        </w:rPr>
        <w:t xml:space="preserve">Figure 12 - Circuit électrique équivalent ramené au primaire.</w:t>
      </w:r>
    </w:p>
    <w:p>
      <w:pPr>
        <w:spacing w:after="220" w:lineRule="auto"/>
      </w:pPr>
      <w:r>
        <w:rPr/>
        <w:t xml:space="preserve">On fournit ci-dessous sa fonction de transfert en sortie ouverte :</w:t>
      </w:r>
    </w:p>
    <w:p>
      <w:pPr>
        <w:spacing w:after="220" w:lineRule="auto"/>
      </w:pPr>
      <m:oMathPara>
        <m:oMath>
          <m:bar>
            <m:barPr/>
            <m:e>
              <m:r>
                <m:rPr>
                  <m:sty m:val="i"/>
                </m:rPr>
                <m:t>H</m:t>
              </m:r>
            </m:e>
          </m:bar>
          <m:r>
            <m:rPr>
              <m:sty m:val="p"/>
            </m:rPr>
            <m:t>=</m:t>
          </m:r>
          <m:f>
            <m:fPr>
              <m:ctrlPr>
                <w:rPr>
                  <w:rFonts w:ascii="Cambria Math" w:hAnsi="Cambria Math"/>
                </w:rPr>
              </m:ctrlPr>
            </m:fPr>
            <m:num>
              <m:sSub>
                <m:sSubPr/>
                <m:e>
                  <m:bar>
                    <m:barPr/>
                    <m:e>
                      <m:r>
                        <m:rPr>
                          <m:sty m:val="i"/>
                        </m:rPr>
                        <m:t>v</m:t>
                      </m:r>
                    </m:e>
                  </m:bar>
                </m:e>
                <m:sub>
                  <m:r>
                    <m:rPr>
                      <m:sty m:val="p"/>
                    </m:rPr>
                    <m:t>2</m:t>
                  </m:r>
                </m:sub>
              </m:sSub>
            </m:num>
            <m:den>
              <m:sSub>
                <m:sSubPr/>
                <m:e>
                  <m:bar>
                    <m:barPr/>
                    <m:e>
                      <m:r>
                        <m:rPr>
                          <m:sty m:val="i"/>
                        </m:rPr>
                        <m:t>v</m:t>
                      </m:r>
                    </m:e>
                  </m:bar>
                </m:e>
                <m:sub>
                  <m:r>
                    <m:rPr>
                      <m:sty m:val="p"/>
                    </m:rPr>
                    <m:t>1</m:t>
                  </m:r>
                </m:sub>
              </m:sSub>
            </m:den>
          </m:f>
          <m:r>
            <m:rPr>
              <m:sty m:val="p"/>
            </m:rPr>
            <m:t>=</m:t>
          </m:r>
          <m:f>
            <m:fPr>
              <m:ctrlPr>
                <w:rPr>
                  <w:rFonts w:ascii="Cambria Math" w:hAnsi="Cambria Math"/>
                </w:rPr>
              </m:ctrlPr>
            </m:fPr>
            <m:num>
              <m:r>
                <m:rPr>
                  <m:sty m:val="p"/>
                </m:rPr>
                <m:t>j</m:t>
              </m:r>
              <m:r>
                <m:rPr>
                  <m:sty m:val="i"/>
                </m:rPr>
                <m:t>ω</m:t>
              </m:r>
              <m:r>
                <m:rPr>
                  <m:sty m:val="i"/>
                </m:rPr>
                <m:t>L</m:t>
              </m:r>
              <m:r>
                <m:rPr>
                  <m:sty m:val="i"/>
                </m:rPr>
                <m:t>k</m:t>
              </m:r>
            </m:num>
            <m:den>
              <m:r>
                <m:rPr>
                  <m:sty m:val="i"/>
                </m:rPr>
                <m:t>R</m:t>
              </m:r>
              <m:r>
                <m:rPr>
                  <m:sty m:val="p"/>
                </m:rPr>
                <m:t>+</m:t>
              </m:r>
              <m:r>
                <m:rPr>
                  <m:sty m:val="p"/>
                </m:rPr>
                <m:t>j</m:t>
              </m:r>
              <m:r>
                <m:rPr>
                  <m:sty m:val="i"/>
                </m:rPr>
                <m:t>ω</m:t>
              </m:r>
              <m:d>
                <m:dPr>
                  <m:begChr m:val="("/>
                  <m:endChr m:val=")"/>
                  <m:ctrlPr>
                    <w:rPr>
                      <w:rFonts w:ascii="Cambria Math" w:hAnsi="Cambria Math"/>
                    </w:rPr>
                  </m:ctrlPr>
                </m:dPr>
                <m:e>
                  <m:r>
                    <m:rPr>
                      <m:sty m:val="i"/>
                    </m:rPr>
                    <m:t>L</m:t>
                  </m:r>
                  <m:r>
                    <m:rPr>
                      <m:sty m:val="p"/>
                    </m:rPr>
                    <m:t>+</m:t>
                  </m:r>
                  <m:sSup>
                    <m:sSupPr/>
                    <m:e>
                      <m:r>
                        <m:rPr>
                          <m:sty m:val="i"/>
                        </m:rPr>
                        <m:t>R</m:t>
                      </m:r>
                    </m:e>
                    <m:sup>
                      <m:r>
                        <m:rPr>
                          <m:sty m:val="p"/>
                        </m:rPr>
                        <m:t>2</m:t>
                      </m:r>
                    </m:sup>
                  </m:sSup>
                  <m:r>
                    <m:rPr>
                      <m:sty m:val="i"/>
                    </m:rPr>
                    <m:t>C</m:t>
                  </m:r>
                </m:e>
              </m:d>
              <m:r>
                <m:rPr>
                  <m:sty m:val="p"/>
                </m:rPr>
                <m:t>−</m:t>
              </m:r>
              <m:r>
                <m:rPr>
                  <m:sty m:val="p"/>
                </m:rPr>
                <m:t>2</m:t>
              </m:r>
              <m:sSup>
                <m:sSupPr/>
                <m:e>
                  <m:r>
                    <m:rPr>
                      <m:sty m:val="i"/>
                    </m:rPr>
                    <m:t>ω</m:t>
                  </m:r>
                </m:e>
                <m:sup>
                  <m:r>
                    <m:rPr>
                      <m:sty m:val="p"/>
                    </m:rPr>
                    <m:t>2</m:t>
                  </m:r>
                </m:sup>
              </m:sSup>
              <m:r>
                <m:rPr>
                  <m:sty m:val="i"/>
                </m:rPr>
                <m:t>R</m:t>
              </m:r>
              <m:r>
                <m:rPr>
                  <m:sty m:val="i"/>
                </m:rPr>
                <m:t>L</m:t>
              </m:r>
              <m:r>
                <m:rPr>
                  <m:sty m:val="i"/>
                </m:rPr>
                <m:t>C</m:t>
              </m:r>
              <m:r>
                <m:rPr>
                  <m:sty m:val="p"/>
                </m:rPr>
                <m:t>+</m:t>
              </m:r>
              <m:r>
                <m:rPr>
                  <m:sty m:val="p"/>
                </m:rPr>
                <m:t>j</m:t>
              </m:r>
              <m:sSup>
                <m:sSupPr/>
                <m:e>
                  <m:r>
                    <m:rPr>
                      <m:sty m:val="i"/>
                    </m:rPr>
                    <m:t>ω</m:t>
                  </m:r>
                </m:e>
                <m:sup>
                  <m:r>
                    <m:rPr>
                      <m:sty m:val="p"/>
                    </m:rPr>
                    <m:t>3</m:t>
                  </m:r>
                </m:sup>
              </m:sSup>
              <m:r>
                <m:rPr>
                  <m:sty m:val="i"/>
                </m:rPr>
                <m:t>C</m:t>
              </m:r>
              <m:sSup>
                <m:sSupPr/>
                <m:e>
                  <m:r>
                    <m:rPr>
                      <m:sty m:val="i"/>
                    </m:rPr>
                    <m:t>L</m:t>
                  </m:r>
                </m:e>
                <m:sup>
                  <m:r>
                    <m:rPr>
                      <m:sty m:val="p"/>
                    </m:rPr>
                    <m:t>2</m:t>
                  </m:r>
                </m:sup>
              </m:sSup>
              <m:d>
                <m:dPr>
                  <m:begChr m:val="("/>
                  <m:endChr m:val=")"/>
                  <m:ctrlPr>
                    <w:rPr>
                      <w:rFonts w:ascii="Cambria Math" w:hAnsi="Cambria Math"/>
                    </w:rPr>
                  </m:ctrlPr>
                </m:dPr>
                <m:e>
                  <m:sSup>
                    <m:sSupPr/>
                    <m:e>
                      <m:r>
                        <m:rPr>
                          <m:sty m:val="i"/>
                        </m:rPr>
                        <m:t>k</m:t>
                      </m:r>
                    </m:e>
                    <m:sup>
                      <m:r>
                        <m:rPr>
                          <m:sty m:val="p"/>
                        </m:rPr>
                        <m:t>2</m:t>
                      </m:r>
                    </m:sup>
                  </m:sSup>
                  <m:r>
                    <m:rPr>
                      <m:sty m:val="p"/>
                    </m:rPr>
                    <m:t>−</m:t>
                  </m:r>
                  <m:r>
                    <m:rPr>
                      <m:sty m:val="p"/>
                    </m:rPr>
                    <m:t>1</m:t>
                  </m:r>
                </m:e>
              </m:d>
            </m:den>
          </m:f>
        </m:oMath>
      </m:oMathPara>
    </w:p>
    <w:p>
      <w:pPr>
        <w:spacing w:after="220" w:lineRule="auto"/>
      </w:pPr>
      <w:r>
        <w:rPr>
          <w:rFonts w:eastAsia="Georgia" w:cs="Georgia" w:ascii="Georgia" w:hAnsi="Georgia"/>
        </w:rPr>
        <w:t xml:space="preserve">où </w:t>
      </w:r>
      <m:oMath>
        <m:r>
          <m:rPr>
            <m:sty m:val="i"/>
          </m:rPr>
          <m:t>ω</m:t>
        </m:r>
      </m:oMath>
      <w:r>
        <w:rPr>
          <w:rFonts w:eastAsia="Georgia" w:cs="Georgia" w:ascii="Georgia" w:hAnsi="Georgia"/>
        </w:rPr>
        <w:t xml:space="preserve"> désigne la pulsation. On donne les valeurs numériques des composants : </w:t>
      </w:r>
      <m:oMath>
        <m:r>
          <m:rPr>
            <m:sty m:val="i"/>
          </m:rPr>
          <m:t>R</m:t>
        </m:r>
        <m:r>
          <m:rPr>
            <m:sty m:val="p"/>
          </m:rPr>
          <m:t>=</m:t>
        </m:r>
        <m:r>
          <m:rPr>
            <m:sty m:val="p"/>
          </m:rPr>
          <m:t>10</m:t>
        </m:r>
        <m:r>
          <m:rPr>
            <m:sty m:val="p"/>
          </m:rPr>
          <m:t>Ω</m:t>
        </m:r>
        <m:r>
          <m:rPr>
            <m:sty m:val="p"/>
          </m:rPr>
          <m:t>,</m:t>
        </m:r>
        <m:r>
          <m:rPr>
            <m:sty m:val="i"/>
          </m:rPr>
          <m:t>L</m:t>
        </m:r>
        <m:r>
          <m:rPr>
            <m:sty m:val="p"/>
          </m:rPr>
          <m:t>=</m:t>
        </m:r>
        <m:r>
          <m:rPr>
            <m:sty m:val="p"/>
          </m:rPr>
          <m:t>0</m:t>
        </m:r>
        <m:r>
          <m:rPr>
            <m:sty m:val="p"/>
          </m:rPr>
          <m:t>,</m:t>
        </m:r>
        <m:r>
          <m:rPr>
            <m:sty m:val="p"/>
          </m:rPr>
          <m:t>86</m:t>
        </m:r>
        <m:r>
          <m:rPr>
            <m:sty m:val="p"/>
          </m:rPr>
          <m:t>mH</m:t>
        </m:r>
      </m:oMath>
      <w:r>
        <w:rPr/>
        <w:t xml:space="preserve">, </w:t>
      </w:r>
      <m:oMath>
        <m:r>
          <m:rPr>
            <m:sty m:val="i"/>
          </m:rPr>
          <m:t>C</m:t>
        </m:r>
        <m:r>
          <m:rPr>
            <m:sty m:val="p"/>
          </m:rPr>
          <m:t>=</m:t>
        </m:r>
        <m:r>
          <m:rPr>
            <m:sty m:val="p"/>
          </m:rPr>
          <m:t>30</m:t>
        </m:r>
        <m:r>
          <m:rPr>
            <m:sty m:val="p"/>
          </m:rPr>
          <m:t>nF</m:t>
        </m:r>
      </m:oMath>
      <w:r>
        <w:rPr/>
        <w:t xml:space="preserve">. Rappelons que </w:t>
      </w:r>
      <m:oMath>
        <m:sSup>
          <m:sSupPr/>
          <m:e>
            <m:r>
              <m:rPr>
                <m:sty m:val="p"/>
              </m:rPr>
              <m:t>j</m:t>
            </m:r>
          </m:e>
          <m:sup>
            <m:r>
              <m:rPr>
                <m:sty m:val="p"/>
              </m:rPr>
              <m:t>2</m:t>
            </m:r>
          </m:sup>
        </m:sSup>
        <m:r>
          <m:rPr>
            <m:sty m:val="p"/>
          </m:rPr>
          <m:t>=</m:t>
        </m:r>
        <m:r>
          <m:rPr>
            <m:sty m:val="p"/>
          </m:rPr>
          <m:t>−</m:t>
        </m:r>
        <m:r>
          <m:rPr>
            <m:sty m:val="p"/>
          </m:rPr>
          <m:t>1</m:t>
        </m:r>
      </m:oMath>
      <w:r>
        <w:rPr/>
        <w:t xml:space="preserve">.</w:t>
      </w:r>
      <w:r>
        <w:rPr/>
        <w:br w:type="textWrapping"/>
      </w:r>
      <w:r>
        <w:rPr>
          <w:rFonts w:eastAsia="Georgia" w:cs="Georgia" w:ascii="Georgia" w:hAnsi="Georgia"/>
        </w:rPr>
        <w:t xml:space="preserve">E1. Dans la limite où les bobines primaire et secondaire sont infiniment éloignées, quelle valeur attend-on pour le coefficient </w:t>
      </w:r>
      <m:oMath>
        <m:r>
          <m:rPr>
            <m:sty m:val="i"/>
          </m:rPr>
          <m:t>k</m:t>
        </m:r>
      </m:oMath>
      <w:r>
        <w:rPr>
          <w:rFonts w:eastAsia="Georgia" w:cs="Georgia" w:ascii="Georgia" w:hAnsi="Georgia"/>
        </w:rPr>
        <w:t xml:space="preserve"> ? Qu'en déduire concernant la tension </w:t>
      </w:r>
      <m:oMath>
        <m:sSub>
          <m:sSubPr/>
          <m:e>
            <m:bar>
              <m:barPr/>
              <m:e>
                <m:r>
                  <m:rPr>
                    <m:sty m:val="i"/>
                  </m:rPr>
                  <m:t>v</m:t>
                </m:r>
              </m:e>
            </m:bar>
          </m:e>
          <m:sub>
            <m:r>
              <m:rPr>
                <m:sty m:val="p"/>
              </m:rPr>
              <m:t>2</m:t>
            </m:r>
          </m:sub>
        </m:sSub>
      </m:oMath>
      <w:r>
        <w:rPr>
          <w:rFonts w:eastAsia="Georgia" w:cs="Georgia" w:ascii="Georgia" w:hAnsi="Georgia"/>
        </w:rPr>
        <w:t xml:space="preserve"> aux bornes du circuit secondaire, d'après la fonction de transfert? Vérifier cette valeur en analysant le circuit équivalent.</w:t>
      </w:r>
      <w:r>
        <w:rPr/>
        <w:br w:type="textWrapping"/>
      </w:r>
      <w:r>
        <w:rPr>
          <w:rFonts w:eastAsia="Georgia" w:cs="Georgia" w:ascii="Georgia" w:hAnsi="Georgia"/>
        </w:rPr>
        <w:t xml:space="preserve">E2. Donner le schéma équivalent du circuit aux basses fréquences, et en déduire la valeur asymptotique de </w:t>
      </w:r>
      <m:oMath>
        <m:sSub>
          <m:sSubPr/>
          <m:e>
            <m:bar>
              <m:barPr/>
              <m:e>
                <m:r>
                  <m:rPr>
                    <m:sty m:val="i"/>
                  </m:rPr>
                  <m:t>v</m:t>
                </m:r>
              </m:e>
            </m:bar>
          </m:e>
          <m:sub>
            <m:r>
              <m:rPr>
                <m:sty m:val="p"/>
              </m:rPr>
              <m:t>2</m:t>
            </m:r>
          </m:sub>
        </m:sSub>
      </m:oMath>
      <w:r>
        <w:rPr>
          <w:rFonts w:eastAsia="Georgia" w:cs="Georgia" w:ascii="Georgia" w:hAnsi="Georgia"/>
        </w:rPr>
        <w:t xml:space="preserve">. Est-ce cohérent avec l'expression de </w:t>
      </w:r>
      <m:oMath>
        <m:bar>
          <m:barPr/>
          <m:e>
            <m:r>
              <m:rPr>
                <m:sty m:val="i"/>
              </m:rPr>
              <m:t>H</m:t>
            </m:r>
          </m:e>
        </m:bar>
      </m:oMath>
      <w:r>
        <w:rPr/>
        <w:t xml:space="preserve"> ?</w:t>
      </w:r>
      <w:r>
        <w:rPr/>
        <w:br w:type="textWrapping"/>
      </w:r>
      <w:r>
        <w:rPr/>
        <w:t xml:space="preserve">En utilisant l'expression de la fonction de transfert, on trace, pour une valeur de </w:t>
      </w:r>
      <m:oMath>
        <m:r>
          <m:rPr>
            <m:sty m:val="i"/>
          </m:rPr>
          <m:t>k</m:t>
        </m:r>
      </m:oMath>
      <w:r>
        <w:rPr>
          <w:rFonts w:eastAsia="Georgia" w:cs="Georgia" w:ascii="Georgia" w:hAnsi="Georgia"/>
        </w:rPr>
        <w:t xml:space="preserve"> arbitraire, le diagramme de Bode de ce système représentant l'évolution du gain en décibels </w:t>
      </w:r>
      <m:oMath>
        <m:sSub>
          <m:sSubPr/>
          <m:e>
            <m:r>
              <m:rPr>
                <m:sty m:val="i"/>
              </m:rPr>
              <m:t>G</m:t>
            </m:r>
          </m:e>
          <m:sub>
            <m:r>
              <m:rPr>
                <m:sty m:val="p"/>
              </m:rPr>
              <m:t>dB</m:t>
            </m:r>
          </m:sub>
        </m:sSub>
        <m:r>
          <m:rPr>
            <m:sty m:val="p"/>
          </m:rPr>
          <m:t>=</m:t>
        </m:r>
        <m:r>
          <m:rPr>
            <m:sty m:val="p"/>
          </m:rPr>
          <m:t>20</m:t>
        </m:r>
        <m:r>
          <m:rPr>
            <m:sty m:val="p"/>
          </m:rPr>
          <m:t>log</m:t>
        </m:r>
        <m:r>
          <m:rPr>
            <m:sty m:val="p"/>
          </m:rPr>
          <m:t>⁡</m:t>
        </m:r>
        <m:r>
          <m:rPr>
            <m:sty m:val="p"/>
          </m:rPr>
          <m:t>|</m:t>
        </m:r>
        <m:bar>
          <m:barPr/>
          <m:e>
            <m:r>
              <m:rPr>
                <m:sty m:val="i"/>
              </m:rPr>
              <m:t>H</m:t>
            </m:r>
          </m:e>
        </m:bar>
        <m:r>
          <m:rPr>
            <m:sty m:val="p"/>
          </m:rPr>
          <m:t>|</m:t>
        </m:r>
      </m:oMath>
      <w:r>
        <w:rPr>
          <w:rFonts w:eastAsia="Georgia" w:cs="Georgia" w:ascii="Georgia" w:hAnsi="Georgia"/>
        </w:rPr>
        <w:t xml:space="preserve"> en fonction de la fréquence </w:t>
      </w:r>
      <m:oMath>
        <m:r>
          <m:rPr>
            <m:sty m:val="i"/>
          </m:rPr>
          <m:t>f</m:t>
        </m:r>
      </m:oMath>
      <w:r>
        <w:rPr/>
        <w:t xml:space="preserve"> (voir figure 13).</w:t>
      </w:r>
      <w:r>
        <w:rPr/>
        <w:br w:type="textWrapping"/>
      </w:r>
      <w:r>
        <w:rPr>
          <w:rFonts w:eastAsia="Georgia" w:cs="Georgia" w:ascii="Georgia" w:hAnsi="Georgia"/>
        </w:rPr>
        <w:t xml:space="preserve">E3. Interpréter les comportements aux basses fréquences et hautes fréquences, en comparant les pentes des asymptotes (en dB /décade) mesurées sur le diagramme de Bode et celles déduites de l'expression de </w:t>
      </w:r>
      <m:oMath>
        <m:bar>
          <m:barPr/>
          <m:e>
            <m:r>
              <m:rPr>
                <m:sty m:val="i"/>
              </m:rPr>
              <m:t>H</m:t>
            </m:r>
          </m:e>
        </m:bar>
      </m:oMath>
      <w:r>
        <w:rPr/>
        <w:t xml:space="preserve">.</w:t>
      </w:r>
      <w:r>
        <w:rPr/>
        <w:br w:type="textWrapping"/>
      </w:r>
      <w:r>
        <w:rPr>
          <w:rFonts w:eastAsia="Georgia" w:cs="Georgia" w:ascii="Georgia" w:hAnsi="Georgia"/>
        </w:rPr>
        <w:t xml:space="preserve">Dans le cadre des hypothèses </w:t>
      </w:r>
      <m:oMath>
        <m:r>
          <m:rPr>
            <m:sty m:val="i"/>
          </m:rPr>
          <m:t>k</m:t>
        </m:r>
        <m:r>
          <m:rPr>
            <m:sty m:val="p"/>
          </m:rPr>
          <m:t>≪</m:t>
        </m:r>
        <m:r>
          <m:rPr>
            <m:sty m:val="p"/>
          </m:rPr>
          <m:t>1</m:t>
        </m:r>
      </m:oMath>
      <w:r>
        <w:rPr/>
        <w:t xml:space="preserve"> et </w:t>
      </w:r>
      <m:oMath>
        <m:r>
          <m:rPr>
            <m:sty m:val="i"/>
          </m:rPr>
          <m:t>R</m:t>
        </m:r>
        <m:r>
          <m:rPr>
            <m:sty m:val="p"/>
          </m:rPr>
          <m:t>≪</m:t>
        </m:r>
        <m:r>
          <m:rPr>
            <m:sty m:val="i"/>
          </m:rPr>
          <m:t>L</m:t>
        </m:r>
        <m:r>
          <m:rPr>
            <m:sty m:val="i"/>
          </m:rPr>
          <m:t>ω</m:t>
        </m:r>
      </m:oMath>
      <w:r>
        <w:rPr>
          <w:rFonts w:eastAsia="Georgia" w:cs="Georgia" w:ascii="Georgia" w:hAnsi="Georgia"/>
        </w:rPr>
        <w:t xml:space="preserve"> satisfaites expérimentalement (on les vérifiera dans la sous-partie suivante), on peut montrer que la fonction de transfert est approchée par :</w:t>
      </w:r>
    </w:p>
    <w:p>
      <w:pPr>
        <w:spacing w:after="220" w:lineRule="auto"/>
      </w:pPr>
      <m:oMathPara>
        <m:oMath>
          <m:bar>
            <m:barPr/>
            <m:e>
              <m:r>
                <m:rPr>
                  <m:sty m:val="i"/>
                </m:rPr>
                <m:t>H</m:t>
              </m:r>
            </m:e>
          </m:bar>
          <m:r>
            <m:rPr>
              <m:sty m:val="p"/>
            </m:rPr>
            <m:t>≃</m:t>
          </m:r>
          <m:f>
            <m:fPr>
              <m:ctrlPr>
                <w:rPr>
                  <w:rFonts w:ascii="Cambria Math" w:hAnsi="Cambria Math"/>
                </w:rPr>
              </m:ctrlPr>
            </m:fPr>
            <m:num>
              <m:r>
                <m:rPr>
                  <m:sty m:val="i"/>
                </m:rPr>
                <m:t>k</m:t>
              </m:r>
            </m:num>
            <m:den>
              <m:r>
                <m:rPr>
                  <m:sty m:val="p"/>
                </m:rPr>
                <m:t>1</m:t>
              </m:r>
              <m:r>
                <m:rPr>
                  <m:sty m:val="p"/>
                </m:rPr>
                <m:t>+</m:t>
              </m:r>
              <m:r>
                <m:rPr>
                  <m:sty m:val="p"/>
                </m:rPr>
                <m:t>j</m:t>
              </m:r>
              <m:r>
                <m:rPr>
                  <m:sty m:val="i"/>
                </m:rPr>
                <m:t>ω</m:t>
              </m:r>
              <m:r>
                <m:rPr>
                  <m:sty m:val="i"/>
                </m:rPr>
                <m:t>R</m:t>
              </m:r>
              <m:r>
                <m:rPr>
                  <m:sty m:val="i"/>
                </m:rPr>
                <m:t>C</m:t>
              </m:r>
              <m:r>
                <m:rPr>
                  <m:sty m:val="p"/>
                </m:rPr>
                <m:t>−</m:t>
              </m:r>
              <m:sSup>
                <m:sSupPr/>
                <m:e>
                  <m:r>
                    <m:rPr>
                      <m:sty m:val="i"/>
                    </m:rPr>
                    <m:t>ω</m:t>
                  </m:r>
                </m:e>
                <m:sup>
                  <m:r>
                    <m:rPr>
                      <m:sty m:val="p"/>
                    </m:rPr>
                    <m:t>2</m:t>
                  </m:r>
                </m:sup>
              </m:sSup>
              <m:r>
                <m:rPr>
                  <m:sty m:val="i"/>
                </m:rPr>
                <m:t>L</m:t>
              </m:r>
              <m:r>
                <m:rPr>
                  <m:sty m:val="i"/>
                </m:rPr>
                <m:t>C</m:t>
              </m:r>
            </m:den>
          </m:f>
          <m:r>
            <m:rPr>
              <m:sty m:val="p"/>
            </m:rPr>
            <m:t>.</m:t>
          </m:r>
        </m:oMath>
      </m:oMathPara>
    </w:p>
    <w:p>
      <w:pPr>
        <w:spacing w:after="220" w:lineRule="auto"/>
      </w:pPr>
      <w:r>
        <w:rPr>
          <w:rFonts w:eastAsia="Georgia" w:cs="Georgia" w:ascii="Georgia" w:hAnsi="Georgia"/>
        </w:rPr>
        <w:t xml:space="preserve">E4. Mettre la fonction de transfert simplifiée sous la forme canonique suivante :</w:t>
      </w:r>
    </w:p>
    <w:p>
      <w:pPr>
        <w:spacing w:after="220" w:lineRule="auto"/>
      </w:pPr>
      <m:oMathPara>
        <m:oMath>
          <m:bar>
            <m:barPr/>
            <m:e>
              <m:r>
                <m:rPr>
                  <m:sty m:val="i"/>
                </m:rPr>
                <m:t>H</m:t>
              </m:r>
            </m:e>
          </m:bar>
          <m:r>
            <m:rPr>
              <m:sty m:val="p"/>
            </m:rPr>
            <m:t>=</m:t>
          </m:r>
          <m:f>
            <m:fPr>
              <m:ctrlPr>
                <w:rPr>
                  <w:rFonts w:ascii="Cambria Math" w:hAnsi="Cambria Math"/>
                </w:rPr>
              </m:ctrlPr>
            </m:fPr>
            <m:num>
              <m:sSub>
                <m:sSubPr/>
                <m:e>
                  <m:r>
                    <m:rPr>
                      <m:sty m:val="i"/>
                    </m:rPr>
                    <m:t>H</m:t>
                  </m:r>
                </m:e>
                <m:sub>
                  <m:r>
                    <m:rPr>
                      <m:sty m:val="p"/>
                    </m:rPr>
                    <m:t>0</m:t>
                  </m:r>
                </m:sub>
              </m:sSub>
            </m:num>
            <m:den>
              <m:r>
                <m:rPr>
                  <m:sty m:val="p"/>
                </m:rPr>
                <m:t>1</m:t>
              </m:r>
              <m:r>
                <m:rPr>
                  <m:sty m:val="p"/>
                </m:rPr>
                <m:t>+</m:t>
              </m:r>
              <m:f>
                <m:fPr>
                  <m:ctrlPr>
                    <w:rPr>
                      <w:rFonts w:ascii="Cambria Math" w:hAnsi="Cambria Math"/>
                    </w:rPr>
                  </m:ctrlPr>
                </m:fPr>
                <m:num>
                  <m:r>
                    <m:rPr>
                      <m:sty m:val="p"/>
                    </m:rPr>
                    <m:t>j</m:t>
                  </m:r>
                </m:num>
                <m:den>
                  <m:r>
                    <m:rPr>
                      <m:sty m:val="i"/>
                    </m:rPr>
                    <m:t>Q</m:t>
                  </m:r>
                </m:den>
              </m:f>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2</m:t>
                  </m:r>
                </m:sup>
              </m:sSup>
            </m:den>
          </m:f>
        </m:oMath>
      </m:oMathPara>
    </w:p>
    <w:p>
      <w:pPr>
        <w:spacing w:after="220" w:lineRule="auto"/>
      </w:pPr>
      <w:r>
        <w:rPr>
          <w:rFonts w:eastAsia="Georgia" w:cs="Georgia" w:ascii="Georgia" w:hAnsi="Georgia"/>
        </w:rPr>
        <w:t xml:space="preserve">et identifier les paramètres </w:t>
      </w:r>
      <m:oMath>
        <m:sSub>
          <m:sSubPr/>
          <m:e>
            <m:r>
              <m:rPr>
                <m:sty m:val="i"/>
              </m:rPr>
              <m:t>H</m:t>
            </m:r>
          </m:e>
          <m:sub>
            <m:r>
              <m:rPr>
                <m:sty m:val="p"/>
              </m:rPr>
              <m:t>0</m:t>
            </m:r>
          </m:sub>
        </m:sSub>
        <m:r>
          <m:rPr>
            <m:sty m:val="p"/>
          </m:rPr>
          <m:t>,</m:t>
        </m:r>
        <m:r>
          <m:rPr>
            <m:sty m:val="i"/>
          </m:rPr>
          <m:t>Q</m:t>
        </m:r>
      </m:oMath>
      <w:r>
        <w:rPr/>
        <w:t xml:space="preserve"> et </w:t>
      </w:r>
      <m:oMath>
        <m:sSub>
          <m:sSubPr/>
          <m:e>
            <m:r>
              <m:rPr>
                <m:sty m:val="i"/>
              </m:rPr>
              <m:t>ω</m:t>
            </m:r>
          </m:e>
          <m:sub>
            <m:r>
              <m:rPr>
                <m:sty m:val="p"/>
              </m:rPr>
              <m:t>0</m:t>
            </m:r>
          </m:sub>
        </m:sSub>
      </m:oMath>
      <w:r>
        <w:rPr/>
        <w:t xml:space="preserve"> en fonction de </w:t>
      </w:r>
      <m:oMath>
        <m:r>
          <m:rPr>
            <m:sty m:val="i"/>
          </m:rPr>
          <m:t>k</m:t>
        </m:r>
        <m:r>
          <m:rPr>
            <m:sty m:val="p"/>
          </m:rPr>
          <m:t>,</m:t>
        </m:r>
        <m:r>
          <m:rPr>
            <m:sty m:val="i"/>
          </m:rPr>
          <m:t>R</m:t>
        </m:r>
        <m:r>
          <m:rPr>
            <m:sty m:val="p"/>
          </m:rPr>
          <m:t>,</m:t>
        </m:r>
        <m:r>
          <m:rPr>
            <m:sty m:val="i"/>
          </m:rPr>
          <m:t>L</m:t>
        </m:r>
      </m:oMath>
      <w:r>
        <w:rPr/>
        <w:t xml:space="preserve"> et </w:t>
      </w:r>
      <m:oMath>
        <m:r>
          <m:rPr>
            <m:sty m:val="i"/>
          </m:rPr>
          <m:t>C</m:t>
        </m:r>
      </m:oMath>
      <w:r>
        <w:rPr/>
        <w:t xml:space="preserve">.</w:t>
      </w:r>
    </w:p>
    <w:p>
      <w:pPr>
        <w:spacing w:lineRule="auto"/>
        <w:jc w:val="center"/>
      </w:pPr>
      <w:r>
        <w:rPr/>
        <w:drawing>
          <wp:inline distB="0" distL="0" distR="0" distT="0">
            <wp:extent cx="5486400" cy="4206073"/>
            <wp:effectExtent b="0" l="0" r="0" t="0"/>
            <wp:docPr id="14" name="image-8823fc1687c9eaa276da63081927ce15eb2de88a.jpg"/>
            <a:graphic>
              <a:graphicData uri="http://schemas.openxmlformats.org/drawingml/2006/picture">
                <pic:pic>
                  <pic:nvPicPr>
                    <pic:cNvPr id="14" name="image-8823fc1687c9eaa276da63081927ce15eb2de88a.jpg" descr=""/>
                    <pic:cNvPicPr/>
                  </pic:nvPicPr>
                  <pic:blipFill>
                    <a:blip r:embed="rId18" cstate="print"/>
                    <a:srcRect b="0" l="0" r="0" t="0"/>
                    <a:stretch>
                      <a:fillRect/>
                    </a:stretch>
                  </pic:blipFill>
                  <pic:spPr>
                    <a:xfrm>
                      <a:off x="0" y="0"/>
                      <a:ext cx="5486400" cy="4206073"/>
                    </a:xfrm>
                    <a:prstGeom prst="rect"/>
                  </pic:spPr>
                </pic:pic>
              </a:graphicData>
            </a:graphic>
          </wp:inline>
        </w:drawing>
      </w:r>
    </w:p>
    <w:p>
      <w:pPr>
        <w:spacing w:lineRule="auto"/>
      </w:pPr>
      <w:r>
        <w:rPr/>
        <w:t xml:space="preserve">Figure 13 - Diagramme de Bode en gain, obtenu pour </w:t>
      </w:r>
      <m:oMath>
        <m:r>
          <m:rPr>
            <m:sty m:val="i"/>
          </m:rPr>
          <m:t>k</m:t>
        </m:r>
        <m:r>
          <m:rPr>
            <m:sty m:val="p"/>
          </m:rPr>
          <m:t>=</m:t>
        </m:r>
        <m:r>
          <m:rPr>
            <m:sty m:val="p"/>
          </m:rPr>
          <m:t>0</m:t>
        </m:r>
        <m:r>
          <m:rPr>
            <m:sty m:val="p"/>
          </m:rPr>
          <m:t>,</m:t>
        </m:r>
        <m:r>
          <m:rPr>
            <m:sty m:val="p"/>
          </m:rPr>
          <m:t>01</m:t>
        </m:r>
      </m:oMath>
      <w:r>
        <w:rPr/>
        <w:t xml:space="preserve">.</w:t>
      </w:r>
    </w:p>
    <w:p>
      <w:pPr>
        <w:spacing w:after="220" w:lineRule="auto"/>
      </w:pPr>
      <w:r>
        <w:rPr>
          <w:rFonts w:eastAsia="Georgia" w:cs="Georgia" w:ascii="Georgia" w:hAnsi="Georgia"/>
        </w:rPr>
        <w:t xml:space="preserve">E5. Déterminer l'expression de la fréquence de résonance du système </w:t>
      </w:r>
      <m:oMath>
        <m:sSub>
          <m:sSubPr/>
          <m:e>
            <m:r>
              <m:rPr>
                <m:sty m:val="i"/>
              </m:rPr>
              <m:t>f</m:t>
            </m:r>
          </m:e>
          <m:sub>
            <m:r>
              <m:rPr>
                <m:sty m:val="p"/>
              </m:rPr>
              <m:t>r</m:t>
            </m:r>
          </m:sub>
        </m:sSub>
      </m:oMath>
      <w:r>
        <w:rPr>
          <w:rFonts w:eastAsia="Georgia" w:cs="Georgia" w:ascii="Georgia" w:hAnsi="Georgia"/>
        </w:rPr>
        <w:t xml:space="preserve"> en fonction des paramètres du circuit puis la calculer numériquement. Commenter.</w:t>
      </w:r>
    </w:p>
    <w:p>
      <w:pPr>
        <w:spacing w:after="220" w:lineRule="auto"/>
      </w:pPr>
      <w:r>
        <w:rPr>
          <w:rFonts w:eastAsia="Georgia" w:cs="Georgia" w:ascii="Georgia" w:hAnsi="Georgia"/>
        </w:rPr>
        <w:t xml:space="preserve">E6. La fréquence de résonance </w:t>
      </w:r>
      <m:oMath>
        <m:sSub>
          <m:sSubPr/>
          <m:e>
            <m:r>
              <m:rPr>
                <m:sty m:val="i"/>
              </m:rPr>
              <m:t>f</m:t>
            </m:r>
          </m:e>
          <m:sub>
            <m:r>
              <m:rPr>
                <m:sty m:val="p"/>
              </m:rPr>
              <m:t>r</m:t>
            </m:r>
          </m:sub>
        </m:sSub>
      </m:oMath>
      <w:r>
        <w:rPr>
          <w:rFonts w:eastAsia="Georgia" w:cs="Georgia" w:ascii="Georgia" w:hAnsi="Georgia"/>
        </w:rPr>
        <w:t xml:space="preserve"> dépend-elle de </w:t>
      </w:r>
      <m:oMath>
        <m:r>
          <m:rPr>
            <m:sty m:val="i"/>
          </m:rPr>
          <m:t>k</m:t>
        </m:r>
      </m:oMath>
      <w:r>
        <w:rPr>
          <w:rFonts w:eastAsia="Georgia" w:cs="Georgia" w:ascii="Georgia" w:hAnsi="Georgia"/>
        </w:rPr>
        <w:t xml:space="preserve"> ? Expliquer en quoi ce résultat est particulièrement intéressant, dans l'objectif d'un fonctionnement à récepteur mobile.</w:t>
      </w:r>
    </w:p>
    <w:p>
      <w:pPr>
        <w:spacing w:line="271" w:before="330" w:lineRule="auto"/>
      </w:pPr>
      <w:r>
        <w:rPr>
          <w:rFonts w:eastAsia="Georgia" w:cs="Georgia" w:ascii="Georgia" w:hAnsi="Georgia"/>
          <w:b/>
          <w:sz w:val="42"/>
        </w:rPr>
        <w:t xml:space="preserve">F / Résultats expérimentaux</w:t>
      </w:r>
    </w:p>
    <w:p>
      <w:pPr>
        <w:spacing w:lineRule="auto"/>
        <w:jc w:val="center"/>
      </w:pPr>
      <w:r>
        <w:rPr/>
        <w:drawing>
          <wp:inline distB="0" distL="0" distR="0" distT="0">
            <wp:extent cx="5486400" cy="2699133"/>
            <wp:effectExtent b="0" l="0" r="0" t="0"/>
            <wp:docPr id="15" name="image-ab05b93370a7f26bc88373aed4fa8658d31c9d49.jpg"/>
            <a:graphic>
              <a:graphicData uri="http://schemas.openxmlformats.org/drawingml/2006/picture">
                <pic:pic>
                  <pic:nvPicPr>
                    <pic:cNvPr id="15" name="image-ab05b93370a7f26bc88373aed4fa8658d31c9d49.jpg" descr=""/>
                    <pic:cNvPicPr/>
                  </pic:nvPicPr>
                  <pic:blipFill>
                    <a:blip r:embed="rId19" cstate="print"/>
                    <a:srcRect b="0" l="0" r="0" t="0"/>
                    <a:stretch>
                      <a:fillRect/>
                    </a:stretch>
                  </pic:blipFill>
                  <pic:spPr>
                    <a:xfrm>
                      <a:off x="0" y="0"/>
                      <a:ext cx="5486400" cy="2699133"/>
                    </a:xfrm>
                    <a:prstGeom prst="rect"/>
                  </pic:spPr>
                </pic:pic>
              </a:graphicData>
            </a:graphic>
          </wp:inline>
        </w:drawing>
      </w:r>
    </w:p>
    <w:p>
      <w:pPr>
        <w:spacing w:lineRule="auto"/>
      </w:pPr>
      <w:r>
        <w:rPr>
          <w:rFonts w:eastAsia="Georgia" w:cs="Georgia" w:ascii="Georgia" w:hAnsi="Georgia"/>
        </w:rPr>
        <w:t xml:space="preserve">Figure 14 - Photographie légendée du montage expérimental.</w:t>
      </w:r>
    </w:p>
    <w:p>
      <w:pPr>
        <w:spacing w:after="220" w:lineRule="auto"/>
      </w:pPr>
      <w:r>
        <w:rPr>
          <w:rFonts w:eastAsia="Georgia" w:cs="Georgia" w:ascii="Georgia" w:hAnsi="Georgia"/>
        </w:rPr>
        <w:t xml:space="preserve">On met en œuvre le montage de la figure 14 en choisissant les valeurs des composants suivantes : </w:t>
      </w:r>
      <m:oMath>
        <m:r>
          <m:rPr>
            <m:sty m:val="i"/>
          </m:rPr>
          <m:t>R</m:t>
        </m:r>
        <m:r>
          <m:rPr>
            <m:sty m:val="p"/>
          </m:rPr>
          <m:t>=</m:t>
        </m:r>
        <m:r>
          <m:rPr>
            <m:sty m:val="p"/>
          </m:rPr>
          <m:t>10</m:t>
        </m:r>
        <m:r>
          <m:rPr>
            <m:sty m:val="p"/>
          </m:rPr>
          <m:t>Ω</m:t>
        </m:r>
        <m:r>
          <m:rPr>
            <m:sty m:val="p"/>
          </m:rPr>
          <m:t>,</m:t>
        </m:r>
        <m:r>
          <m:rPr>
            <m:sty m:val="i"/>
          </m:rPr>
          <m:t>L</m:t>
        </m:r>
        <m:r>
          <m:rPr>
            <m:sty m:val="p"/>
          </m:rPr>
          <m:t>=</m:t>
        </m:r>
        <m:r>
          <m:rPr>
            <m:sty m:val="p"/>
          </m:rPr>
          <m:t>0</m:t>
        </m:r>
        <m:r>
          <m:rPr>
            <m:sty m:val="p"/>
          </m:rPr>
          <m:t>,</m:t>
        </m:r>
        <m:r>
          <m:rPr>
            <m:sty m:val="p"/>
          </m:rPr>
          <m:t>86</m:t>
        </m:r>
        <m:r>
          <m:rPr>
            <m:sty m:val="p"/>
          </m:rPr>
          <m:t>mH</m:t>
        </m:r>
        <m:r>
          <m:rPr>
            <m:sty m:val="p"/>
          </m:rPr>
          <m:t>,</m:t>
        </m:r>
        <m:r>
          <m:rPr>
            <m:sty m:val="i"/>
          </m:rPr>
          <m:t>C</m:t>
        </m:r>
        <m:r>
          <m:rPr>
            <m:sty m:val="p"/>
          </m:rPr>
          <m:t>=</m:t>
        </m:r>
        <m:r>
          <m:rPr>
            <m:sty m:val="p"/>
          </m:rPr>
          <m:t>30</m:t>
        </m:r>
        <m:r>
          <m:rPr>
            <m:sty m:val="p"/>
          </m:rPr>
          <m:t>nF</m:t>
        </m:r>
      </m:oMath>
      <w:r>
        <w:rPr>
          <w:rFonts w:eastAsia="Georgia" w:cs="Georgia" w:ascii="Georgia" w:hAnsi="Georgia"/>
        </w:rPr>
        <w:t xml:space="preserve">, puis on trace son diagramme de Bode en gain (voir figure 15). Celui-ci fait nettement apparaître un phénomène de résonance.</w:t>
      </w:r>
    </w:p>
    <w:p>
      <w:pPr>
        <w:spacing w:lineRule="auto"/>
        <w:jc w:val="center"/>
      </w:pPr>
      <w:r>
        <w:rPr/>
        <w:drawing>
          <wp:inline distB="0" distL="0" distR="0" distT="0">
            <wp:extent cx="5486400" cy="2951866"/>
            <wp:effectExtent b="0" l="0" r="0" t="0"/>
            <wp:docPr id="16" name="image-2bd8dee6e9a8b9ffb8ac19eca300df757f738c74.jpg"/>
            <a:graphic>
              <a:graphicData uri="http://schemas.openxmlformats.org/drawingml/2006/picture">
                <pic:pic>
                  <pic:nvPicPr>
                    <pic:cNvPr id="16" name="image-2bd8dee6e9a8b9ffb8ac19eca300df757f738c74.jpg" descr=""/>
                    <pic:cNvPicPr/>
                  </pic:nvPicPr>
                  <pic:blipFill>
                    <a:blip r:embed="rId20" cstate="print"/>
                    <a:srcRect b="0" l="0" r="0" t="0"/>
                    <a:stretch>
                      <a:fillRect/>
                    </a:stretch>
                  </pic:blipFill>
                  <pic:spPr>
                    <a:xfrm>
                      <a:off x="0" y="0"/>
                      <a:ext cx="5486400" cy="2951866"/>
                    </a:xfrm>
                    <a:prstGeom prst="rect"/>
                  </pic:spPr>
                </pic:pic>
              </a:graphicData>
            </a:graphic>
          </wp:inline>
        </w:drawing>
      </w:r>
    </w:p>
    <w:p>
      <w:pPr>
        <w:spacing w:lineRule="auto"/>
      </w:pPr>
      <w:r>
        <w:rPr>
          <w:rFonts w:eastAsia="Georgia" w:cs="Georgia" w:ascii="Georgia" w:hAnsi="Georgia"/>
        </w:rPr>
        <w:t xml:space="preserve">Figure 15 - Diagramme de Bode en gain expérimental : évolution du gain en décibels en fonction de la fréquence.</w:t>
      </w:r>
    </w:p>
    <w:p>
      <w:pPr>
        <w:spacing w:after="220" w:lineRule="auto"/>
      </w:pPr>
      <w:r>
        <w:rPr>
          <w:rFonts w:eastAsia="Georgia" w:cs="Georgia" w:ascii="Georgia" w:hAnsi="Georgia"/>
        </w:rPr>
        <w:t xml:space="preserve">F1. Comparer la fréquence de résonance expérimentale à la prédiction théorique de la question E5.</w:t>
      </w:r>
    </w:p>
    <w:p>
      <w:pPr>
        <w:spacing w:after="220" w:lineRule="auto"/>
      </w:pPr>
      <w:r>
        <w:rPr>
          <w:rFonts w:eastAsia="Georgia" w:cs="Georgia" w:ascii="Georgia" w:hAnsi="Georgia"/>
        </w:rPr>
        <w:t xml:space="preserve">Le rendement de la transmission de puissance est essentiellement fixé par deux paramètres : le coefficient de couplage </w:t>
      </w:r>
      <m:oMath>
        <m:r>
          <m:rPr>
            <m:sty m:val="i"/>
          </m:rPr>
          <m:t>k</m:t>
        </m:r>
      </m:oMath>
      <w:r>
        <w:rPr>
          <w:rFonts w:eastAsia="Georgia" w:cs="Georgia" w:ascii="Georgia" w:hAnsi="Georgia"/>
        </w:rPr>
        <w:t xml:space="preserve"> entre les circuits primaire et secondaire, ainsi que le facteur de qualité </w:t>
      </w:r>
      <m:oMath>
        <m:r>
          <m:rPr>
            <m:sty m:val="i"/>
          </m:rPr>
          <m:t>Q</m:t>
        </m:r>
      </m:oMath>
      <w:r>
        <w:rPr>
          <w:rFonts w:eastAsia="Georgia" w:cs="Georgia" w:ascii="Georgia" w:hAnsi="Georgia"/>
        </w:rPr>
        <w:t xml:space="preserve"> des oscillateurs RLC couplés.</w:t>
      </w:r>
      <w:r>
        <w:rPr/>
        <w:br w:type="textWrapping"/>
      </w:r>
      <w:r>
        <w:rPr>
          <w:rFonts w:eastAsia="Georgia" w:cs="Georgia" w:ascii="Georgia" w:hAnsi="Georgia"/>
        </w:rPr>
        <w:t xml:space="preserve">F2. En analysant le diagramme de Bode en gain expérimental, déterminer la valeur de </w:t>
      </w:r>
      <m:oMath>
        <m:r>
          <m:rPr>
            <m:sty m:val="i"/>
          </m:rPr>
          <m:t>k</m:t>
        </m:r>
      </m:oMath>
      <w:r>
        <w:rPr/>
        <w:t xml:space="preserve">.</w:t>
      </w:r>
      <w:r>
        <w:rPr/>
        <w:br w:type="textWrapping"/>
      </w:r>
      <w:r>
        <w:rPr>
          <w:rFonts w:eastAsia="Georgia" w:cs="Georgia" w:ascii="Georgia" w:hAnsi="Georgia"/>
        </w:rPr>
        <w:t xml:space="preserve">L'hypothèse </w:t>
      </w:r>
      <m:oMath>
        <m:r>
          <m:rPr>
            <m:sty m:val="i"/>
          </m:rPr>
          <m:t>k</m:t>
        </m:r>
        <m:r>
          <m:rPr>
            <m:sty m:val="p"/>
          </m:rPr>
          <m:t>≪</m:t>
        </m:r>
        <m:r>
          <m:rPr>
            <m:sty m:val="p"/>
          </m:rPr>
          <m:t>1</m:t>
        </m:r>
      </m:oMath>
      <w:r>
        <w:rPr>
          <w:rFonts w:eastAsia="Georgia" w:cs="Georgia" w:ascii="Georgia" w:hAnsi="Georgia"/>
        </w:rPr>
        <w:t xml:space="preserve"> faite dans la sous-partie précédente est-elle validée?</w:t>
      </w:r>
    </w:p>
    <w:p>
      <w:pPr>
        <w:spacing w:after="220" w:lineRule="auto"/>
      </w:pPr>
      <w:r>
        <w:rPr>
          <w:rFonts w:eastAsia="Georgia" w:cs="Georgia" w:ascii="Georgia" w:hAnsi="Georgia"/>
        </w:rPr>
        <w:t xml:space="preserve">F3. En détaillant votre méthode, estimer la valeur du facteur de qualité </w:t>
      </w:r>
      <m:oMath>
        <m:r>
          <m:rPr>
            <m:sty m:val="i"/>
          </m:rPr>
          <m:t>Q</m:t>
        </m:r>
      </m:oMath>
      <w:r>
        <w:rPr>
          <w:rFonts w:eastAsia="Georgia" w:cs="Georgia" w:ascii="Georgia" w:hAnsi="Georgia"/>
        </w:rPr>
        <w:t xml:space="preserve"> et la comparer à son expression obtenue à la question </w:t>
      </w:r>
      <m:oMath>
        <m:bar>
          <m:barPr/>
          <m:e>
            <m:r>
              <m:rPr>
                <m:sty m:val="b"/>
              </m:rPr>
              <m:t>E</m:t>
            </m:r>
            <m:r>
              <m:rPr>
                <m:sty m:val="b"/>
              </m:rPr>
              <m:t>4</m:t>
            </m:r>
          </m:e>
        </m:bar>
      </m:oMath>
      <w:r>
        <w:rPr/>
        <w:t xml:space="preserve">.</w:t>
      </w:r>
      <w:r>
        <w:rPr/>
        <w:br w:type="textWrapping"/>
      </w:r>
      <w:r>
        <w:rPr>
          <w:rFonts w:eastAsia="Georgia" w:cs="Georgia" w:ascii="Georgia" w:hAnsi="Georgia"/>
        </w:rPr>
        <w:t xml:space="preserve">La figure 16 représente les évolutions comparées du rendement de la transmission de puissance en fonction de la fréquence, pour le couplage non résonant et le couplage résonant.</w:t>
      </w:r>
    </w:p>
    <w:p>
      <w:pPr>
        <w:spacing w:lineRule="auto"/>
        <w:jc w:val="center"/>
      </w:pPr>
      <w:r>
        <w:rPr/>
        <w:drawing>
          <wp:inline distB="0" distL="0" distR="0" distT="0">
            <wp:extent cx="5486400" cy="2790825"/>
            <wp:effectExtent b="0" l="0" r="0" t="0"/>
            <wp:docPr id="17" name="image-454ffa46fc9cf547d784f1df185df03c2f279a07.jpg"/>
            <a:graphic>
              <a:graphicData uri="http://schemas.openxmlformats.org/drawingml/2006/picture">
                <pic:pic>
                  <pic:nvPicPr>
                    <pic:cNvPr id="17" name="image-454ffa46fc9cf547d784f1df185df03c2f279a07.jpg" descr=""/>
                    <pic:cNvPicPr/>
                  </pic:nvPicPr>
                  <pic:blipFill>
                    <a:blip r:embed="rId21" cstate="print"/>
                    <a:srcRect b="0" l="0" r="0" t="0"/>
                    <a:stretch>
                      <a:fillRect/>
                    </a:stretch>
                  </pic:blipFill>
                  <pic:spPr>
                    <a:xfrm>
                      <a:off x="0" y="0"/>
                      <a:ext cx="5486400" cy="2790825"/>
                    </a:xfrm>
                    <a:prstGeom prst="rect"/>
                  </pic:spPr>
                </pic:pic>
              </a:graphicData>
            </a:graphic>
          </wp:inline>
        </w:drawing>
      </w:r>
    </w:p>
    <w:p>
      <w:pPr>
        <w:spacing w:lineRule="auto"/>
      </w:pPr>
      <w:r>
        <w:rPr>
          <w:rFonts w:eastAsia="Georgia" w:cs="Georgia" w:ascii="Georgia" w:hAnsi="Georgia"/>
        </w:rPr>
        <w:t xml:space="preserve">Figure 16 - Évolution du rendement en fonction de la fréquence.</w:t>
      </w:r>
    </w:p>
    <w:p>
      <w:pPr>
        <w:spacing w:after="220" w:lineRule="auto"/>
      </w:pPr>
      <w:r>
        <w:rPr/>
        <w:t xml:space="preserve">F4. Estimer le rendement maximal </w:t>
      </w:r>
      <m:oMath>
        <m:sSubSup>
          <m:sSubSupPr/>
          <m:e>
            <m:r>
              <m:rPr>
                <m:sty m:val="i"/>
              </m:rPr>
              <m:t>η</m:t>
            </m:r>
          </m:e>
          <m:sub>
            <m:r>
              <m:rPr>
                <m:nor/>
              </m:rPr>
              <m:t>max </m:t>
            </m:r>
          </m:sub>
          <m:sup>
            <m:r>
              <m:rPr>
                <m:sty m:val="i"/>
              </m:rPr>
              <m:t>′</m:t>
            </m:r>
          </m:sup>
        </m:sSubSup>
      </m:oMath>
      <w:r>
        <w:rPr>
          <w:rFonts w:eastAsia="Georgia" w:cs="Georgia" w:ascii="Georgia" w:hAnsi="Georgia"/>
        </w:rPr>
        <w:t xml:space="preserve"> en couplage résonant; commenter.</w:t>
      </w:r>
      <w:r>
        <w:rPr/>
        <w:br w:type="textWrapping"/>
      </w:r>
      <w:r>
        <w:rPr>
          <w:rFonts w:eastAsia="Georgia" w:cs="Georgia" w:ascii="Georgia" w:hAnsi="Georgia"/>
        </w:rPr>
        <w:t xml:space="preserve">F5. Le choix de la fréquence de travail vous semble-t-il déterminant dans le cadre du couplage inductif résonant? Comment choisir les valeurs de </w:t>
      </w:r>
      <m:oMath>
        <m:r>
          <m:rPr>
            <m:sty m:val="i"/>
          </m:rPr>
          <m:t>R</m:t>
        </m:r>
        <m:r>
          <m:rPr>
            <m:sty m:val="p"/>
          </m:rPr>
          <m:t>,</m:t>
        </m:r>
        <m:r>
          <m:rPr>
            <m:sty m:val="i"/>
          </m:rPr>
          <m:t>L</m:t>
        </m:r>
      </m:oMath>
      <w:r>
        <w:rPr/>
        <w:t xml:space="preserve"> et </w:t>
      </w:r>
      <m:oMath>
        <m:r>
          <m:rPr>
            <m:sty m:val="i"/>
          </m:rPr>
          <m:t>C</m:t>
        </m:r>
      </m:oMath>
      <w:r>
        <w:rPr/>
        <w:t xml:space="preserve"> pour optimiser la transmission de puissance?</w:t>
      </w:r>
      <w:r>
        <w:rPr/>
        <w:br w:type="textWrapping"/>
      </w:r>
      <w:r>
        <w:rPr>
          <w:rFonts w:eastAsia="Georgia" w:cs="Georgia" w:ascii="Georgia" w:hAnsi="Georgia"/>
        </w:rPr>
        <w:t xml:space="preserve">F6. Afin d'accroître encore le couplage, on trouve dans la littérature d'autres systèmes constitués de plusieurs résonateurs (voir figure 17) ou d'un noyau ferromagnétique (non approprié dans le cas d'un récepteur mobile). Quel pourrait être l'intérêt de tels dispositifs?</w:t>
      </w:r>
      <w:r>
        <w:rPr/>
        <w:br w:type="textWrapping"/>
      </w:r>
    </w:p>
    <w:p>
      <w:pPr>
        <w:spacing w:lineRule="auto"/>
        <w:jc w:val="center"/>
      </w:pPr>
      <w:r>
        <w:rPr/>
        <w:drawing>
          <wp:inline distB="0" distL="0" distR="0" distT="0">
            <wp:extent cx="4552950" cy="3600450"/>
            <wp:effectExtent b="0" l="0" r="0" t="0"/>
            <wp:docPr id="18" name="image-c131dd185df72b0d6bb78e284000df21c65d12c2.jpg"/>
            <a:graphic>
              <a:graphicData uri="http://schemas.openxmlformats.org/drawingml/2006/picture">
                <pic:pic>
                  <pic:nvPicPr>
                    <pic:cNvPr id="18" name="image-c131dd185df72b0d6bb78e284000df21c65d12c2.jpg" descr=""/>
                    <pic:cNvPicPr/>
                  </pic:nvPicPr>
                  <pic:blipFill>
                    <a:blip r:embed="rId22" cstate="print"/>
                    <a:srcRect b="0" l="0" r="0" t="0"/>
                    <a:stretch>
                      <a:fillRect/>
                    </a:stretch>
                  </pic:blipFill>
                  <pic:spPr>
                    <a:xfrm>
                      <a:off x="0" y="0"/>
                      <a:ext cx="4552950" cy="36004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362575" cy="3648075"/>
            <wp:effectExtent b="0" l="0" r="0" t="0"/>
            <wp:docPr id="19" name="image-1b5fe930d1909a229121282b15bbe85df05081ce.jpg"/>
            <a:graphic>
              <a:graphicData uri="http://schemas.openxmlformats.org/drawingml/2006/picture">
                <pic:pic>
                  <pic:nvPicPr>
                    <pic:cNvPr id="19" name="image-1b5fe930d1909a229121282b15bbe85df05081ce.jpg" descr=""/>
                    <pic:cNvPicPr/>
                  </pic:nvPicPr>
                  <pic:blipFill>
                    <a:blip r:embed="rId23" cstate="print"/>
                    <a:srcRect b="0" l="0" r="0" t="0"/>
                    <a:stretch>
                      <a:fillRect/>
                    </a:stretch>
                  </pic:blipFill>
                  <pic:spPr>
                    <a:xfrm>
                      <a:off x="0" y="0"/>
                      <a:ext cx="5362575" cy="3648075"/>
                    </a:xfrm>
                    <a:prstGeom prst="rect"/>
                  </pic:spPr>
                </pic:pic>
              </a:graphicData>
            </a:graphic>
          </wp:inline>
        </w:drawing>
      </w:r>
    </w:p>
    <w:p>
      <w:pPr>
        <w:spacing w:after="220" w:lineRule="auto"/>
      </w:pPr>
      <w:r>
        <w:rPr>
          <w:rFonts w:eastAsia="Georgia" w:cs="Georgia" w:ascii="Georgia" w:hAnsi="Georgia"/>
        </w:rPr>
        <w:t xml:space="preserve">Figure 17 - À gauche : association de cinq résonateurs en ligne (ou répéteurs); à droite : résonateurs diélectriques céramiques de permittivité élevée.</w:t>
      </w:r>
    </w:p>
    <w:p>
      <w:pPr>
        <w:spacing w:line="271" w:before="330" w:lineRule="auto"/>
      </w:pPr>
      <w:r>
        <w:rPr>
          <w:b/>
          <w:sz w:val="42"/>
        </w:rPr>
        <w:t xml:space="preserve">G / Travaux de recherche</w:t>
      </w:r>
    </w:p>
    <w:p>
      <w:pPr>
        <w:spacing w:after="220" w:lineRule="auto"/>
      </w:pPr>
      <w:r>
        <w:rPr>
          <w:rFonts w:eastAsia="Georgia" w:cs="Georgia" w:ascii="Georgia" w:hAnsi="Georgia"/>
        </w:rPr>
        <w:t xml:space="preserve">Comme montré dans la sous-partie précédente, le rendement de puissance est d'autant meilleur que la résistance électrique des circuits est petite, pour des valeurs de </w:t>
      </w:r>
      <m:oMath>
        <m:r>
          <m:rPr>
            <m:sty m:val="i"/>
          </m:rPr>
          <m:t>L</m:t>
        </m:r>
      </m:oMath>
      <w:r>
        <w:rPr/>
        <w:t xml:space="preserve"> et </w:t>
      </w:r>
      <m:oMath>
        <m:r>
          <m:rPr>
            <m:sty m:val="i"/>
          </m:rPr>
          <m:t>C</m:t>
        </m:r>
      </m:oMath>
      <w:r>
        <w:rPr>
          <w:rFonts w:eastAsia="Georgia" w:cs="Georgia" w:ascii="Georgia" w:hAnsi="Georgia"/>
        </w:rPr>
        <w:t xml:space="preserve"> fixées.</w:t>
      </w:r>
      <w:r>
        <w:rPr/>
        <w:br w:type="textWrapping"/>
      </w:r>
      <w:r>
        <w:rPr>
          <w:rFonts w:eastAsia="Georgia" w:cs="Georgia" w:ascii="Georgia" w:hAnsi="Georgia"/>
        </w:rPr>
        <w:t xml:space="preserve">Dans les travaux de Marin Soljačić parus en 2007 et évoqués en introduction, les bobines sont constituées d'un fil de cuivre de longueur totale </w:t>
      </w:r>
      <m:oMath>
        <m:r>
          <m:rPr>
            <m:sty m:val="i"/>
          </m:rPr>
          <m:t>ℓ</m:t>
        </m:r>
      </m:oMath>
      <w:r>
        <w:rPr/>
        <w:t xml:space="preserve"> et de rayon </w:t>
      </w:r>
      <m:oMath>
        <m:r>
          <m:rPr>
            <m:sty m:val="i"/>
          </m:rPr>
          <m:t>a</m:t>
        </m:r>
        <m:r>
          <m:rPr>
            <m:sty m:val="p"/>
          </m:rPr>
          <m:t>=</m:t>
        </m:r>
        <m:r>
          <m:rPr>
            <m:sty m:val="p"/>
          </m:rPr>
          <m:t>3</m:t>
        </m:r>
        <m:r>
          <m:rPr>
            <m:nor/>
          </m:rPr>
          <m:t xml:space="preserve"> </m:t>
        </m:r>
        <m:r>
          <m:rPr>
            <m:sty m:val="p"/>
          </m:rPr>
          <m:t>mm</m:t>
        </m:r>
      </m:oMath>
      <w:r>
        <w:rPr>
          <w:rFonts w:eastAsia="Georgia" w:cs="Georgia" w:ascii="Georgia" w:hAnsi="Georgia"/>
        </w:rPr>
        <w:t xml:space="preserve">, enroulé selon une hélice de </w:t>
      </w:r>
      <m:oMath>
        <m:r>
          <m:rPr>
            <m:sty m:val="i"/>
          </m:rPr>
          <m:t>n</m:t>
        </m:r>
        <m:r>
          <m:rPr>
            <m:sty m:val="p"/>
          </m:rPr>
          <m:t>=</m:t>
        </m:r>
        <m:r>
          <m:rPr>
            <m:sty m:val="p"/>
          </m:rPr>
          <m:t>5</m:t>
        </m:r>
        <m:r>
          <m:rPr>
            <m:sty m:val="p"/>
          </m:rPr>
          <m:t>,</m:t>
        </m:r>
        <m:r>
          <m:rPr>
            <m:sty m:val="p"/>
          </m:rPr>
          <m:t>25</m:t>
        </m:r>
      </m:oMath>
      <w:r>
        <w:rPr/>
        <w:t xml:space="preserve"> tours, de rayon </w:t>
      </w:r>
      <m:oMath>
        <m:r>
          <m:rPr>
            <m:sty m:val="i"/>
          </m:rPr>
          <m:t>r</m:t>
        </m:r>
        <m:r>
          <m:rPr>
            <m:sty m:val="p"/>
          </m:rPr>
          <m:t>=</m:t>
        </m:r>
        <m:r>
          <m:rPr>
            <m:sty m:val="p"/>
          </m:rPr>
          <m:t>30</m:t>
        </m:r>
        <m:r>
          <m:rPr>
            <m:nor/>
          </m:rPr>
          <m:t xml:space="preserve"> </m:t>
        </m:r>
        <m:r>
          <m:rPr>
            <m:sty m:val="p"/>
          </m:rPr>
          <m:t>cm</m:t>
        </m:r>
      </m:oMath>
      <w:r>
        <w:rPr/>
        <w:t xml:space="preserve"> et de hauteur </w:t>
      </w:r>
      <m:oMath>
        <m:r>
          <m:rPr>
            <m:sty m:val="i"/>
          </m:rPr>
          <m:t>h</m:t>
        </m:r>
        <m:r>
          <m:rPr>
            <m:sty m:val="p"/>
          </m:rPr>
          <m:t>=</m:t>
        </m:r>
        <m:r>
          <m:rPr>
            <m:sty m:val="p"/>
          </m:rPr>
          <m:t>20</m:t>
        </m:r>
        <m:r>
          <m:rPr>
            <m:nor/>
          </m:rPr>
          <m:t xml:space="preserve"> </m:t>
        </m:r>
        <m:r>
          <m:rPr>
            <m:sty m:val="p"/>
          </m:rPr>
          <m:t>cm</m:t>
        </m:r>
      </m:oMath>
      <w:r>
        <w:rPr/>
        <w:t xml:space="preserve">, comme le montre la figure 2 (photographie de droite). On note </w:t>
      </w:r>
      <m:oMath>
        <m:r>
          <m:rPr>
            <m:sty m:val="i"/>
          </m:rPr>
          <m:t>σ</m:t>
        </m:r>
      </m:oMath>
      <w:r>
        <w:rPr>
          <w:rFonts w:eastAsia="Georgia" w:cs="Georgia" w:ascii="Georgia" w:hAnsi="Georgia"/>
        </w:rPr>
        <w:t xml:space="preserve"> la conductivité électrique du cuivre. La fréquence de résonance mesurée vaut </w:t>
      </w:r>
      <m:oMath>
        <m:r>
          <m:rPr>
            <m:sty m:val="p"/>
          </m:rPr>
          <m:t>9</m:t>
        </m:r>
        <m:r>
          <m:rPr>
            <m:sty m:val="p"/>
          </m:rPr>
          <m:t>,</m:t>
        </m:r>
        <m:r>
          <m:rPr>
            <m:sty m:val="p"/>
          </m:rPr>
          <m:t>90</m:t>
        </m:r>
        <m:r>
          <m:rPr>
            <m:sty m:val="p"/>
          </m:rPr>
          <m:t>MHz</m:t>
        </m:r>
      </m:oMath>
      <w:r>
        <w:rPr>
          <w:rFonts w:eastAsia="Georgia" w:cs="Georgia" w:ascii="Georgia" w:hAnsi="Georgia"/>
        </w:rPr>
        <w:t xml:space="preserve">. On trouve dans la publication une expression théorique de la résistance ohmique </w:t>
      </w:r>
      <m:oMath>
        <m:sSub>
          <m:sSubPr/>
          <m:e>
            <m:r>
              <m:rPr>
                <m:sty m:val="i"/>
              </m:rPr>
              <m:t>R</m:t>
            </m:r>
          </m:e>
          <m:sub>
            <m:r>
              <m:rPr>
                <m:sty m:val="p"/>
              </m:rPr>
              <m:t>0</m:t>
            </m:r>
          </m:sub>
        </m:sSub>
      </m:oMath>
      <w:r>
        <w:rPr/>
        <w:t xml:space="preserve"> des bobines en fonction des grandeurs </w:t>
      </w:r>
      <m:oMath>
        <m:r>
          <m:rPr>
            <m:sty m:val="i"/>
          </m:rPr>
          <m:t>σ</m:t>
        </m:r>
        <m:r>
          <m:rPr>
            <m:sty m:val="p"/>
          </m:rPr>
          <m:t>,</m:t>
        </m:r>
        <m:r>
          <m:rPr>
            <m:sty m:val="i"/>
          </m:rPr>
          <m:t>ℓ</m:t>
        </m:r>
        <m:r>
          <m:rPr>
            <m:sty m:val="p"/>
          </m:rPr>
          <m:t>,</m:t>
        </m:r>
        <m:r>
          <m:rPr>
            <m:sty m:val="i"/>
          </m:rPr>
          <m:t>a</m:t>
        </m:r>
      </m:oMath>
      <w:r>
        <w:rPr>
          <w:rFonts w:eastAsia="Georgia" w:cs="Georgia" w:ascii="Georgia" w:hAnsi="Georgia"/>
        </w:rPr>
        <w:t xml:space="preserve">, et de façon plus surprenante de la pulsation </w:t>
      </w:r>
      <m:oMath>
        <m:r>
          <m:rPr>
            <m:sty m:val="i"/>
          </m:rPr>
          <m:t>ω</m:t>
        </m:r>
      </m:oMath>
      <w:r>
        <w:rPr/>
        <w:t xml:space="preserve"> :</w:t>
      </w:r>
    </w:p>
    <w:p>
      <w:pPr>
        <w:spacing w:after="220" w:lineRule="auto"/>
      </w:pPr>
      <m:oMathPara>
        <m:oMath>
          <m:sSub>
            <m:sSubPr/>
            <m:e>
              <m:r>
                <m:rPr>
                  <m:sty m:val="i"/>
                </m:rPr>
                <m:t>R</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μ</m:t>
                      </m:r>
                    </m:e>
                    <m:sub>
                      <m:r>
                        <m:rPr>
                          <m:sty m:val="p"/>
                        </m:rPr>
                        <m:t>0</m:t>
                      </m:r>
                    </m:sub>
                  </m:sSub>
                  <m:r>
                    <m:rPr>
                      <m:sty m:val="i"/>
                    </m:rPr>
                    <m:t>ω</m:t>
                  </m:r>
                </m:num>
                <m:den>
                  <m:r>
                    <m:rPr>
                      <m:sty m:val="p"/>
                    </m:rPr>
                    <m:t>2</m:t>
                  </m:r>
                  <m:r>
                    <m:rPr>
                      <m:sty m:val="i"/>
                    </m:rPr>
                    <m:t>σ</m:t>
                  </m:r>
                </m:den>
              </m:f>
            </m:e>
          </m:rad>
          <m:f>
            <m:fPr>
              <m:ctrlPr>
                <w:rPr>
                  <w:rFonts w:ascii="Cambria Math" w:hAnsi="Cambria Math"/>
                </w:rPr>
              </m:ctrlPr>
            </m:fPr>
            <m:num>
              <m:r>
                <m:rPr>
                  <m:sty m:val="i"/>
                </m:rPr>
                <m:t>ℓ</m:t>
              </m:r>
            </m:num>
            <m:den>
              <m:r>
                <m:rPr>
                  <m:sty m:val="p"/>
                </m:rPr>
                <m:t>4</m:t>
              </m:r>
              <m:r>
                <m:rPr>
                  <m:sty m:val="i"/>
                </m:rPr>
                <m:t>π</m:t>
              </m:r>
              <m:r>
                <m:rPr>
                  <m:sty m:val="i"/>
                </m:rPr>
                <m:t>a</m:t>
              </m:r>
            </m:den>
          </m:f>
        </m:oMath>
      </m:oMathPara>
    </w:p>
    <w:p>
      <w:pPr>
        <w:spacing w:after="220" w:lineRule="auto"/>
      </w:pPr>
      <w:r>
        <w:rPr>
          <w:rFonts w:eastAsia="Georgia" w:cs="Georgia" w:ascii="Georgia" w:hAnsi="Georgia"/>
        </w:rPr>
        <w:t xml:space="preserve">G1. Estimer numériquement la longueur totale </w:t>
      </w:r>
      <m:oMath>
        <m:r>
          <m:rPr>
            <m:sty m:val="i"/>
          </m:rPr>
          <m:t>ℓ</m:t>
        </m:r>
      </m:oMath>
      <w:r>
        <w:rPr>
          <w:rFonts w:eastAsia="Georgia" w:cs="Georgia" w:ascii="Georgia" w:hAnsi="Georgia"/>
        </w:rPr>
        <w:t xml:space="preserve"> du fil de cuivre, puis sa résistance électrique </w:t>
      </w:r>
      <m:oMath>
        <m:sSub>
          <m:sSubPr/>
          <m:e>
            <m:r>
              <m:rPr>
                <m:sty m:val="i"/>
              </m:rPr>
              <m:t>R</m:t>
            </m:r>
          </m:e>
          <m:sub>
            <m:r>
              <m:rPr>
                <m:sty m:val="p"/>
              </m:rPr>
              <m:t>0</m:t>
            </m:r>
          </m:sub>
        </m:sSub>
      </m:oMath>
      <w:r>
        <w:rPr>
          <w:rFonts w:eastAsia="Georgia" w:cs="Georgia" w:ascii="Georgia" w:hAnsi="Georgia"/>
        </w:rPr>
        <w:t xml:space="preserve"> à la résonance.</w:t>
      </w:r>
    </w:p>
    <w:p>
      <w:pPr>
        <w:spacing w:after="220" w:lineRule="auto"/>
      </w:pPr>
      <w:r>
        <w:rPr>
          <w:rFonts w:eastAsia="Georgia" w:cs="Georgia" w:ascii="Georgia" w:hAnsi="Georgia"/>
        </w:rPr>
        <w:t xml:space="preserve">G2. Quel effet est responsable de la dépendance de </w:t>
      </w:r>
      <m:oMath>
        <m:sSub>
          <m:sSubPr/>
          <m:e>
            <m:r>
              <m:rPr>
                <m:sty m:val="i"/>
              </m:rPr>
              <m:t>R</m:t>
            </m:r>
          </m:e>
          <m:sub>
            <m:r>
              <m:rPr>
                <m:sty m:val="p"/>
              </m:rPr>
              <m:t>0</m:t>
            </m:r>
          </m:sub>
        </m:sSub>
      </m:oMath>
      <w:r>
        <w:rPr/>
        <w:t xml:space="preserve"> avec </w:t>
      </w:r>
      <m:oMath>
        <m:r>
          <m:rPr>
            <m:sty m:val="i"/>
          </m:rPr>
          <m:t>ω</m:t>
        </m:r>
      </m:oMath>
      <w:r>
        <w:rPr>
          <w:rFonts w:eastAsia="Georgia" w:cs="Georgia" w:ascii="Georgia" w:hAnsi="Georgia"/>
        </w:rPr>
        <w:t xml:space="preserve"> ? Proposer une modélisation simple permettant de retrouver, aux facteurs numériques près, l'expression de </w:t>
      </w:r>
      <m:oMath>
        <m:sSub>
          <m:sSubPr/>
          <m:e>
            <m:r>
              <m:rPr>
                <m:sty m:val="i"/>
              </m:rPr>
              <m:t>R</m:t>
            </m:r>
          </m:e>
          <m:sub>
            <m:r>
              <m:rPr>
                <m:sty m:val="p"/>
              </m:rPr>
              <m:t>0</m:t>
            </m:r>
          </m:sub>
        </m:sSub>
      </m:oMath>
      <w:r>
        <w:rPr/>
        <w:t xml:space="preserve">.</w:t>
      </w:r>
      <w:r>
        <w:rPr/>
        <w:br w:type="textWrapping"/>
      </w:r>
      <w:r>
        <w:rPr/>
        <w:t xml:space="preserve">G3. En comparant le rayon </w:t>
      </w:r>
      <m:oMath>
        <m:r>
          <m:rPr>
            <m:sty m:val="i"/>
          </m:rPr>
          <m:t>a</m:t>
        </m:r>
      </m:oMath>
      <w:r>
        <w:rPr>
          <w:rFonts w:eastAsia="Georgia" w:cs="Georgia" w:ascii="Georgia" w:hAnsi="Georgia"/>
        </w:rPr>
        <w:t xml:space="preserve"> à une distance caractéristique du phénomène, justifier que l'effet invoqué à la question précédente doive être pris en compte à la fréquence donnée.</w:t>
      </w:r>
      <w:r>
        <w:rPr/>
        <w:br w:type="textWrapping"/>
      </w:r>
      <w:r>
        <w:rPr/>
        <w:t xml:space="preserve">Partant de cette expression de </w:t>
      </w:r>
      <m:oMath>
        <m:sSub>
          <m:sSubPr/>
          <m:e>
            <m:r>
              <m:rPr>
                <m:sty m:val="i"/>
              </m:rPr>
              <m:t>R</m:t>
            </m:r>
          </m:e>
          <m:sub>
            <m:r>
              <m:rPr>
                <m:sty m:val="p"/>
              </m:rPr>
              <m:t>0</m:t>
            </m:r>
          </m:sub>
        </m:sSub>
      </m:oMath>
      <w:r>
        <w:rPr>
          <w:rFonts w:eastAsia="Georgia" w:cs="Georgia" w:ascii="Georgia" w:hAnsi="Georgia"/>
        </w:rPr>
        <w:t xml:space="preserve">, le facteur de qualité théorique </w:t>
      </w:r>
      <m:oMath>
        <m:r>
          <m:rPr>
            <m:sty m:val="i"/>
          </m:rPr>
          <m:t>Q</m:t>
        </m:r>
      </m:oMath>
      <w:r>
        <w:rPr>
          <w:rFonts w:eastAsia="Georgia" w:cs="Georgia" w:ascii="Georgia" w:hAnsi="Georgia"/>
        </w:rPr>
        <w:t xml:space="preserve"> des circuits est estimé à 2500 , alors que la valeur mesurée est seulement de </w:t>
      </w:r>
      <m:oMath>
        <m:r>
          <m:rPr>
            <m:sty m:val="i"/>
          </m:rPr>
          <m:t>Q</m:t>
        </m:r>
        <m:r>
          <m:rPr>
            <m:sty m:val="p"/>
          </m:rPr>
          <m:t>=</m:t>
        </m:r>
        <m:r>
          <m:rPr>
            <m:sty m:val="p"/>
          </m:rPr>
          <m:t>950</m:t>
        </m:r>
        <m:r>
          <m:rPr>
            <m:sty m:val="p"/>
          </m:rPr>
          <m:t>±</m:t>
        </m:r>
        <m:r>
          <m:rPr>
            <m:sty m:val="p"/>
          </m:rPr>
          <m:t>50</m:t>
        </m:r>
      </m:oMath>
      <w:r>
        <w:rPr>
          <w:rFonts w:eastAsia="Georgia" w:cs="Georgia" w:ascii="Georgia" w:hAnsi="Georgia"/>
        </w:rPr>
        <w:t xml:space="preserve">. Les auteurs de l'article pensent que cet écart est principalement dû à l'effet d'une fine couche d'oxyde de cuivre faiblement conducteur, déposée sur la surface du fil de cuivre.</w:t>
      </w:r>
      <w:r>
        <w:rPr/>
        <w:br w:type="textWrapping"/>
      </w:r>
      <w:r>
        <w:rPr>
          <w:rFonts w:eastAsia="Georgia" w:cs="Georgia" w:ascii="Georgia" w:hAnsi="Georgia"/>
        </w:rPr>
        <w:t xml:space="preserve">G4. Montrer que cette explication semble cohérente avec le raisonnement développé aux questions précédentes.</w:t>
      </w:r>
      <w:r>
        <w:rPr/>
        <w:br w:type="textWrapping"/>
      </w:r>
      <w:r>
        <w:rPr>
          <w:rFonts w:eastAsia="Georgia" w:cs="Georgia" w:ascii="Georgia" w:hAnsi="Georgia"/>
        </w:rPr>
        <w:t xml:space="preserve">Pour décrire le phénomène de résonance dans le fil, les auteurs considèrent un profil de courant de la forme</w:t>
      </w:r>
    </w:p>
    <w:p>
      <w:pPr>
        <w:spacing w:after="220" w:lineRule="auto"/>
      </w:pPr>
      <m:oMathPara>
        <m:oMath>
          <m:r>
            <m:rPr>
              <m:sty m:val="i"/>
            </m:rPr>
            <m:t>i</m:t>
          </m:r>
          <m:r>
            <m:rPr>
              <m:sty m:val="p"/>
            </m:rPr>
            <m:t>(</m:t>
          </m:r>
          <m:r>
            <m:rPr>
              <m:sty m:val="i"/>
            </m:rPr>
            <m:t>x</m:t>
          </m:r>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x</m:t>
                  </m:r>
                </m:num>
                <m:den>
                  <m:r>
                    <m:rPr>
                      <m:sty m:val="i"/>
                    </m:rPr>
                    <m:t>ℓ</m:t>
                  </m:r>
                </m:den>
              </m:f>
            </m:e>
          </m:d>
          <m:r>
            <m:rPr>
              <m:sty m:val="p"/>
            </m:rPr>
            <m:t>cos</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où </w:t>
      </w:r>
      <m:oMath>
        <m:r>
          <m:rPr>
            <m:sty m:val="i"/>
          </m:rPr>
          <m:t>x</m:t>
        </m:r>
      </m:oMath>
      <w:r>
        <w:rPr>
          <w:rFonts w:eastAsia="Georgia" w:cs="Georgia" w:ascii="Georgia" w:hAnsi="Georgia"/>
        </w:rPr>
        <w:t xml:space="preserve"> désigne l'abscisse curviligne le long du fil, compris entre les positions </w:t>
      </w:r>
      <m:oMath>
        <m:r>
          <m:rPr>
            <m:sty m:val="p"/>
          </m:rPr>
          <m:t>−</m:t>
        </m:r>
        <m:r>
          <m:rPr>
            <m:sty m:val="i"/>
          </m:rPr>
          <m:t>ℓ</m:t>
        </m:r>
        <m:r>
          <m:rPr>
            <m:sty m:val="p"/>
          </m:rPr>
          <m:t>/</m:t>
        </m:r>
        <m:r>
          <m:rPr>
            <m:sty m:val="p"/>
          </m:rPr>
          <m:t>2</m:t>
        </m:r>
      </m:oMath>
      <w:r>
        <w:rPr/>
        <w:t xml:space="preserve"> et </w:t>
      </w:r>
      <m:oMath>
        <m:r>
          <m:rPr>
            <m:sty m:val="i"/>
          </m:rPr>
          <m:t>ℓ</m:t>
        </m:r>
        <m:r>
          <m:rPr>
            <m:sty m:val="p"/>
          </m:rPr>
          <m:t>/</m:t>
        </m:r>
        <m:r>
          <m:rPr>
            <m:sty m:val="p"/>
          </m:rPr>
          <m:t>2</m:t>
        </m:r>
      </m:oMath>
      <w:r>
        <w:rPr/>
        <w:t xml:space="preserve">.</w:t>
      </w:r>
      <w:r>
        <w:rPr/>
        <w:br w:type="textWrapping"/>
      </w:r>
      <w:r>
        <w:rPr/>
        <w:t xml:space="preserve">G5. Commenter la forme de </w:t>
      </w:r>
      <m:oMath>
        <m:r>
          <m:rPr>
            <m:sty m:val="i"/>
          </m:rPr>
          <m:t>i</m:t>
        </m:r>
        <m:r>
          <m:rPr>
            <m:sty m:val="p"/>
          </m:rPr>
          <m:t>(</m:t>
        </m:r>
        <m:r>
          <m:rPr>
            <m:sty m:val="i"/>
          </m:rPr>
          <m:t>x</m:t>
        </m:r>
        <m:r>
          <m:rPr>
            <m:sty m:val="p"/>
          </m:rPr>
          <m:t>,</m:t>
        </m:r>
        <m:r>
          <m:rPr>
            <m:sty m:val="i"/>
          </m:rPr>
          <m:t>t</m:t>
        </m:r>
        <m:r>
          <m:rPr>
            <m:sty m:val="p"/>
          </m:rPr>
          <m:t>)</m:t>
        </m:r>
      </m:oMath>
      <w:r>
        <w:rPr>
          <w:rFonts w:eastAsia="Georgia" w:cs="Georgia" w:ascii="Georgia" w:hAnsi="Georgia"/>
        </w:rPr>
        <w:t xml:space="preserve"> en dressant une analogie avec un autre système. Combien de nœud(s) et ventre(s) de courant comporte le mode proposé ?</w:t>
      </w:r>
      <w:r>
        <w:rPr/>
        <w:br w:type="textWrapping"/>
      </w:r>
      <w:r>
        <w:rPr/>
        <w:t xml:space="preserve">G6. Ce profil de courant </w:t>
      </w:r>
      <m:oMath>
        <m:r>
          <m:rPr>
            <m:sty m:val="i"/>
          </m:rPr>
          <m:t>i</m:t>
        </m:r>
        <m:r>
          <m:rPr>
            <m:sty m:val="p"/>
          </m:rPr>
          <m:t>(</m:t>
        </m:r>
        <m:r>
          <m:rPr>
            <m:sty m:val="i"/>
          </m:rPr>
          <m:t>x</m:t>
        </m:r>
        <m:r>
          <m:rPr>
            <m:sty m:val="p"/>
          </m:rPr>
          <m:t>,</m:t>
        </m:r>
        <m:r>
          <m:rPr>
            <m:sty m:val="i"/>
          </m:rPr>
          <m:t>t</m:t>
        </m:r>
        <m:r>
          <m:rPr>
            <m:sty m:val="p"/>
          </m:rPr>
          <m:t>)</m:t>
        </m:r>
      </m:oMath>
      <w:r>
        <w:rPr>
          <w:rFonts w:eastAsia="Georgia" w:cs="Georgia" w:ascii="Georgia" w:hAnsi="Georgia"/>
        </w:rPr>
        <w:t xml:space="preserve"> est couplé à un profil de densité linéique de charge </w:t>
      </w:r>
      <m:oMath>
        <m:r>
          <m:rPr>
            <m:sty m:val="i"/>
          </m:rPr>
          <m:t>λ</m:t>
        </m:r>
        <m:r>
          <m:rPr>
            <m:sty m:val="p"/>
          </m:rPr>
          <m:t>(</m:t>
        </m:r>
        <m:r>
          <m:rPr>
            <m:sty m:val="i"/>
          </m:rPr>
          <m:t>x</m:t>
        </m:r>
        <m:r>
          <m:rPr>
            <m:sty m:val="p"/>
          </m:rPr>
          <m:t>,</m:t>
        </m:r>
        <m:r>
          <m:rPr>
            <m:sty m:val="i"/>
          </m:rPr>
          <m:t>t</m:t>
        </m:r>
        <m:r>
          <m:rPr>
            <m:sty m:val="p"/>
          </m:rPr>
          <m:t>)</m:t>
        </m:r>
      </m:oMath>
      <w:r>
        <w:rPr>
          <w:rFonts w:eastAsia="Georgia" w:cs="Georgia" w:ascii="Georgia" w:hAnsi="Georgia"/>
        </w:rPr>
        <w:t xml:space="preserve"> au sein du fil. En appliquant soigneusement un bilan de charge à un fin tronçon de fil d'épaisseur </w:t>
      </w:r>
      <m:oMath>
        <m:r>
          <m:rPr>
            <m:sty m:val="p"/>
          </m:rPr>
          <m:t>d</m:t>
        </m:r>
        <m:r>
          <m:rPr>
            <m:sty m:val="i"/>
          </m:rPr>
          <m:t>x</m:t>
        </m:r>
      </m:oMath>
      <w:r>
        <w:rPr/>
        <w:t xml:space="preserve"> entre les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déterminer </w:t>
      </w:r>
      <m:oMath>
        <m:r>
          <m:rPr>
            <m:sty m:val="i"/>
          </m:rPr>
          <m:t>λ</m:t>
        </m:r>
        <m:r>
          <m:rPr>
            <m:sty m:val="p"/>
          </m:rPr>
          <m:t>(</m:t>
        </m:r>
        <m:r>
          <m:rPr>
            <m:sty m:val="i"/>
          </m:rPr>
          <m:t>x</m:t>
        </m:r>
        <m:r>
          <m:rPr>
            <m:sty m:val="p"/>
          </m:rPr>
          <m:t>,</m:t>
        </m:r>
        <m:r>
          <m:rPr>
            <m:sty m:val="i"/>
          </m:rPr>
          <m:t>t</m:t>
        </m:r>
        <m:r>
          <m:rPr>
            <m:sty m:val="p"/>
          </m:rPr>
          <m:t>)</m:t>
        </m:r>
      </m:oMath>
      <w:r>
        <w:rPr/>
        <w:t xml:space="preserve"> ainsi que son amplitude maximale </w:t>
      </w:r>
      <m:oMath>
        <m:sSub>
          <m:sSubPr/>
          <m:e>
            <m:r>
              <m:rPr>
                <m:sty m:val="i"/>
              </m:rPr>
              <m:t>λ</m:t>
            </m:r>
          </m:e>
          <m:sub>
            <m:r>
              <m:rPr>
                <m:sty m:val="p"/>
              </m:rPr>
              <m:t>0</m:t>
            </m:r>
          </m:sub>
        </m:sSub>
      </m:oMath>
      <w:r>
        <w:rPr>
          <w:rFonts w:eastAsia="Georgia" w:cs="Georgia" w:ascii="Georgia" w:hAnsi="Georgia"/>
        </w:rPr>
        <w:t xml:space="preserve">. Quel déphasage temporel existe-t-il entre les profils de courant et de densité linéique de charge?</w:t>
      </w:r>
    </w:p>
    <w:p>
      <w:pPr>
        <w:spacing w:after="220" w:lineRule="auto"/>
      </w:pPr>
      <w:r>
        <w:rPr/>
        <w:t xml:space="preserve">G7. Le profil </w:t>
      </w:r>
      <m:oMath>
        <m:r>
          <m:rPr>
            <m:sty m:val="i"/>
          </m:rPr>
          <m:t>λ</m:t>
        </m:r>
        <m:r>
          <m:rPr>
            <m:sty m:val="p"/>
          </m:rPr>
          <m:t>(</m:t>
        </m:r>
        <m:r>
          <m:rPr>
            <m:sty m:val="i"/>
          </m:rPr>
          <m:t>x</m:t>
        </m:r>
        <m:r>
          <m:rPr>
            <m:sty m:val="p"/>
          </m:rPr>
          <m:t>,</m:t>
        </m:r>
        <m:r>
          <m:rPr>
            <m:sty m:val="i"/>
          </m:rPr>
          <m:t>t</m:t>
        </m:r>
        <m:r>
          <m:rPr>
            <m:sty m:val="p"/>
          </m:rPr>
          <m:t>)</m:t>
        </m:r>
      </m:oMath>
      <w:r>
        <w:rPr>
          <w:rFonts w:eastAsia="Georgia" w:cs="Georgia" w:ascii="Georgia" w:hAnsi="Georgia"/>
        </w:rPr>
        <w:t xml:space="preserve"> peut être vu comme la superposition des oscillations d'une charge globale </w:t>
      </w:r>
      <m:oMath>
        <m:sSub>
          <m:sSubPr/>
          <m:e>
            <m:r>
              <m:rPr>
                <m:sty m:val="i"/>
              </m:rPr>
              <m:t>q</m:t>
            </m:r>
          </m:e>
          <m:sub>
            <m:r>
              <m:rPr>
                <m:sty m:val="p"/>
              </m:rPr>
              <m:t>0</m:t>
            </m:r>
          </m:sub>
        </m:sSub>
        <m:r>
          <m:rPr>
            <m:sty m:val="p"/>
          </m:rPr>
          <m:t>(</m:t>
        </m:r>
        <m:r>
          <m:rPr>
            <m:sty m:val="i"/>
          </m:rPr>
          <m:t>t</m:t>
        </m:r>
        <m:r>
          <m:rPr>
            <m:sty m:val="p"/>
          </m:rPr>
          <m:t>)</m:t>
        </m:r>
      </m:oMath>
      <w:r>
        <w:rPr>
          <w:rFonts w:eastAsia="Georgia" w:cs="Georgia" w:ascii="Georgia" w:hAnsi="Georgia"/>
        </w:rPr>
        <w:t xml:space="preserve"> dans la première moitié du fil </w:t>
      </w:r>
      <m:oMath>
        <m:r>
          <m:rPr>
            <m:sty m:val="p"/>
          </m:rPr>
          <m:t>(</m:t>
        </m:r>
        <m:r>
          <m:rPr>
            <m:sty m:val="i"/>
          </m:rPr>
          <m:t>x</m:t>
        </m:r>
        <m:r>
          <m:rPr>
            <m:sty m:val="p"/>
          </m:rPr>
          <m:t>∈</m:t>
        </m:r>
        <m:r>
          <m:rPr>
            <m:sty m:val="p"/>
          </m:rPr>
          <m:t>[</m:t>
        </m:r>
        <m:r>
          <m:rPr>
            <m:sty m:val="p"/>
          </m:rPr>
          <m:t>−</m:t>
        </m:r>
        <m:r>
          <m:rPr>
            <m:sty m:val="i"/>
          </m:rPr>
          <m:t>ℓ</m:t>
        </m:r>
        <m:r>
          <m:rPr>
            <m:sty m:val="p"/>
          </m:rPr>
          <m:t>/</m:t>
        </m:r>
        <m:r>
          <m:rPr>
            <m:sty m:val="p"/>
          </m:rPr>
          <m:t>2</m:t>
        </m:r>
        <m:r>
          <m:rPr>
            <m:sty m:val="p"/>
          </m:rPr>
          <m:t>,</m:t>
        </m:r>
        <m:r>
          <m:rPr>
            <m:sty m:val="p"/>
          </m:rPr>
          <m:t>0</m:t>
        </m:r>
        <m:r>
          <m:rPr>
            <m:sty m:val="p"/>
          </m:rPr>
          <m:t>]</m:t>
        </m:r>
        <m:r>
          <m:rPr>
            <m:sty m:val="p"/>
          </m:rPr>
          <m:t>)</m:t>
        </m:r>
      </m:oMath>
      <w:r>
        <w:rPr>
          <w:rFonts w:eastAsia="Georgia" w:cs="Georgia" w:ascii="Georgia" w:hAnsi="Georgia"/>
        </w:rPr>
        <w:t xml:space="preserve"> et d'une charge opposée </w:t>
      </w:r>
      <m:oMath>
        <m:r>
          <m:rPr>
            <m:sty m:val="p"/>
          </m:rPr>
          <m:t>−</m:t>
        </m:r>
        <m:sSub>
          <m:sSubPr/>
          <m:e>
            <m:r>
              <m:rPr>
                <m:sty m:val="i"/>
              </m:rPr>
              <m:t>q</m:t>
            </m:r>
          </m:e>
          <m:sub>
            <m:r>
              <m:rPr>
                <m:sty m:val="p"/>
              </m:rPr>
              <m:t>0</m:t>
            </m:r>
          </m:sub>
        </m:sSub>
        <m:r>
          <m:rPr>
            <m:sty m:val="p"/>
          </m:rPr>
          <m:t>(</m:t>
        </m:r>
        <m:r>
          <m:rPr>
            <m:sty m:val="i"/>
          </m:rPr>
          <m:t>t</m:t>
        </m:r>
        <m:r>
          <m:rPr>
            <m:sty m:val="p"/>
          </m:rPr>
          <m:t>)</m:t>
        </m:r>
      </m:oMath>
      <w:r>
        <w:rPr>
          <w:rFonts w:eastAsia="Georgia" w:cs="Georgia" w:ascii="Georgia" w:hAnsi="Georgia"/>
        </w:rPr>
        <w:t xml:space="preserve"> dans la seconde moitié </w:t>
      </w:r>
      <m:oMath>
        <m:r>
          <m:rPr>
            <m:sty m:val="p"/>
          </m:rPr>
          <m:t>(</m:t>
        </m:r>
        <m:r>
          <m:rPr>
            <m:sty m:val="i"/>
          </m:rPr>
          <m:t>x</m:t>
        </m:r>
        <m:r>
          <m:rPr>
            <m:sty m:val="p"/>
          </m:rPr>
          <m:t>∈</m:t>
        </m:r>
        <m:r>
          <m:rPr>
            <m:sty m:val="p"/>
          </m:rPr>
          <m:t>[</m:t>
        </m:r>
        <m:r>
          <m:rPr>
            <m:sty m:val="p"/>
          </m:rPr>
          <m:t>0</m:t>
        </m:r>
        <m:r>
          <m:rPr>
            <m:sty m:val="p"/>
          </m:rPr>
          <m:t>,</m:t>
        </m:r>
        <m:r>
          <m:rPr>
            <m:sty m:val="i"/>
          </m:rPr>
          <m:t>ℓ</m:t>
        </m:r>
        <m:r>
          <m:rPr>
            <m:sty m:val="p"/>
          </m:rPr>
          <m:t>/</m:t>
        </m:r>
        <m:r>
          <m:rPr>
            <m:sty m:val="p"/>
          </m:rPr>
          <m:t>2</m:t>
        </m:r>
        <m:r>
          <m:rPr>
            <m:sty m:val="p"/>
          </m:rPr>
          <m:t>]</m:t>
        </m:r>
        <m:r>
          <m:rPr>
            <m:sty m:val="p"/>
          </m:rPr>
          <m:t>)</m:t>
        </m:r>
      </m:oMath>
      <w:r>
        <w:rPr>
          <w:rFonts w:eastAsia="Georgia" w:cs="Georgia" w:ascii="Georgia" w:hAnsi="Georgia"/>
        </w:rPr>
        <w:t xml:space="preserve">. Déterminer leur amplitude commune </w:t>
      </w:r>
      <m:oMath>
        <m:sSub>
          <m:sSubPr/>
          <m:e>
            <m:r>
              <m:rPr>
                <m:sty m:val="i"/>
              </m:rPr>
              <m:t>q</m:t>
            </m:r>
          </m:e>
          <m:sub>
            <m:r>
              <m:rPr>
                <m:sty m:val="p"/>
              </m:rPr>
              <m:t>0</m:t>
            </m:r>
          </m:sub>
        </m:sSub>
      </m:oMath>
      <w:r>
        <w:rPr/>
        <w:t xml:space="preserve"> en fonction de </w:t>
      </w:r>
      <m:oMath>
        <m:sSub>
          <m:sSubPr/>
          <m:e>
            <m:r>
              <m:rPr>
                <m:sty m:val="i"/>
              </m:rPr>
              <m:t>λ</m:t>
            </m:r>
          </m:e>
          <m:sub>
            <m:r>
              <m:rPr>
                <m:sty m:val="p"/>
              </m:rPr>
              <m:t>0</m:t>
            </m:r>
          </m:sub>
        </m:sSub>
      </m:oMath>
      <w:r>
        <w:rPr/>
        <w:t xml:space="preserve"> et </w:t>
      </w:r>
      <m:oMath>
        <m:r>
          <m:rPr>
            <m:sty m:val="i"/>
          </m:rPr>
          <m:t>ℓ</m:t>
        </m:r>
      </m:oMath>
      <w:r>
        <w:rPr/>
        <w:t xml:space="preserve">.</w:t>
      </w:r>
    </w:p>
    <w:p>
      <w:pPr>
        <w:spacing w:after="220" w:lineRule="auto"/>
      </w:pPr>
      <w:r>
        <w:rPr>
          <w:rFonts w:eastAsia="Georgia" w:cs="Georgia" w:ascii="Georgia" w:hAnsi="Georgia"/>
        </w:rPr>
        <w:t xml:space="preserve">G8. Cette approche en mode sinusoïdal résonant relève-t-elle de l'ARQS ? Proposer un critère numérique permettant de confirmer votre réponse.</w:t>
      </w:r>
    </w:p>
    <w:p>
      <w:pPr>
        <w:spacing w:line="271" w:before="330" w:lineRule="auto"/>
      </w:pPr>
      <w:r>
        <w:rPr>
          <w:rFonts w:eastAsia="Georgia" w:cs="Georgia" w:ascii="Georgia" w:hAnsi="Georgia"/>
          <w:b/>
          <w:sz w:val="42"/>
        </w:rPr>
        <w:t xml:space="preserve">PROBLÈME 2</w:t>
      </w:r>
    </w:p>
    <w:p>
      <w:pPr>
        <w:spacing w:line="271" w:before="330" w:lineRule="auto"/>
      </w:pPr>
      <w:r>
        <w:rPr>
          <w:b/>
          <w:sz w:val="42"/>
        </w:rPr>
        <w:t xml:space="preserve">Chimie des batteries lithium-ion</w:t>
      </w:r>
    </w:p>
    <w:p>
      <w:pPr>
        <w:spacing w:after="220" w:lineRule="auto"/>
      </w:pPr>
      <w:r>
        <w:rPr>
          <w:rFonts w:eastAsia="Georgia" w:cs="Georgia" w:ascii="Georgia" w:hAnsi="Georgia"/>
        </w:rPr>
        <w:t xml:space="preserve">Aujourd'hui, la plupart des équipements électroniques nomades (ordinateurs, téléphones portables, appareils photo...) sont équipés de batteries lithium-ion, mises en lumière à l'occasion de l'attribution du Prix Nobel de chimie en octobre 2019.</w:t>
      </w:r>
      <w:r>
        <w:rPr/>
        <w:br w:type="textWrapping"/>
      </w:r>
      <w:r>
        <w:rPr>
          <w:rFonts w:eastAsia="Georgia" w:cs="Georgia" w:ascii="Georgia" w:hAnsi="Georgia"/>
        </w:rPr>
        <w:t xml:space="preserve">Les premières batteries au lithium utilisaient ce métal sous forme solide. Le problème avec cette technologie est la formation d'excroissances de lithium, appelées dendrites, qui entraînent une dégradation de l'isolation entre l'anode et la cathode, pouvant aller jusqu'à l'apparition de courts-circuits donc de surchauffes, voire d'explosions.</w:t>
      </w:r>
      <w:r>
        <w:rPr/>
        <w:br w:type="textWrapping"/>
      </w:r>
      <w:r>
        <w:rPr>
          <w:rFonts w:eastAsia="Georgia" w:cs="Georgia" w:ascii="Georgia" w:hAnsi="Georgia"/>
        </w:rPr>
        <w:t xml:space="preserve">Utiliser le lithium sous forme d'ions, s'intercalant au sein d'électrodes constituées d'autres matériaux, a été l'idée fondatrice de la grande famille des batteries lithium-ion au début des années 1990.</w:t>
      </w:r>
    </w:p>
    <w:p>
      <w:pPr>
        <w:spacing w:line="271" w:before="330" w:lineRule="auto"/>
      </w:pPr>
      <w:r>
        <w:rPr>
          <w:rFonts w:eastAsia="Georgia" w:cs="Georgia" w:ascii="Georgia" w:hAnsi="Georgia"/>
          <w:b/>
          <w:sz w:val="42"/>
        </w:rPr>
        <w:t xml:space="preserve">H / Équation-bilan de fonctionnement</w:t>
      </w:r>
    </w:p>
    <w:p>
      <w:pPr>
        <w:spacing w:after="220" w:lineRule="auto"/>
      </w:pPr>
      <w:r>
        <w:rPr>
          <w:rFonts w:eastAsia="Georgia" w:cs="Georgia" w:ascii="Georgia" w:hAnsi="Georgia"/>
        </w:rPr>
        <w:t xml:space="preserve">Le numéro atomique du lithium est </w:t>
      </w:r>
      <m:oMath>
        <m:r>
          <m:rPr>
            <m:sty m:val="i"/>
          </m:rPr>
          <m:t>Z</m:t>
        </m:r>
        <m:r>
          <m:rPr>
            <m:sty m:val="p"/>
          </m:rPr>
          <m:t>=</m:t>
        </m:r>
        <m:r>
          <m:rPr>
            <m:sty m:val="p"/>
          </m:rPr>
          <m:t>3</m:t>
        </m:r>
      </m:oMath>
      <w:r>
        <w:rPr/>
        <w:t xml:space="preserve">.</w:t>
      </w:r>
      <w:r>
        <w:rPr/>
        <w:br w:type="textWrapping"/>
      </w:r>
      <w:r>
        <w:rPr>
          <w:rFonts w:eastAsia="Georgia" w:cs="Georgia" w:ascii="Georgia" w:hAnsi="Georgia"/>
        </w:rPr>
        <w:t xml:space="preserve">H1. Où se situe-t-il dans la classification périodique des éléments chimiques? Justifier grâce à sa structure électronique.</w:t>
      </w:r>
      <w:r>
        <w:rPr/>
        <w:br w:type="textWrapping"/>
      </w:r>
      <w:r>
        <w:rPr/>
        <w:t xml:space="preserve">H2. L'ion lithium le plus stable est </w:t>
      </w:r>
      <m:oMath>
        <m:sSup>
          <m:sSupPr/>
          <m:e>
            <m:r>
              <m:rPr>
                <m:sty m:val="p"/>
              </m:rPr>
              <m:t>Li</m:t>
            </m:r>
          </m:e>
          <m:sup>
            <m:r>
              <m:rPr>
                <m:sty m:val="p"/>
              </m:rPr>
              <m:t>+</m:t>
            </m:r>
          </m:sup>
        </m:sSup>
      </m:oMath>
      <w:r>
        <w:rPr/>
        <w:t xml:space="preserve">; justifier.</w:t>
      </w:r>
      <w:r>
        <w:rPr/>
        <w:br w:type="textWrapping"/>
      </w:r>
      <w:r>
        <w:rPr>
          <w:rFonts w:eastAsia="Georgia" w:cs="Georgia" w:ascii="Georgia" w:hAnsi="Georgia"/>
        </w:rPr>
        <w:t xml:space="preserve">La batterie lithium-ion fonctionne sur l'échange réversible d'ions lithium entre une électrode négative carbonée et une électrode positive constituée le plus souvent d'un oxyde de métal de transition. Dans le cas du cobalt Co , l'oxyde a pour formule </w:t>
      </w:r>
      <m:oMath>
        <m:sSub>
          <m:sSubPr/>
          <m:e>
            <m:r>
              <m:rPr>
                <m:sty m:val="p"/>
              </m:rPr>
              <m:t>CoO</m:t>
            </m:r>
          </m:e>
          <m:sub>
            <m:r>
              <m:rPr>
                <m:sty m:val="p"/>
              </m:rPr>
              <m:t>2</m:t>
            </m:r>
          </m:sub>
        </m:sSub>
      </m:oMath>
      <w:r>
        <w:rPr/>
        <w:t xml:space="preserve">.</w:t>
      </w:r>
      <w:r>
        <w:rPr/>
        <w:br w:type="textWrapping"/>
      </w:r>
      <w:r>
        <w:rPr>
          <w:rFonts w:eastAsia="Georgia" w:cs="Georgia" w:ascii="Georgia" w:hAnsi="Georgia"/>
        </w:rPr>
        <w:t xml:space="preserve">Lors de la charge de la batterie, la réaction électrochimique qui se produit à l'électrode négative est la réduction des ions lithium, s'accompagnant de l'insertion d'un atome de lithium dans la structure graphite de formule </w:t>
      </w:r>
      <m:oMath>
        <m:sSub>
          <m:sSubPr/>
          <m:e>
            <m:r>
              <m:rPr>
                <m:sty m:val="p"/>
              </m:rPr>
              <m:t>C</m:t>
            </m:r>
          </m:e>
          <m:sub>
            <m:r>
              <m:rPr>
                <m:sty m:val="p"/>
              </m:rPr>
              <m:t>6</m:t>
            </m:r>
          </m:sub>
        </m:sSub>
      </m:oMath>
      <w:r>
        <w:rPr/>
        <w:t xml:space="preserve">.</w:t>
      </w:r>
      <w:r>
        <w:rPr/>
        <w:br w:type="textWrapping"/>
      </w:r>
      <w:r>
        <w:rPr>
          <w:rFonts w:eastAsia="Georgia" w:cs="Georgia" w:ascii="Georgia" w:hAnsi="Georgia"/>
        </w:rPr>
        <w:t xml:space="preserve">H3. Écrire la demi-équation rédox de réduction des ions lithium, puis l'équation traduisant l'insertion de l'atome de lithium dans la structure carbonée.</w:t>
      </w:r>
    </w:p>
    <w:p>
      <w:pPr>
        <w:spacing w:after="220" w:lineRule="auto"/>
      </w:pPr>
      <w:r>
        <w:rPr>
          <w:rFonts w:eastAsia="Georgia" w:cs="Georgia" w:ascii="Georgia" w:hAnsi="Georgia"/>
        </w:rPr>
        <w:t xml:space="preserve">H4. En déduire la demi-équation rédox qui a lieu à l'électrode négative.</w:t>
      </w:r>
      <w:r>
        <w:rPr/>
        <w:br w:type="textWrapping"/>
      </w:r>
      <w:r>
        <w:rPr>
          <w:rFonts w:eastAsia="Georgia" w:cs="Georgia" w:ascii="Georgia" w:hAnsi="Georgia"/>
        </w:rPr>
        <w:t xml:space="preserve">Dans les deux questions qui suivent, on fait l'hypothèse que les atomes de carbone constituant cette électrode s'organisent selon une structure cubique à faces centrées (cfc).</w:t>
      </w:r>
      <w:r>
        <w:rPr/>
        <w:br w:type="textWrapping"/>
      </w:r>
      <w:r>
        <w:rPr>
          <w:rFonts w:eastAsia="Georgia" w:cs="Georgia" w:ascii="Georgia" w:hAnsi="Georgia"/>
        </w:rPr>
        <w:t xml:space="preserve">H5. Identifier sur un schéma soigné les sites octaédriques de cette structure et calculer leur habitabilité maximale.</w:t>
      </w:r>
    </w:p>
    <w:p>
      <w:pPr>
        <w:spacing w:after="220" w:lineRule="auto"/>
      </w:pPr>
      <w:r>
        <w:rPr>
          <w:rFonts w:eastAsia="Georgia" w:cs="Georgia" w:ascii="Georgia" w:hAnsi="Georgia"/>
        </w:rPr>
        <w:t xml:space="preserve">H6. Est-ce alors possible de former un alliage d'insertion avec le lithium? Justifier numériquement et conclure.</w:t>
      </w:r>
      <w:r>
        <w:rPr/>
        <w:br w:type="textWrapping"/>
      </w:r>
      <w:r>
        <w:rPr>
          <w:rFonts w:eastAsia="Georgia" w:cs="Georgia" w:ascii="Georgia" w:hAnsi="Georgia"/>
        </w:rPr>
        <w:t xml:space="preserve">À l'électrode positive, des ions lithium se désinsèrent d'un cristal d'oxyde de cobalt lithié de formule </w:t>
      </w:r>
      <m:oMath>
        <m:sSub>
          <m:sSubPr/>
          <m:e>
            <m:r>
              <m:rPr>
                <m:sty m:val="p"/>
              </m:rPr>
              <m:t>LiCoO</m:t>
            </m:r>
          </m:e>
          <m:sub>
            <m:r>
              <m:rPr>
                <m:sty m:val="p"/>
              </m:rPr>
              <m:t>2</m:t>
            </m:r>
          </m:sub>
        </m:sSub>
      </m:oMath>
      <w:r>
        <w:rPr/>
        <w:t xml:space="preserve">, formant ainsi le cristal d'oxyde de cobalt </w:t>
      </w:r>
      <m:oMath>
        <m:sSub>
          <m:sSubPr/>
          <m:e>
            <m:r>
              <m:rPr>
                <m:sty m:val="p"/>
              </m:rPr>
              <m:t>CoO</m:t>
            </m:r>
          </m:e>
          <m:sub>
            <m:r>
              <m:rPr>
                <m:sty m:val="p"/>
              </m:rPr>
              <m:t>2</m:t>
            </m:r>
          </m:sub>
        </m:sSub>
      </m:oMath>
      <w:r>
        <w:rPr/>
        <w:t xml:space="preserve">.</w:t>
      </w:r>
      <w:r>
        <w:rPr/>
        <w:br w:type="textWrapping"/>
      </w:r>
      <w:r>
        <w:rPr>
          <w:rFonts w:eastAsia="Georgia" w:cs="Georgia" w:ascii="Georgia" w:hAnsi="Georgia"/>
        </w:rPr>
        <w:t xml:space="preserve">H7. De la même manière que pour l'électrode négative, écrire la demi-équation rédox ayant lieu à l'électrode positive.</w:t>
      </w:r>
    </w:p>
    <w:p>
      <w:pPr>
        <w:spacing w:after="220" w:lineRule="auto"/>
      </w:pPr>
      <w:r>
        <w:rPr>
          <w:rFonts w:eastAsia="Georgia" w:cs="Georgia" w:ascii="Georgia" w:hAnsi="Georgia"/>
        </w:rPr>
        <w:t xml:space="preserve">H8. Finalement, écrire l'équation rédox traduisant le fonctionnement de la batterie.</w:t>
      </w:r>
    </w:p>
    <w:p>
      <w:pPr>
        <w:spacing w:line="271" w:before="330" w:lineRule="auto"/>
      </w:pPr>
      <w:r>
        <w:rPr>
          <w:b/>
          <w:sz w:val="42"/>
        </w:rPr>
        <w:t xml:space="preserve">I / Masse de la batterie</w:t>
      </w:r>
    </w:p>
    <w:p>
      <w:pPr>
        <w:spacing w:after="220" w:lineRule="auto"/>
      </w:pPr>
      <w:r>
        <w:rPr>
          <w:rFonts w:eastAsia="Georgia" w:cs="Georgia" w:ascii="Georgia" w:hAnsi="Georgia"/>
        </w:rPr>
        <w:t xml:space="preserve">La question H8 a permis de mettre en évidence l'échange d'un électron entre les deux couples rédox en présence.</w:t>
      </w:r>
      <w:r>
        <w:rPr/>
        <w:br w:type="textWrapping"/>
      </w:r>
      <w:r>
        <w:rPr>
          <w:rFonts w:eastAsia="Georgia" w:cs="Georgia" w:ascii="Georgia" w:hAnsi="Georgia"/>
        </w:rPr>
        <w:t xml:space="preserve">I1. Déterminer la charge électrique maximale </w:t>
      </w:r>
      <m:oMath>
        <m:sSub>
          <m:sSubPr/>
          <m:e>
            <m:r>
              <m:rPr>
                <m:sty m:val="i"/>
              </m:rPr>
              <m:t>Q</m:t>
            </m:r>
          </m:e>
          <m:sub>
            <m:r>
              <m:rPr>
                <m:nor/>
              </m:rPr>
              <m:t>max </m:t>
            </m:r>
          </m:sub>
        </m:sSub>
      </m:oMath>
      <w:r>
        <w:rPr>
          <w:rFonts w:eastAsia="Georgia" w:cs="Georgia" w:ascii="Georgia" w:hAnsi="Georgia"/>
        </w:rPr>
        <w:t xml:space="preserve">, en Coulomb, transférée par gramme d'ions lithium.</w:t>
      </w:r>
    </w:p>
    <w:p>
      <w:pPr>
        <w:spacing w:after="220" w:lineRule="auto"/>
      </w:pPr>
      <w:r>
        <w:rPr>
          <w:rFonts w:eastAsia="Georgia" w:cs="Georgia" w:ascii="Georgia" w:hAnsi="Georgia"/>
        </w:rPr>
        <w:t xml:space="preserve">I2. En vous aidant des données, déterminer la masse d'ions lithium dans une batterie de téléphone portable.</w:t>
      </w:r>
      <w:r>
        <w:rPr/>
        <w:br w:type="textWrapping"/>
      </w:r>
      <w:r>
        <w:rPr>
          <w:rFonts w:eastAsia="Georgia" w:cs="Georgia" w:ascii="Georgia" w:hAnsi="Georgia"/>
        </w:rPr>
        <w:t xml:space="preserve">13. Quel problème écologique cela peut-il soulever?</w:t>
      </w:r>
    </w:p>
    <w:p>
      <w:pPr>
        <w:spacing w:after="220" w:lineRule="auto"/>
      </w:pPr>
      <w:r>
        <w:rPr>
          <w:rFonts w:eastAsia="Georgia" w:cs="Georgia" w:ascii="Georgia" w:hAnsi="Georgia"/>
        </w:rPr>
        <w:t xml:space="preserve">I4. Déterminer, en W.h, l'énergie de la batterie d'un téléphone portable à </w:t>
      </w:r>
      <m:oMath>
        <m:sSup>
          <m:sSupPr/>
          <m:e>
            <m:r>
              <m:rPr>
                <m:sty m:val="p"/>
              </m:rPr>
              <m:t>25</m:t>
            </m:r>
          </m:e>
          <m:sup>
            <m:r>
              <m:rPr>
                <m:sty m:val="p"/>
              </m:rPr>
              <m:t>∘</m:t>
            </m:r>
          </m:sup>
        </m:sSup>
        <m:r>
          <m:rPr>
            <m:sty m:val="p"/>
          </m:rPr>
          <m:t>C</m:t>
        </m:r>
      </m:oMath>
      <w:r>
        <w:rPr/>
        <w:t xml:space="preserve">.</w:t>
      </w:r>
      <w:r>
        <w:rPr/>
        <w:br w:type="textWrapping"/>
      </w:r>
      <w:r>
        <w:rPr>
          <w:rFonts w:eastAsia="Georgia" w:cs="Georgia" w:ascii="Georgia" w:hAnsi="Georgia"/>
        </w:rPr>
        <w:t xml:space="preserve">I5. En déduire la masse de la batterie. Ce résultat vous semble-t-il plausible ?</w:t>
      </w:r>
    </w:p>
    <w:p>
      <w:pPr>
        <w:spacing w:line="271" w:before="330" w:lineRule="auto"/>
      </w:pPr>
      <w:r>
        <w:rPr>
          <w:b/>
          <w:sz w:val="42"/>
        </w:rPr>
        <w:t xml:space="preserve">J / Rendement</w:t>
      </w:r>
    </w:p>
    <w:p>
      <w:pPr>
        <w:spacing w:after="220" w:lineRule="auto"/>
      </w:pPr>
      <w:r>
        <w:rPr>
          <w:rFonts w:eastAsia="Georgia" w:cs="Georgia" w:ascii="Georgia" w:hAnsi="Georgia"/>
        </w:rPr>
        <w:t xml:space="preserve">On étudie la décharge de la batterie : le dispositif se comporte comme une pile.</w:t>
      </w:r>
      <w:r>
        <w:rPr/>
        <w:br w:type="textWrapping"/>
      </w:r>
      <w:r>
        <w:rPr>
          <w:rFonts w:eastAsia="Georgia" w:cs="Georgia" w:ascii="Georgia" w:hAnsi="Georgia"/>
        </w:rPr>
        <w:t xml:space="preserve">J1. Déterminer l'enthalpie libre standard </w:t>
      </w:r>
      <m:oMath>
        <m:sSub>
          <m:sSubPr/>
          <m:e>
            <m:r>
              <m:rPr>
                <m:sty m:val="p"/>
              </m:rPr>
              <m:t>Δ</m:t>
            </m:r>
          </m:e>
          <m:sub>
            <m:r>
              <m:rPr>
                <m:sty m:val="p"/>
              </m:rPr>
              <m:t>r</m:t>
            </m:r>
          </m:sub>
        </m:sSub>
        <m:sSup>
          <m:sSupPr/>
          <m:e>
            <m:r>
              <m:rPr>
                <m:sty m:val="i"/>
              </m:rPr>
              <m:t>G</m:t>
            </m:r>
          </m:e>
          <m:sup>
            <m:r>
              <m:rPr>
                <m:sty m:val="p"/>
              </m:rPr>
              <m:t>∘</m:t>
            </m:r>
          </m:sup>
        </m:sSup>
        <m:d>
          <m:dPr>
            <m:begChr m:val="("/>
            <m:endChr m:val=")"/>
            <m:ctrlPr>
              <w:rPr>
                <w:rFonts w:ascii="Cambria Math" w:hAnsi="Cambria Math"/>
              </w:rPr>
            </m:ctrlPr>
          </m:dPr>
          <m:e>
            <m:sSup>
              <m:sSupPr/>
              <m:e>
                <m:r>
                  <m:rPr>
                    <m:sty m:val="p"/>
                  </m:rPr>
                  <m:t>25</m:t>
                </m:r>
              </m:e>
              <m:sup>
                <m:r>
                  <m:rPr>
                    <m:sty m:val="p"/>
                  </m:rPr>
                  <m:t>∘</m:t>
                </m:r>
              </m:sup>
            </m:sSup>
            <m:r>
              <m:rPr>
                <m:sty m:val="p"/>
              </m:rPr>
              <m:t>C</m:t>
            </m:r>
          </m:e>
        </m:d>
      </m:oMath>
      <w:r>
        <w:rPr>
          <w:rFonts w:eastAsia="Georgia" w:cs="Georgia" w:ascii="Georgia" w:hAnsi="Georgia"/>
        </w:rPr>
        <w:t xml:space="preserve"> de la réaction de décharge de la batterie à </w:t>
      </w:r>
      <m:oMath>
        <m:sSup>
          <m:sSupPr/>
          <m:e>
            <m:r>
              <m:rPr>
                <m:sty m:val="p"/>
              </m:rPr>
              <m:t>25</m:t>
            </m:r>
          </m:e>
          <m:sup>
            <m:r>
              <m:rPr>
                <m:sty m:val="p"/>
              </m:rPr>
              <m:t>∘</m:t>
            </m:r>
          </m:sup>
        </m:sSup>
        <m:r>
          <m:rPr>
            <m:sty m:val="p"/>
          </m:rPr>
          <m:t>C</m:t>
        </m:r>
      </m:oMath>
      <w:r>
        <w:rPr/>
        <w:t xml:space="preserve">.</w:t>
      </w:r>
    </w:p>
    <w:p>
      <w:pPr>
        <w:spacing w:after="220" w:lineRule="auto"/>
      </w:pPr>
      <w:r>
        <w:rPr>
          <w:rFonts w:eastAsia="Georgia" w:cs="Georgia" w:ascii="Georgia" w:hAnsi="Georgia"/>
        </w:rPr>
        <w:t xml:space="preserve">J2. Déduire de la figure 18 donnant l'évolution de la tension à vide </w:t>
      </w:r>
      <m:oMath>
        <m:r>
          <m:rPr>
            <m:sty m:val="i"/>
          </m:rPr>
          <m:t>E</m:t>
        </m:r>
      </m:oMath>
      <w:r>
        <w:rPr>
          <w:rFonts w:eastAsia="Georgia" w:cs="Georgia" w:ascii="Georgia" w:hAnsi="Georgia"/>
        </w:rPr>
        <w:t xml:space="preserve"> de la pile en fonction de la température, l'entropie standard de réaction </w:t>
      </w:r>
      <m:oMath>
        <m:sSub>
          <m:sSubPr/>
          <m:e>
            <m:r>
              <m:rPr>
                <m:sty m:val="p"/>
              </m:rPr>
              <m:t>Δ</m:t>
            </m:r>
          </m:e>
          <m:sub>
            <m:r>
              <m:rPr>
                <m:sty m:val="p"/>
              </m:rPr>
              <m:t>r</m:t>
            </m:r>
          </m:sub>
        </m:sSub>
        <m:sSup>
          <m:sSupPr/>
          <m:e>
            <m:r>
              <m:rPr>
                <m:sty m:val="i"/>
              </m:rPr>
              <m:t>S</m:t>
            </m:r>
          </m:e>
          <m:sup>
            <m:r>
              <m:rPr>
                <m:sty m:val="p"/>
              </m:rPr>
              <m:t>∘</m:t>
            </m:r>
          </m:sup>
        </m:sSup>
      </m:oMath>
      <w:r>
        <w:rPr/>
        <w:t xml:space="preserve">.</w:t>
      </w:r>
    </w:p>
    <w:p>
      <w:pPr>
        <w:spacing w:lineRule="auto"/>
        <w:jc w:val="center"/>
      </w:pPr>
      <w:r>
        <w:rPr/>
        <w:drawing>
          <wp:inline distB="0" distL="0" distR="0" distT="0">
            <wp:extent cx="5486400" cy="4116028"/>
            <wp:effectExtent b="0" l="0" r="0" t="0"/>
            <wp:docPr id="20" name="image-ed2708bf401cfcf40c1a65a390616d4d3a804e95.jpg"/>
            <a:graphic>
              <a:graphicData uri="http://schemas.openxmlformats.org/drawingml/2006/picture">
                <pic:pic>
                  <pic:nvPicPr>
                    <pic:cNvPr id="20" name="image-ed2708bf401cfcf40c1a65a390616d4d3a804e95.jpg" descr=""/>
                    <pic:cNvPicPr/>
                  </pic:nvPicPr>
                  <pic:blipFill>
                    <a:blip r:embed="rId24" cstate="print"/>
                    <a:srcRect b="0" l="0" r="0" t="0"/>
                    <a:stretch>
                      <a:fillRect/>
                    </a:stretch>
                  </pic:blipFill>
                  <pic:spPr>
                    <a:xfrm>
                      <a:off x="0" y="0"/>
                      <a:ext cx="5486400" cy="4116028"/>
                    </a:xfrm>
                    <a:prstGeom prst="rect"/>
                  </pic:spPr>
                </pic:pic>
              </a:graphicData>
            </a:graphic>
          </wp:inline>
        </w:drawing>
      </w:r>
    </w:p>
    <w:p>
      <w:pPr>
        <w:spacing w:lineRule="auto"/>
      </w:pPr>
      <w:r>
        <w:rPr>
          <w:rFonts w:eastAsia="Georgia" w:cs="Georgia" w:ascii="Georgia" w:hAnsi="Georgia"/>
        </w:rPr>
        <w:t xml:space="preserve">Figure 18 - Variation de la fem de la pile Li-ion avec la température. La fem à une température donnée est obtenue en ajoutant </w:t>
      </w:r>
      <m:oMath>
        <m:r>
          <m:rPr>
            <m:sty m:val="p"/>
          </m:rPr>
          <m:t>+</m:t>
        </m:r>
        <m:r>
          <m:rPr>
            <m:sty m:val="p"/>
          </m:rPr>
          <m:t>3</m:t>
        </m:r>
        <m:r>
          <m:rPr>
            <m:sty m:val="p"/>
          </m:rPr>
          <m:t>,</m:t>
        </m:r>
        <m:r>
          <m:rPr>
            <m:sty m:val="p"/>
          </m:rPr>
          <m:t>598</m:t>
        </m:r>
        <m:r>
          <m:rPr>
            <m:nor/>
          </m:rPr>
          <m:t xml:space="preserve"> </m:t>
        </m:r>
        <m:r>
          <m:rPr>
            <m:sty m:val="p"/>
          </m:rPr>
          <m:t>V</m:t>
        </m:r>
      </m:oMath>
      <w:r>
        <w:rPr>
          <w:rFonts w:eastAsia="Georgia" w:cs="Georgia" w:ascii="Georgia" w:hAnsi="Georgia"/>
        </w:rPr>
        <w:t xml:space="preserve"> à la valeur lue sur l'axe des ordonnées.</w:t>
      </w:r>
    </w:p>
    <w:p>
      <w:pPr>
        <w:spacing w:after="220" w:lineRule="auto"/>
      </w:pPr>
      <w:r>
        <w:rPr>
          <w:rFonts w:eastAsia="Georgia" w:cs="Georgia" w:ascii="Georgia" w:hAnsi="Georgia"/>
        </w:rPr>
        <w:t xml:space="preserve">J3. Déterminer l'enthalpie standard </w:t>
      </w:r>
      <m:oMath>
        <m:sSub>
          <m:sSubPr/>
          <m:e>
            <m:r>
              <m:rPr>
                <m:sty m:val="p"/>
              </m:rPr>
              <m:t>Δ</m:t>
            </m:r>
          </m:e>
          <m:sub>
            <m:r>
              <m:rPr>
                <m:sty m:val="p"/>
              </m:rPr>
              <m:t>r</m:t>
            </m:r>
          </m:sub>
        </m:sSub>
        <m:sSup>
          <m:sSupPr/>
          <m:e>
            <m:r>
              <m:rPr>
                <m:sty m:val="i"/>
              </m:rPr>
              <m:t>H</m:t>
            </m:r>
          </m:e>
          <m:sup>
            <m:r>
              <m:rPr>
                <m:sty m:val="p"/>
              </m:rPr>
              <m:t>∘</m:t>
            </m:r>
          </m:sup>
        </m:sSup>
      </m:oMath>
      <w:r>
        <w:rPr>
          <w:rFonts w:eastAsia="Georgia" w:cs="Georgia" w:ascii="Georgia" w:hAnsi="Georgia"/>
        </w:rPr>
        <w:t xml:space="preserve"> de la réaction de décharge.</w:t>
      </w:r>
      <w:r>
        <w:rPr/>
        <w:br w:type="textWrapping"/>
      </w:r>
      <w:r>
        <w:rPr>
          <w:rFonts w:eastAsia="Georgia" w:cs="Georgia" w:ascii="Georgia" w:hAnsi="Georgia"/>
        </w:rPr>
        <w:t xml:space="preserve">On définit le rendement de la pile par le rapport du travail électrique sur l'énergie chimique.</w:t>
      </w:r>
      <w:r>
        <w:rPr/>
        <w:br w:type="textWrapping"/>
      </w:r>
      <w:r>
        <w:rPr>
          <w:rFonts w:eastAsia="Georgia" w:cs="Georgia" w:ascii="Georgia" w:hAnsi="Georgia"/>
        </w:rPr>
        <w:t xml:space="preserve">J4. Déterminer la valeur du rendement pour la pile lithium-ion.</w:t>
      </w:r>
    </w:p>
    <w:p>
      <w:pPr>
        <w:spacing w:line="271" w:before="330" w:lineRule="auto"/>
      </w:pPr>
      <w:r>
        <w:rPr>
          <w:rFonts w:eastAsia="Georgia" w:cs="Georgia" w:ascii="Georgia" w:hAnsi="Georgia"/>
          <w:b/>
          <w:sz w:val="42"/>
        </w:rPr>
        <w:t xml:space="preserve">K / Caractéristiques de l'électrolyte</w:t>
      </w:r>
    </w:p>
    <w:p>
      <w:pPr>
        <w:spacing w:after="220" w:lineRule="auto"/>
      </w:pPr>
      <w:r>
        <w:rPr>
          <w:rFonts w:eastAsia="Georgia" w:cs="Georgia" w:ascii="Georgia" w:hAnsi="Georgia"/>
        </w:rPr>
        <w:t xml:space="preserve">L'électrolyte de la pile Li-ion est un liquide qui baigne l'espace inter-électrodes. C'est un solvant organique contenant des sels fluorés de lithium. Hautement inflammable et toxique, il a surtout l'inconvénient d'être instable. Qu'un échauffement le porte au-delà de </w:t>
      </w:r>
      <m:oMath>
        <m:sSup>
          <m:sSupPr/>
          <m:e>
            <m:r>
              <m:rPr>
                <m:sty m:val="p"/>
              </m:rPr>
              <m:t>100</m:t>
            </m:r>
          </m:e>
          <m:sup>
            <m:r>
              <m:rPr>
                <m:sty m:val="p"/>
              </m:rPr>
              <m:t>∘</m:t>
            </m:r>
          </m:sup>
        </m:sSup>
        <m:r>
          <m:rPr>
            <m:sty m:val="p"/>
          </m:rPr>
          <m:t>C</m:t>
        </m:r>
      </m:oMath>
      <w:r>
        <w:rPr>
          <w:rFonts w:eastAsia="Georgia" w:cs="Georgia" w:ascii="Georgia" w:hAnsi="Georgia"/>
        </w:rPr>
        <w:t xml:space="preserve"> et voilà qu'y démarre une cascade de réactions chimiques exothermiques. Généralement, l'électrolyte est le sel </w:t>
      </w:r>
      <m:oMath>
        <m:sSub>
          <m:sSubPr/>
          <m:e>
            <m:r>
              <m:rPr>
                <m:sty m:val="p"/>
              </m:rPr>
              <m:t>LiPF</m:t>
            </m:r>
          </m:e>
          <m:sub>
            <m:r>
              <m:rPr>
                <m:sty m:val="p"/>
              </m:rPr>
              <m:t>6</m:t>
            </m:r>
          </m:sub>
        </m:sSub>
      </m:oMath>
      <w:r>
        <w:rPr>
          <w:rFonts w:eastAsia="Georgia" w:cs="Georgia" w:ascii="Georgia" w:hAnsi="Georgia"/>
        </w:rPr>
        <w:t xml:space="preserve"> dissous dans un solvant organique aprotique car le lithium est détruit par tout solvant protique.</w:t>
      </w:r>
      <w:r>
        <w:rPr/>
        <w:br w:type="textWrapping"/>
      </w:r>
      <w:r>
        <w:rPr/>
        <w:t xml:space="preserve">K1. Qu'est-ce qu'un solvant protique? Donner un exemple.</w:t>
      </w:r>
      <w:r>
        <w:rPr/>
        <w:br w:type="textWrapping"/>
      </w:r>
      <w:r>
        <w:rPr/>
        <w:t xml:space="preserve">Certaines personnes proposent de frotter la batterie pendant plusieurs minutes entre leurs mains pour la recharger.</w:t>
      </w:r>
      <w:r>
        <w:rPr/>
        <w:br w:type="textWrapping"/>
      </w:r>
      <w:r>
        <w:rPr>
          <w:rFonts w:eastAsia="Georgia" w:cs="Georgia" w:ascii="Georgia" w:hAnsi="Georgia"/>
        </w:rPr>
        <w:t xml:space="preserve">K2. Énoncer la loi d'Arrhenius de la cinétique chimique. Définir les différents termes qui y apparaissent, en précisant leurs unités.</w:t>
      </w:r>
    </w:p>
    <w:p>
      <w:pPr>
        <w:spacing w:after="220" w:lineRule="auto"/>
      </w:pPr>
      <w:r>
        <w:rPr>
          <w:rFonts w:eastAsia="Georgia" w:cs="Georgia" w:ascii="Georgia" w:hAnsi="Georgia"/>
        </w:rPr>
        <w:t xml:space="preserve">K3. Que pensez-vous de la méthode proposée en termes de cinétique chimique?</w:t>
      </w:r>
      <w:r>
        <w:rPr/>
        <w:br w:type="textWrapping"/>
      </w:r>
      <w:r>
        <w:rPr>
          <w:rFonts w:eastAsia="Georgia" w:cs="Georgia" w:ascii="Georgia" w:hAnsi="Georgia"/>
        </w:rPr>
        <w:t xml:space="preserve">K4. Que pensez-vous de cette méthode en termes de thermochimie, sachant que la réaction de décharge de la batterie est exothermique?</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Célérité de la lumière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Perméabilité magnétique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Conductivité du cuivre : </w:t>
      </w:r>
      <m:oMath>
        <m:r>
          <m:rPr>
            <m:sty m:val="i"/>
          </m:rPr>
          <m:t>σ</m:t>
        </m:r>
        <m:r>
          <m:rPr>
            <m:sty m:val="p"/>
          </m:rPr>
          <m:t>=</m:t>
        </m:r>
        <m:r>
          <m:rPr>
            <m:sty m:val="p"/>
          </m:rPr>
          <m:t>5</m:t>
        </m:r>
        <m:r>
          <m:rPr>
            <m:sty m:val="p"/>
          </m:rPr>
          <m:t>,</m:t>
        </m:r>
        <m:r>
          <m:rPr>
            <m:sty m:val="p"/>
          </m:rPr>
          <m:t>9</m:t>
        </m:r>
        <m:r>
          <m:rPr>
            <m:sty m:val="p"/>
          </m:rPr>
          <m:t>⋅</m:t>
        </m:r>
        <m:sSup>
          <m:sSupPr/>
          <m:e>
            <m:r>
              <m:rPr>
                <m:sty m:val="p"/>
              </m:rPr>
              <m:t>10</m:t>
            </m:r>
          </m:e>
          <m:sup>
            <m:r>
              <m:rPr>
                <m:sty m:val="p"/>
              </m:rPr>
              <m:t>7</m:t>
            </m:r>
          </m:sup>
        </m:sSup>
        <m:sSup>
          <m:sSupPr/>
          <m:e>
            <m:r>
              <m:rPr>
                <m:sty m:val="p"/>
              </m:rPr>
              <m:t>Ω</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Épaisseur de peau : </w:t>
      </w:r>
      <m:oMath>
        <m:r>
          <m:rPr>
            <m:sty m:val="i"/>
          </m:rPr>
          <m:t>δ</m:t>
        </m:r>
        <m:r>
          <m:rPr>
            <m:sty m:val="p"/>
          </m:rPr>
          <m:t>=</m:t>
        </m:r>
        <m:rad>
          <m:radPr>
            <m:degHide m:val="1"/>
            <m:ctrlPr>
              <w:rPr>
                <w:rFonts w:ascii="Cambria Math" w:hAnsi="Cambria Math"/>
              </w:rPr>
            </m:ctrlPr>
          </m:radPr>
          <m:deg/>
          <m:e>
            <m:f>
              <m:fPr>
                <m:ctrlPr>
                  <w:rPr>
                    <w:rFonts w:ascii="Cambria Math" w:hAnsi="Cambria Math"/>
                  </w:rPr>
                </m:ctrlPr>
              </m:fPr>
              <m:num>
                <m:r>
                  <m:rPr>
                    <m:sty m:val="p"/>
                  </m:rPr>
                  <m:t>2</m:t>
                </m:r>
              </m:num>
              <m:den>
                <m:sSub>
                  <m:sSubPr/>
                  <m:e>
                    <m:r>
                      <m:rPr>
                        <m:sty m:val="i"/>
                      </m:rPr>
                      <m:t>μ</m:t>
                    </m:r>
                  </m:e>
                  <m:sub>
                    <m:r>
                      <m:rPr>
                        <m:sty m:val="p"/>
                      </m:rPr>
                      <m:t>0</m:t>
                    </m:r>
                  </m:sub>
                </m:sSub>
                <m:r>
                  <m:rPr>
                    <m:sty m:val="i"/>
                  </m:rPr>
                  <m:t>σ</m:t>
                </m:r>
                <m:r>
                  <m:rPr>
                    <m:sty m:val="i"/>
                  </m:rPr>
                  <m:t>ω</m:t>
                </m:r>
              </m:den>
            </m:f>
          </m:e>
        </m:rad>
      </m:oMath>
      <w:r>
        <w:rPr/>
        <w:t xml:space="preserve"> ( </w:t>
      </w:r>
      <m:oMath>
        <m:r>
          <m:rPr>
            <m:sty m:val="i"/>
          </m:rPr>
          <m:t>ω</m:t>
        </m:r>
      </m:oMath>
      <w:r>
        <w:rPr/>
        <w:t xml:space="preserve"> : pulsation).</w:t>
      </w:r>
      <w:r>
        <w:rPr/>
        <w:br w:type="textWrapping"/>
      </w:r>
      <w:r>
        <w:rPr/>
        <w:t xml:space="preserve">Constante de Faraday : </w:t>
      </w:r>
      <m:oMath>
        <m:r>
          <m:rPr>
            <m:scr m:val="script"/>
          </m:rPr>
          <m:t>F</m:t>
        </m:r>
        <m:r>
          <m:rPr>
            <m:sty m:val="p"/>
          </m:rPr>
          <m:t>=</m:t>
        </m:r>
        <m:r>
          <m:rPr>
            <m:sty m:val="p"/>
          </m:rPr>
          <m:t>96500</m:t>
        </m:r>
        <m:sSub>
          <m:sSubPr/>
          <m:e>
            <m:r>
              <m:rPr>
                <m:sty m:val="p"/>
              </m:rPr>
              <m:t>C</m:t>
            </m:r>
          </m:e>
          <m:sub>
            <m:r>
              <m:rPr>
                <m:sty m:val="p"/>
              </m:rPr>
              <m:t>.</m:t>
            </m:r>
            <m:sSup>
              <m:sSupPr/>
              <m:e>
                <m:r>
                  <m:rPr>
                    <m:sty m:val="p"/>
                  </m:rPr>
                  <m:t>mol</m:t>
                </m:r>
              </m:e>
              <m:sup>
                <m:r>
                  <m:rPr>
                    <m:sty m:val="p"/>
                  </m:rPr>
                  <m:t>−</m:t>
                </m:r>
                <m:r>
                  <m:rPr>
                    <m:sty m:val="p"/>
                  </m:rPr>
                  <m:t>1</m:t>
                </m:r>
              </m:sup>
            </m:sSup>
          </m:sub>
        </m:sSub>
        <m:sSup>
          <m:sSupPr/>
          <m:e>
            <m:r>
              <m:t xml:space="preserve"> </m:t>
            </m:r>
          </m:e>
          <m:sup>
            <m:r>
              <m:rPr>
                <m:sty m:val="p"/>
              </m:rPr>
              <m:t>−</m:t>
            </m:r>
            <m:r>
              <m:rPr>
                <m:sty m:val="p"/>
              </m:rPr>
              <m:t>1</m:t>
            </m:r>
          </m:sup>
        </m:sSup>
      </m:oMath>
      <w:r>
        <w:rPr/>
        <w:t xml:space="preserve">.</w:t>
      </w:r>
      <w:r>
        <w:rPr/>
        <w:br w:type="textWrapping"/>
      </w:r>
      <w:r>
        <w:rPr/>
        <w:t xml:space="preserve">Nombre d'Avogadro : </w:t>
      </w:r>
      <m:oMath>
        <m:sSub>
          <m:sSubPr/>
          <m:e>
            <m:r>
              <m:rPr>
                <m:scr m:val="script"/>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r>
        <w:rPr/>
        <w:br w:type="textWrapping"/>
      </w:r>
      <w:r>
        <w:rPr/>
        <w:t xml:space="preserve">Masse molaire du lithium : </w:t>
      </w:r>
      <m:oMath>
        <m:r>
          <m:rPr>
            <m:sty m:val="i"/>
          </m:rPr>
          <m:t>M</m:t>
        </m:r>
        <m:r>
          <m:rPr>
            <m:sty m:val="p"/>
          </m:rPr>
          <m:t>=</m:t>
        </m:r>
        <m:r>
          <m:rPr>
            <m:sty m:val="p"/>
          </m:rPr>
          <m:t>6</m:t>
        </m:r>
        <m:r>
          <m:rPr>
            <m:sty m:val="p"/>
          </m:rPr>
          <m:t>,</m:t>
        </m:r>
        <m:r>
          <m:rPr>
            <m:sty m:val="p"/>
          </m:rPr>
          <m:t>941</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r>
        <w:rPr/>
        <w:br w:type="textWrapping"/>
      </w:r>
      <w:r>
        <w:rPr/>
        <w:t xml:space="preserve">Rayon de l'atome de lithium : </w:t>
      </w:r>
      <m:oMath>
        <m:sSub>
          <m:sSubPr/>
          <m:e>
            <m:r>
              <m:rPr>
                <m:sty m:val="i"/>
              </m:rPr>
              <m:t>R</m:t>
            </m:r>
          </m:e>
          <m:sub>
            <m:r>
              <m:rPr>
                <m:sty m:val="p"/>
              </m:rPr>
              <m:t>Li</m:t>
            </m:r>
          </m:sub>
        </m:sSub>
        <m:r>
          <m:rPr>
            <m:sty m:val="p"/>
          </m:rPr>
          <m:t>=</m:t>
        </m:r>
        <m:r>
          <m:rPr>
            <m:sty m:val="p"/>
          </m:rPr>
          <m:t>145</m:t>
        </m:r>
        <m:r>
          <m:rPr>
            <m:sty m:val="p"/>
          </m:rPr>
          <m:t>pm</m:t>
        </m:r>
      </m:oMath>
      <w:r>
        <w:rPr/>
        <w:t xml:space="preserve">.</w:t>
      </w:r>
      <w:r>
        <w:rPr/>
        <w:br w:type="textWrapping"/>
      </w:r>
      <w:r>
        <w:rPr/>
        <w:t xml:space="preserve">Rayon ionique du lithium : </w:t>
      </w:r>
      <m:oMath>
        <m:sSub>
          <m:sSubPr/>
          <m:e>
            <m:r>
              <m:rPr>
                <m:sty m:val="i"/>
              </m:rPr>
              <m:t>R</m:t>
            </m:r>
          </m:e>
          <m:sub>
            <m:sSup>
              <m:sSupPr/>
              <m:e>
                <m:r>
                  <m:rPr>
                    <m:sty m:val="p"/>
                  </m:rPr>
                  <m:t>Li</m:t>
                </m:r>
              </m:e>
              <m:sup>
                <m:r>
                  <m:rPr>
                    <m:sty m:val="p"/>
                  </m:rPr>
                  <m:t>+</m:t>
                </m:r>
              </m:sup>
            </m:sSup>
          </m:sub>
        </m:sSub>
        <m:r>
          <m:rPr>
            <m:sty m:val="p"/>
          </m:rPr>
          <m:t>=</m:t>
        </m:r>
        <m:r>
          <m:rPr>
            <m:sty m:val="p"/>
          </m:rPr>
          <m:t>76</m:t>
        </m:r>
        <m:r>
          <m:rPr>
            <m:sty m:val="p"/>
          </m:rPr>
          <m:t>pm</m:t>
        </m:r>
      </m:oMath>
      <w:r>
        <w:rPr/>
        <w:t xml:space="preserve">.</w:t>
      </w:r>
      <w:r>
        <w:rPr/>
        <w:br w:type="textWrapping"/>
      </w:r>
      <w:r>
        <w:rPr/>
        <w:t xml:space="preserve">Rayon de l'atome de carbone : </w:t>
      </w:r>
      <m:oMath>
        <m:sSub>
          <m:sSubPr/>
          <m:e>
            <m:r>
              <m:rPr>
                <m:sty m:val="i"/>
              </m:rPr>
              <m:t>R</m:t>
            </m:r>
          </m:e>
          <m:sub>
            <m:r>
              <m:rPr>
                <m:sty m:val="p"/>
              </m:rPr>
              <m:t>C</m:t>
            </m:r>
          </m:sub>
        </m:sSub>
        <m:r>
          <m:rPr>
            <m:sty m:val="p"/>
          </m:rPr>
          <m:t>=</m:t>
        </m:r>
        <m:r>
          <m:rPr>
            <m:sty m:val="p"/>
          </m:rPr>
          <m:t>70</m:t>
        </m:r>
        <m:r>
          <m:rPr>
            <m:sty m:val="p"/>
          </m:rPr>
          <m:t>pm</m:t>
        </m:r>
      </m:oMath>
      <w:r>
        <w:rPr/>
        <w:t xml:space="preserve">.</w:t>
      </w:r>
      <w:r>
        <w:rPr/>
        <w:br w:type="textWrapping"/>
      </w:r>
      <w:r>
        <w:rPr>
          <w:rFonts w:eastAsia="Georgia" w:cs="Georgia" w:ascii="Georgia" w:hAnsi="Georgia"/>
        </w:rPr>
        <w:t xml:space="preserve">Caractéristiques de la batterie Li-ion d'un téléphone portable usuel :</w:t>
      </w:r>
    </w:p>
    <w:p>
      <w:pPr>
        <w:numPr>
          <w:ilvl w:val="0"/>
          <w:numId w:val="3"/>
        </w:numPr>
        <w:spacing w:lineRule="auto"/>
      </w:pPr>
      <w:r>
        <w:rPr>
          <w:rFonts w:eastAsia="Georgia" w:cs="Georgia" w:ascii="Georgia" w:hAnsi="Georgia"/>
        </w:rPr>
        <w:t xml:space="preserve">Capacité : Cap </w:t>
      </w:r>
      <m:oMath>
        <m:r>
          <m:rPr>
            <m:sty m:val="p"/>
          </m:rPr>
          <m:t>=</m:t>
        </m:r>
        <m:r>
          <m:rPr>
            <m:sty m:val="p"/>
          </m:rPr>
          <m:t>2675</m:t>
        </m:r>
        <m:r>
          <m:rPr>
            <m:nor/>
          </m:rPr>
          <m:t xml:space="preserve"> </m:t>
        </m:r>
        <m:r>
          <m:rPr>
            <m:sty m:val="p"/>
          </m:rPr>
          <m:t>mA</m:t>
        </m:r>
        <m:r>
          <m:rPr>
            <m:sty m:val="p"/>
          </m:rPr>
          <m:t>.</m:t>
        </m:r>
        <m:r>
          <m:rPr>
            <m:sty m:val="p"/>
          </m:rPr>
          <m:t>h</m:t>
        </m:r>
      </m:oMath>
      <w:r>
        <w:rPr/>
        <w:t xml:space="preserve">.</w:t>
      </w:r>
    </w:p>
    <w:p>
      <w:pPr>
        <w:numPr>
          <w:ilvl w:val="0"/>
          <w:numId w:val="3"/>
        </w:numPr>
        <w:spacing w:lineRule="auto"/>
      </w:pPr>
      <w:r>
        <w:rPr>
          <w:rFonts w:eastAsia="Georgia" w:cs="Georgia" w:ascii="Georgia" w:hAnsi="Georgia"/>
        </w:rPr>
        <w:t xml:space="preserve">Énergie massique : </w:t>
      </w:r>
      <m:oMath>
        <m:sSub>
          <m:sSubPr/>
          <m:e>
            <m:r>
              <m:rPr>
                <m:scr m:val="script"/>
              </m:rPr>
              <m:t>E</m:t>
            </m:r>
          </m:e>
          <m:sub>
            <m:r>
              <m:rPr>
                <m:nor/>
              </m:rPr>
              <m:t>massique </m:t>
            </m:r>
          </m:sub>
        </m:sSub>
        <m:r>
          <m:rPr>
            <m:sty m:val="p"/>
          </m:rPr>
          <m:t>=</m:t>
        </m:r>
        <m:r>
          <m:rPr>
            <m:sty m:val="p"/>
          </m:rPr>
          <m:t>200</m:t>
        </m:r>
        <m:r>
          <m:rPr>
            <m:nor/>
          </m:rPr>
          <m:t xml:space="preserve"> </m:t>
        </m:r>
        <m:r>
          <m:rPr>
            <m:sty m:val="p"/>
          </m:rPr>
          <m:t>W</m:t>
        </m:r>
        <m:r>
          <m:rPr>
            <m:sty m:val="p"/>
          </m:rPr>
          <m:t>.</m:t>
        </m:r>
        <m:r>
          <m:rPr>
            <m:sty m:val="p"/>
          </m:rPr>
          <m:t>h</m:t>
        </m:r>
        <m:r>
          <m:rPr>
            <m:sty m:val="p"/>
          </m:rPr>
          <m:t>/</m:t>
        </m:r>
        <m:r>
          <m:rPr>
            <m:sty m:val="p"/>
          </m:rPr>
          <m:t>kg</m:t>
        </m:r>
      </m:oMath>
      <w:r>
        <w:rPr/>
        <w:t xml:space="preserve"> de batterie.</w:t>
      </w:r>
    </w:p>
    <w:p>
      <w:pPr>
        <w:numPr>
          <w:ilvl w:val="0"/>
          <w:numId w:val="3"/>
        </w:numPr>
        <w:spacing w:lineRule="auto"/>
      </w:pPr>
      <w:r>
        <w:rPr>
          <w:rFonts w:eastAsia="Georgia" w:cs="Georgia" w:ascii="Georgia" w:hAnsi="Georgia"/>
        </w:rPr>
        <w:t xml:space="preserve">Tension à vide à </w:t>
      </w:r>
      <m:oMath>
        <m:sSup>
          <m:sSupPr/>
          <m:e>
            <m:r>
              <m:rPr>
                <m:sty m:val="p"/>
              </m:rPr>
              <m:t>25</m:t>
            </m:r>
          </m:e>
          <m:sup>
            <m:r>
              <m:rPr>
                <m:sty m:val="p"/>
              </m:rPr>
              <m:t>∘</m:t>
            </m:r>
          </m:sup>
        </m:sSup>
        <m:r>
          <m:rPr>
            <m:sty m:val="p"/>
          </m:rPr>
          <m:t>C</m:t>
        </m:r>
        <m:r>
          <m:rPr>
            <m:sty m:val="p"/>
          </m:rPr>
          <m:t>:</m:t>
        </m:r>
        <m:r>
          <m:rPr>
            <m:sty m:val="i"/>
          </m:rPr>
          <m:t>E</m:t>
        </m:r>
        <m:r>
          <m:rPr>
            <m:sty m:val="p"/>
          </m:rPr>
          <m:t>=</m:t>
        </m:r>
        <m:r>
          <m:rPr>
            <m:sty m:val="p"/>
          </m:rPr>
          <m:t>3</m:t>
        </m:r>
        <m:r>
          <m:rPr>
            <m:sty m:val="p"/>
          </m:rPr>
          <m:t>,</m:t>
        </m:r>
        <m:r>
          <m:rPr>
            <m:sty m:val="p"/>
          </m:rPr>
          <m:t>6</m:t>
        </m:r>
        <m:r>
          <m:rPr>
            <m:nor/>
          </m:rPr>
          <m:t xml:space="preserve"> </m:t>
        </m:r>
        <m:r>
          <m:rPr>
            <m:sty m:val="p"/>
          </m:rPr>
          <m:t>V</m:t>
        </m:r>
      </m:oMath>
      <w:r>
        <w:rPr/>
        <w:t xml:space="preserve">.</w:t>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6f570ba2b7d4d90fed88261edf84253ca2b6caa.jpg" TargetMode="Internal"/><Relationship Id="rId6" Type="http://schemas.openxmlformats.org/officeDocument/2006/relationships/image" Target="media/image-c5837706ae4201451fcba68c5af1116250d048e3.jpg" TargetMode="Internal"/><Relationship Id="rId7" Type="http://schemas.openxmlformats.org/officeDocument/2006/relationships/image" Target="media/image-b1418a5f186f99c8e34483cbdbd247cca8bed749.jpg" TargetMode="Internal"/><Relationship Id="rId8" Type="http://schemas.openxmlformats.org/officeDocument/2006/relationships/image" Target="media/image-4626d1f89f460dc6ee0edeba9166cbb6d541194b.jpg" TargetMode="Internal"/><Relationship Id="rId9" Type="http://schemas.openxmlformats.org/officeDocument/2006/relationships/image" Target="media/image-1f2ff2ee57efc56d369cdceb355262f881b4972e.jpg" TargetMode="Internal"/><Relationship Id="rId10" Type="http://schemas.openxmlformats.org/officeDocument/2006/relationships/image" Target="media/image-7ccecc6312e8673e4a110d3c351e17cd704a733e.jpg" TargetMode="Internal"/><Relationship Id="rId11" Type="http://schemas.openxmlformats.org/officeDocument/2006/relationships/image" Target="media/image-4404b6a746a4a02c228ee2735303cd9c315f2a3e.jpg" TargetMode="Internal"/><Relationship Id="rId12" Type="http://schemas.openxmlformats.org/officeDocument/2006/relationships/image" Target="media/image-b1fb352f5ab6a28de3b8f1bd2e33d02153a08ee2.jpg" TargetMode="Internal"/><Relationship Id="rId13" Type="http://schemas.openxmlformats.org/officeDocument/2006/relationships/image" Target="media/image-0b049649d1c23d947e565e55648c0819919ea443.jpg" TargetMode="Internal"/><Relationship Id="rId14" Type="http://schemas.openxmlformats.org/officeDocument/2006/relationships/image" Target="media/image-7ba3ddc7f3481917d33d0c029dc513a448429165.jpg" TargetMode="Internal"/><Relationship Id="rId15" Type="http://schemas.openxmlformats.org/officeDocument/2006/relationships/image" Target="media/image-1aec537410853e623fb4791c2891e894d876dd9a.jpg" TargetMode="Internal"/><Relationship Id="rId16" Type="http://schemas.openxmlformats.org/officeDocument/2006/relationships/image" Target="media/image-c2c0258a073b5bc943e30551101ed37f8e923d30.jpg" TargetMode="Internal"/><Relationship Id="rId17" Type="http://schemas.openxmlformats.org/officeDocument/2006/relationships/image" Target="media/image-39dc9f32ac39ae3d82063ae287664785e03b77c7.jpg" TargetMode="Internal"/><Relationship Id="rId18" Type="http://schemas.openxmlformats.org/officeDocument/2006/relationships/image" Target="media/image-8823fc1687c9eaa276da63081927ce15eb2de88a.jpg" TargetMode="Internal"/><Relationship Id="rId19" Type="http://schemas.openxmlformats.org/officeDocument/2006/relationships/image" Target="media/image-ab05b93370a7f26bc88373aed4fa8658d31c9d49.jpg" TargetMode="Internal"/><Relationship Id="rId20" Type="http://schemas.openxmlformats.org/officeDocument/2006/relationships/image" Target="media/image-2bd8dee6e9a8b9ffb8ac19eca300df757f738c74.jpg" TargetMode="Internal"/><Relationship Id="rId21" Type="http://schemas.openxmlformats.org/officeDocument/2006/relationships/image" Target="media/image-454ffa46fc9cf547d784f1df185df03c2f279a07.jpg" TargetMode="Internal"/><Relationship Id="rId22" Type="http://schemas.openxmlformats.org/officeDocument/2006/relationships/image" Target="media/image-c131dd185df72b0d6bb78e284000df21c65d12c2.jpg" TargetMode="Internal"/><Relationship Id="rId23" Type="http://schemas.openxmlformats.org/officeDocument/2006/relationships/image" Target="media/image-1b5fe930d1909a229121282b15bbe85df05081ce.jpg" TargetMode="Internal"/><Relationship Id="rId24" Type="http://schemas.openxmlformats.org/officeDocument/2006/relationships/image" Target="media/image-ed2708bf401cfcf40c1a65a390616d4d3a804e9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2025-09-04T21:45:05.107Z</dcterms:created>
  <dcterms:modified xsi:type="dcterms:W3CDTF">2025-09-04T21:45:05.107Z</dcterms:modified>
</cp:coreProperties>
</file>