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ENAC PILOTES 2011</w:t>
      </w:r>
      <w:r>
        <w:rPr/>
        <w:br w:type="textWrapping"/>
      </w:r>
      <w:r>
        <w:rPr/>
        <w:t xml:space="preserve">Calculatrices interdites.</w:t>
      </w:r>
      <w:r>
        <w:rPr/>
        <w:br w:type="textWrapping"/>
      </w:r>
      <w:r>
        <w:rPr>
          <w:rFonts w:eastAsia="Georgia" w:cs="Georgia" w:ascii="Georgia" w:hAnsi="Georgia"/>
        </w:rPr>
        <w:t xml:space="preserve">une, deux ou pas de réponses possibles à chaque question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Questions liées</w:t>
      </w:r>
      <w:r>
        <w:rPr/>
        <w:br w:type="textWrapping"/>
      </w:r>
      <w:r>
        <w:rPr/>
        <w:t xml:space="preserve">[1,2,3,4,5,6]</w:t>
      </w:r>
      <w:r>
        <w:rPr/>
        <w:br w:type="textWrapping"/>
      </w:r>
      <w:r>
        <w:rPr/>
        <w:t xml:space="preserve">[7,8,9,10,11,12]</w:t>
      </w:r>
      <w:r>
        <w:rPr/>
        <w:br w:type="textWrapping"/>
      </w:r>
      <w:r>
        <w:rPr/>
        <w:t xml:space="preserve">[13,14,15,16,17,18]</w:t>
      </w:r>
      <w:r>
        <w:rPr/>
        <w:br w:type="textWrapping"/>
      </w:r>
      <w:r>
        <w:rPr/>
        <w:t xml:space="preserve">[19,20,21,22,23,24]</w:t>
      </w:r>
      <w:r>
        <w:rPr/>
        <w:br w:type="textWrapping"/>
      </w:r>
      <w:r>
        <w:rPr/>
        <w:t xml:space="preserve">[25,26,27,28,29,30]</w:t>
      </w:r>
      <w:r>
        <w:rPr/>
        <w:br w:type="textWrapping"/>
      </w:r>
      <w:r>
        <w:rPr/>
        <w:t xml:space="preserve">[31,32,33,34,35,36]</w:t>
      </w:r>
    </w:p>
    <w:p>
      <w:pPr>
        <w:numPr>
          <w:ilvl w:val="0"/>
          <w:numId w:val="1"/>
        </w:numPr>
        <w:spacing w:lineRule="auto"/>
      </w:pPr>
      <w:r>
        <w:rPr/>
        <w:t xml:space="preserve">Un palet M de masse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, assimilé à un point matériel, est lancé sur une piste composée d'une portion rectiligne AB et inclinée d'un angle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par rapport à l'horizontale, et d'une portion circulaire BC , de rayon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 et d'angle </w:t>
      </w:r>
      <m:oMath>
        <m:r>
          <m:rPr>
            <m:sty m:val="i"/>
          </m:rPr>
          <m:t>B</m:t>
        </m:r>
        <m:acc>
          <m:accPr>
            <m:chr m:val="ˆ"/>
          </m:accPr>
          <m:e>
            <m:r>
              <m:rPr>
                <m:sty m:val="i"/>
              </m:rPr>
              <m:t>O</m:t>
            </m:r>
          </m:e>
        </m:acc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(cf figure ci-dessous). Le palet initialement lancé depuis A avec la vitesse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glisse sans frottement sur la piste. On désigne par </w:t>
      </w:r>
      <m:oMath>
        <m:r>
          <m:rPr>
            <m:sty m:val="p"/>
          </m:rPr>
          <m:t>g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l'intensité du champ de pesanteur.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387689"/>
            <wp:effectExtent b="0" l="0" r="0" t="0"/>
            <wp:docPr id="1" name="image-1d97bac82c29037de124216e713b7d7cf8a5436c.jpg"/>
            <a:graphic>
              <a:graphicData uri="http://schemas.openxmlformats.org/drawingml/2006/picture">
                <pic:pic>
                  <pic:nvPicPr>
                    <pic:cNvPr id="1" name="image-1d97bac82c29037de124216e713b7d7cf8a5436c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76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vitesse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au point </w:t>
      </w:r>
      <m:oMath>
        <m:r>
          <m:rPr>
            <m:sty m:val="i"/>
          </m:rPr>
          <m:t>B</m:t>
        </m:r>
      </m:oMath>
      <w:r>
        <w:rPr/>
        <w:t xml:space="preserve"> en supposant que ce point est atteint.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A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gR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A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gR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2. Afin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soit effectivement atteint par le palet, il est nécessaire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</m:oMath>
      <w:r>
        <w:rPr/>
        <w:t xml:space="preserve">. Evaluer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questions suivantes on suppose la condition précédente vérifiée.</w:t>
      </w:r>
      <w:r>
        <w:rPr/>
        <w:br w:type="textWrapping"/>
      </w:r>
      <w:r>
        <w:rPr>
          <w:rFonts w:eastAsia="Georgia" w:cs="Georgia" w:ascii="Georgia" w:hAnsi="Georgia"/>
        </w:rPr>
        <w:t xml:space="preserve">3. Calculer la durée </w:t>
      </w:r>
      <m:oMath>
        <m:r>
          <m:rPr>
            <m:sty m:val="i"/>
          </m:rPr>
          <m:t>τ</m:t>
        </m:r>
      </m:oMath>
      <w:r>
        <w:rPr/>
        <w:t xml:space="preserve"> de parcours de la portion AB 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V</m:t>
                </m:r>
              </m:e>
              <m:sub>
                <m:r>
                  <m:rPr>
                    <m:sty m:val="p"/>
                  </m:rPr>
                  <m:t>A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p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gR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α</m:t>
                    </m:r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p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gR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α</m:t>
                    </m:r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V</m:t>
                </m:r>
              </m:e>
              <m:sub>
                <m:r>
                  <m:rPr>
                    <m:sty m:val="p"/>
                  </m:rPr>
                  <m:t>A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gR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V</m:t>
                </m:r>
              </m:e>
              <m:sub>
                <m:r>
                  <m:rPr>
                    <m:sty m:val="p"/>
                  </m:rPr>
                  <m:t>A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p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gR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α</m:t>
                    </m:r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4. Déterminer l'expression de la réaction normale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du support sur M lors de la phase du mouvement sur l'arc BC en fonction de </w:t>
      </w:r>
      <m:oMath>
        <m:r>
          <m:rPr>
            <m:sty m:val="i"/>
          </m:rPr>
          <m:t>θ</m:t>
        </m:r>
      </m:oMath>
      <w:r>
        <w:rPr/>
        <w:t xml:space="preserve"> qui est l'angle entre </w:t>
      </w:r>
      <m:oMath>
        <m:r>
          <m:rPr>
            <m:sty m:val="b"/>
          </m:rPr>
          <m:t>O</m:t>
        </m:r>
        <m:r>
          <m:rPr>
            <m:sty m:val="b"/>
          </m:rPr>
          <m:t>M</m:t>
        </m:r>
      </m:oMath>
      <w:r>
        <w:rPr/>
        <w:t xml:space="preserve"> et la verticale.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i"/>
          </m:rPr>
          <m:t>R</m:t>
        </m:r>
        <m:acc>
          <m:accPr>
            <m:chr m:val="¨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p>
              <m:sSupPr/>
              <m:e>
                <m:acc>
                  <m:accPr>
                    <m:chr m:val="˙"/>
                  </m:accPr>
                  <m:e>
                    <m:r>
                      <m:rPr>
                        <m:sty m:val="i"/>
                      </m:rPr>
                      <m:t>θ</m:t>
                    </m:r>
                  </m:e>
                </m:acc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5. A quelle condition sur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n'y aura-t-il pas de décollage avant le sommet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Rg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(</m:t>
        </m:r>
        <m:r>
          <m:rPr>
            <m:sty m:val="p"/>
          </m:rPr>
          <m:t>Rg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i"/>
          </m:rPr>
          <m:t>R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i"/>
          </m:rPr>
          <m:t>g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6. Déterminer la valeur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θ</m:t>
        </m:r>
      </m:oMath>
      <w:r>
        <w:rPr/>
        <w:t xml:space="preserve"> pour laquelle le palet quitte la piste.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A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gR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R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g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7. Un plongeur souhaite explorer une épave sous-marine en effectuant une plongée en apnée. Le corps du plongeur, de masse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80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, peut-être considéré, à l'exception de ses poumons, comme incompressible.</w:t>
      </w:r>
      <w:r>
        <w:rPr/>
        <w:br w:type="textWrapping"/>
      </w:r>
      <w:r>
        <w:rPr>
          <w:rFonts w:eastAsia="Georgia" w:cs="Georgia" w:ascii="Georgia" w:hAnsi="Georgia"/>
        </w:rPr>
        <w:t xml:space="preserve">Les poumons ont un volume variable: lors d'une inspiration complète le volume est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>
          <w:rFonts w:eastAsia="Georgia" w:cs="Georgia" w:ascii="Georgia" w:hAnsi="Georgia"/>
        </w:rPr>
        <w:t xml:space="preserve"> et lors d'une expiration complète ce volume devient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t xml:space="preserve">. Le reste du corps a un volume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77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 de la descente la cage thoracique se comprime et l'air des poumons est donc à la même pression que l'eau à la profondeur du plongeur. L'eau a une masse volumique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1000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la pression atmosphérique à la surface est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bar, on donne la valeur de l'intensité du champ pesanteur </w:t>
      </w:r>
      <m:oMath>
        <m:r>
          <m:rPr>
            <m:sty m:val="p"/>
          </m:rPr>
          <m:t>g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on considère que l'air est un gaz parfait. On donne la constante des gaz parfaits: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Durant toute cette étude on supposera que la température T de l'air reste constante. On choisit un axe vertical Oz descendant et d'origine prise à la surface.</w:t>
      </w:r>
      <w:r>
        <w:rPr/>
        <w:br w:type="textWrapping"/>
      </w:r>
      <w:r>
        <w:rPr/>
        <w:t xml:space="preserve">Indiquer la ou les affirmations exactes:</w:t>
      </w:r>
      <w:r>
        <w:rPr/>
        <w:br w:type="textWrapping"/>
      </w:r>
      <w:r>
        <w:rPr/>
        <w:t xml:space="preserve">A) Le plongeur flotte s'il inspire totalement mais coule s'il expire totalement</w:t>
      </w:r>
      <w:r>
        <w:rPr/>
        <w:br w:type="textWrapping"/>
      </w:r>
      <w:r>
        <w:rPr/>
        <w:t xml:space="preserve">B) Le plongeur flotte losrqu'il inspire totalement et lorsqu'il expire totalement</w:t>
      </w:r>
      <w:r>
        <w:rPr/>
        <w:br w:type="textWrapping"/>
      </w:r>
      <w:r>
        <w:rPr/>
        <w:t xml:space="preserve">C) Le plongeur coule lorsqu'il inspire totalement et lorsqu'il expire totalement</w:t>
      </w:r>
      <w:r>
        <w:rPr/>
        <w:br w:type="textWrapping"/>
      </w:r>
      <w:r>
        <w:rPr/>
        <w:t xml:space="preserve">D) Le plongeur coule s'il inspire totalement mais flotte s'il expire totalement</w:t>
      </w:r>
      <w:r>
        <w:rPr/>
        <w:br w:type="textWrapping"/>
      </w:r>
      <w:r>
        <w:rPr/>
        <w:t xml:space="preserve">8. Le plongeur inspire totalement avant d'entamer sa descente. Exprimer le volume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ses poumons en fonction de la profondeur z à laquelle il descend.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M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μ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z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i"/>
                  </m:rPr>
                  <m:t>z</m:t>
                </m:r>
              </m:num>
              <m:den>
                <m:r>
                  <m:rPr>
                    <m:sty m:val="i"/>
                  </m:rPr>
                  <m:t>R</m:t>
                </m:r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V</m:t>
                </m:r>
              </m:e>
              <m:sub>
                <m:r>
                  <m:rPr>
                    <m:sty m:val="p"/>
                  </m:rPr>
                  <m:t>m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p"/>
                  </m:rPr>
                  <m:t>V</m:t>
                </m:r>
              </m:e>
              <m:sub>
                <m:r>
                  <m:rPr>
                    <m:sty m:val="p"/>
                  </m:rPr>
                  <m:t>M</m:t>
                </m:r>
              </m:sub>
            </m:sSub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μ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z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i"/>
                  </m:rPr>
                  <m:t>z</m:t>
                </m:r>
              </m:num>
              <m:den>
                <m:r>
                  <m:rPr>
                    <m:sty m:val="i"/>
                  </m:rPr>
                  <m:t>R</m:t>
                </m:r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br w:type="textWrapping"/>
      </w:r>
      <w:r>
        <w:rPr/>
        <w:t xml:space="preserve">9. A quelle profondeur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résultante des forces s'appliquant au plongeur est-elle nulle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10. A quelle profondeur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ses poumons ont-ils atteint leur volume minimal?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11. Le plongeur s'équipe d'une bouteille d'air comprimé qui lui fournit, grâce à un détendeur, de l'air à la même pression que l'eau à la profondeur où il se trouve. Le volume de la bouteille est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t xml:space="preserve">. La composition molaire de l'air est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sty m:val="p"/>
          </m:rPr>
          <m:t>%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80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respectivement les titres molaires en dioxygène et en diazote. Sachant qu'à partir d'une pression partielle en diazote égale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nor/>
              </m:rPr>
              <m:t>lim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bar le plongeur ressent l'ivresse des profondeurs, déterminer la profondeur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à laquelle se manifeste ce phénomène.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12. Le plongeur effectue 15 respirations par minute chacune ayant une amplitude de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Initialement la pression dans la bouteille est de 150 bars et le plongeur doit entamer sa remontée lorsque la pression atteint la valeur de 50 bars. Combien de temps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t peut-il rester à la profondeur calculée à la question précédente en négligeant la durée de descente?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min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min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16</m:t>
        </m:r>
        <m:r>
          <m:rPr>
            <m:nor/>
          </m:rPr>
          <m:t xml:space="preserve"> </m:t>
        </m:r>
        <m:r>
          <m:rPr>
            <m:sty m:val="p"/>
          </m:rPr>
          <m:t>min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13. On remplit un bac à glaçons d'eau et on le place dans un congélateur. Le bac à glaçons permet de faire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12</m:t>
        </m:r>
      </m:oMath>
      <w:r>
        <w:rPr>
          <w:rFonts w:eastAsia="Georgia" w:cs="Georgia" w:ascii="Georgia" w:hAnsi="Georgia"/>
        </w:rPr>
        <w:t xml:space="preserve"> glaçons cubiques ayant chacun une masse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. Le congélateur est maintenu à la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18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et l'eau liquide mise dans le bac à glaçons est initialement à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. On attend suffisamment longtemps pour que l'équilibre thermique soit atteint.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 la capacité thermique massique de l'eau liquide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, la capacité thermique massique de la glace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gl</m:t>
            </m:r>
          </m:sub>
        </m:sSub>
      </m:oMath>
      <w:r>
        <w:rPr>
          <w:rFonts w:eastAsia="Georgia" w:cs="Georgia" w:ascii="Georgia" w:hAnsi="Georgia"/>
        </w:rPr>
        <w:t xml:space="preserve">, l'enthalpie molaire de fusion de la glace à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</m:oMath>
      <w:r>
        <w:rPr/>
        <w:t xml:space="preserve"> et la masse molaire de l'eau M 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variation d'enthalpie </w:t>
      </w:r>
      <m:oMath>
        <m:r>
          <m:rPr>
            <m:sty m:val="p"/>
          </m:rPr>
          <m:t>Δ</m:t>
        </m:r>
        <m:r>
          <m:rPr>
            <m:sty m:val="p"/>
          </m:rPr>
          <m:t>H</m:t>
        </m:r>
      </m:oMath>
      <w:r>
        <w:rPr>
          <w:rFonts w:eastAsia="Georgia" w:cs="Georgia" w:ascii="Georgia" w:hAnsi="Georgia"/>
        </w:rPr>
        <w:t xml:space="preserve"> de l'eau entre son état initial à la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son état final la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p"/>
          </m:rPr>
          <m:t>H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p"/>
          </m:rPr>
          <m:t>H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p"/>
          </m:rPr>
          <m:t>H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p"/>
          </m:rPr>
          <m:t>H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14. Déterminer l'énergie reçue sous forme de chaleur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par l'eau de la part du congélateur en supposant que l'évolution de l'eau se fasse à pression constante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bar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Δ</m:t>
            </m:r>
            <m:r>
              <m:rPr>
                <m:sty m:val="p"/>
              </m:rPr>
              <m:t>H</m:t>
            </m:r>
          </m:num>
          <m:den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p"/>
          </m:rPr>
          <m:t>H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15. Sélectionner la ou les affirmations exactes:</w:t>
      </w:r>
      <w:r>
        <w:rPr/>
        <w:br w:type="textWrapping"/>
      </w:r>
      <w:r>
        <w:rPr>
          <w:rFonts w:eastAsia="Georgia" w:cs="Georgia" w:ascii="Georgia" w:hAnsi="Georgia"/>
        </w:rPr>
        <w:t xml:space="preserve">A) L'entropie d'un système fermé ne peut que croître</w:t>
      </w:r>
      <w:r>
        <w:rPr/>
        <w:br w:type="textWrapping"/>
      </w:r>
      <w:r>
        <w:rPr/>
        <w:t xml:space="preserve">B) L'entropie est une grandeur conservative</w:t>
      </w:r>
      <w:r>
        <w:rPr/>
        <w:br w:type="textWrapping"/>
      </w:r>
      <w:r>
        <w:rPr/>
        <w:t xml:space="preserve">C) L'entropie est une grandeur extensive</w:t>
      </w:r>
      <w:r>
        <w:rPr/>
        <w:br w:type="textWrapping"/>
      </w:r>
      <w:r>
        <w:rPr/>
        <w:t xml:space="preserve">D) L'entropie est une grandeur intensive</w:t>
      </w:r>
      <w:r>
        <w:rPr/>
        <w:br w:type="textWrapping"/>
      </w:r>
      <w:r>
        <w:rPr>
          <w:rFonts w:eastAsia="Georgia" w:cs="Georgia" w:ascii="Georgia" w:hAnsi="Georgia"/>
        </w:rPr>
        <w:t xml:space="preserve">16. Déterminer la variation d'entropie </w:t>
      </w:r>
      <m:oMath>
        <m:r>
          <m:rPr>
            <m:sty m:val="p"/>
          </m:rPr>
          <m:t>Δ</m:t>
        </m:r>
        <m:r>
          <m:rPr>
            <m:sty m:val="p"/>
          </m:rPr>
          <m:t>S</m:t>
        </m:r>
      </m:oMath>
      <w:r>
        <w:rPr/>
        <w:t xml:space="preserve"> au cours de la transformation.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p"/>
          </m:rPr>
          <m:t>S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p"/>
          </m:rPr>
          <m:t>S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p"/>
          </m:rPr>
          <m:t>S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p"/>
          </m:rPr>
          <m:t>S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Nmc</m:t>
            </m:r>
          </m:e>
          <m:sub>
            <m:r>
              <m:rPr>
                <m:sty m:val="p"/>
              </m:rPr>
              <m:t>gl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17. Si le congélateur était une machine thermique idéale fonctionnant entre la source froide de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la source chaude de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quelle serait son efficacité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f</m:t>
            </m:r>
          </m:sub>
        </m:sSub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18. Dans une pièce initialement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on met en fonctionnement continu le congélateur avec sa porte grande ouverte durant une longue durée. Sélectionner la ou les affirmations exactes:</w:t>
      </w:r>
      <w:r>
        <w:rPr/>
        <w:br w:type="textWrapping"/>
      </w:r>
      <w:r>
        <w:rPr>
          <w:rFonts w:eastAsia="Georgia" w:cs="Georgia" w:ascii="Georgia" w:hAnsi="Georgia"/>
        </w:rPr>
        <w:t xml:space="preserve">A) la température moyenne de la pièce diminue</w:t>
      </w:r>
      <w:r>
        <w:rPr/>
        <w:br w:type="textWrapping"/>
      </w:r>
      <w:r>
        <w:rPr>
          <w:rFonts w:eastAsia="Georgia" w:cs="Georgia" w:ascii="Georgia" w:hAnsi="Georgia"/>
        </w:rPr>
        <w:t xml:space="preserve">B) la température moyenne de la pièce reste constante</w:t>
      </w:r>
      <w:r>
        <w:rPr/>
        <w:br w:type="textWrapping"/>
      </w:r>
      <w:r>
        <w:rPr>
          <w:rFonts w:eastAsia="Georgia" w:cs="Georgia" w:ascii="Georgia" w:hAnsi="Georgia"/>
        </w:rPr>
        <w:t xml:space="preserve">C) la température moyenne de la pièce s'élève</w:t>
      </w:r>
      <w:r>
        <w:rPr/>
        <w:br w:type="textWrapping"/>
      </w:r>
      <w:r>
        <w:rPr>
          <w:rFonts w:eastAsia="Georgia" w:cs="Georgia" w:ascii="Georgia" w:hAnsi="Georgia"/>
        </w:rPr>
        <w:t xml:space="preserve">D) la température moyenne de la pièce varie périodiquement</w:t>
      </w:r>
      <w:r>
        <w:rPr/>
        <w:br w:type="textWrapping"/>
      </w:r>
      <w:r>
        <w:rPr>
          <w:rFonts w:eastAsia="Georgia" w:cs="Georgia" w:ascii="Georgia" w:hAnsi="Georgia"/>
        </w:rPr>
        <w:t xml:space="preserve">19. Le circuit RLC série suivant est réalisé avec un condensateur de capacité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240</m:t>
        </m:r>
        <m:r>
          <m:rPr>
            <m:sty m:val="p"/>
          </m:rPr>
          <m:t>nF</m:t>
        </m:r>
      </m:oMath>
      <w:r>
        <w:rPr>
          <w:rFonts w:eastAsia="Georgia" w:cs="Georgia" w:ascii="Georgia" w:hAnsi="Georgia"/>
        </w:rPr>
        <w:t xml:space="preserve">, un résistor de résistance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sty m:val="p"/>
          </m:rPr>
          <m:t>Ω</m:t>
        </m:r>
      </m:oMath>
      <w:r>
        <w:rPr/>
        <w:t xml:space="preserve"> et une bobine inconnue d'inductance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de résistance de bobinage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tension aux bornes de cette bobine ( cf figure ci-dessous). Ce circuit est alimenté par un GBF de </w:t>
      </w:r>
      <w:hyperlink r:id="rId6">
        <w:r>
          <w:rPr>
            <w:rFonts w:eastAsia="Georgia" w:cs="Georgia" w:ascii="Georgia" w:hAnsi="Georgia"/>
            <w:color w:val="4472C4"/>
          </w:rPr>
          <w:t xml:space="preserve">f.é.me</w:t>
        </w:r>
      </w:hyperlink>
      <w:r>
        <w:rPr/>
        <w:t xml:space="preserve">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En notations complexes, la fonction de transfert de ce filtre est </w:t>
      </w:r>
      <m:oMath>
        <m:bar>
          <m:barPr/>
          <m:e>
            <m:r>
              <m:rPr>
                <m:sty m:val="p"/>
              </m:rPr>
              <m:t>H</m:t>
            </m:r>
          </m:e>
        </m:ba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p"/>
                  </m:rPr>
                  <m:t>u</m:t>
                </m:r>
              </m:e>
            </m:bar>
          </m:e>
          <m:sub>
            <m:bar>
              <m:barPr/>
              <m:e>
                <m:r>
                  <m:rPr>
                    <m:sty m:val="p"/>
                  </m:rPr>
                  <m:t>b</m:t>
                </m:r>
              </m:e>
            </m:bar>
          </m:sub>
        </m:sSub>
        <m:r>
          <m:rPr>
            <m:sty m:val="p"/>
          </m:rPr>
          <m:t>/</m:t>
        </m:r>
        <m:bar>
          <m:barPr/>
          <m:e>
            <m:r>
              <m:rPr>
                <m:sty m:val="p"/>
              </m:rPr>
              <m:t>e</m:t>
            </m:r>
          </m:e>
        </m:ba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60211"/>
            <wp:effectExtent b="0" l="0" r="0" t="0"/>
            <wp:docPr id="2" name="image-edd3a63f54a9c2eca2f69a1e048f343ce40a4d84.jpg"/>
            <a:graphic>
              <a:graphicData uri="http://schemas.openxmlformats.org/drawingml/2006/picture">
                <pic:pic>
                  <pic:nvPicPr>
                    <pic:cNvPr id="2" name="image-edd3a63f54a9c2eca2f69a1e048f343ce40a4d84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02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nature de ce filtre</w:t>
      </w:r>
      <w:r>
        <w:rPr/>
        <w:br w:type="textWrapping"/>
      </w:r>
      <w:r>
        <w:rPr/>
        <w:t xml:space="preserve">A) passe-bas</w:t>
      </w:r>
      <w:r>
        <w:rPr/>
        <w:br w:type="textWrapping"/>
      </w:r>
      <w:r>
        <w:rPr/>
        <w:t xml:space="preserve">B) passe-haut</w:t>
      </w:r>
      <w:r>
        <w:rPr/>
        <w:br w:type="textWrapping"/>
      </w:r>
      <w:r>
        <w:rPr/>
        <w:t xml:space="preserve">C) passe-bande</w:t>
      </w:r>
      <w:r>
        <w:rPr/>
        <w:br w:type="textWrapping"/>
      </w:r>
      <w:r>
        <w:rPr/>
        <w:t xml:space="preserve">D) coupe-bande</w:t>
      </w:r>
      <w:r>
        <w:rPr/>
        <w:br w:type="textWrapping"/>
      </w:r>
      <w:r>
        <w:rPr>
          <w:rFonts w:eastAsia="Georgia" w:cs="Georgia" w:ascii="Georgia" w:hAnsi="Georgia"/>
        </w:rPr>
        <w:t xml:space="preserve">20. Lorsque la pulsation du générateur est égale à la pulsation propre du circuit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LC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quelle est la valeur du module de </w:t>
      </w:r>
      <m:oMath>
        <m:bar>
          <m:barPr/>
          <m:e>
            <m:r>
              <m:rPr>
                <m:sty m:val="p"/>
              </m:rPr>
              <m:t>H</m:t>
            </m:r>
          </m:e>
        </m:ba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L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den>
        </m:f>
      </m:oMath>
      <w:r>
        <w:rPr/>
        <w:br w:type="textWrapping"/>
      </w:r>
      <w:r>
        <w:rPr/>
        <w:t xml:space="preserve">21. L'amplitude de la tension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passe par un maximum lorsque la fréquence est </w:t>
      </w:r>
      <m:oMath>
        <m:r>
          <m:rPr>
            <m:sty m:val="p"/>
          </m:rPr>
          <m:t>f</m:t>
        </m:r>
        <m:r>
          <m:rPr>
            <m:sty m:val="p"/>
          </m:rPr>
          <m:t>=</m:t>
        </m:r>
        <m:r>
          <m:rPr>
            <m:sty m:val="p"/>
          </m:rPr>
          <m:t>1050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>
          <w:rFonts w:eastAsia="Georgia" w:cs="Georgia" w:ascii="Georgia" w:hAnsi="Georgia"/>
        </w:rPr>
        <w:t xml:space="preserve">. En déduire la valeur de L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505</m:t>
        </m:r>
        <m:r>
          <m:rPr>
            <m:sty m:val="p"/>
          </m:rPr>
          <m:t>mH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96</m:t>
        </m:r>
        <m:r>
          <m:rPr>
            <m:sty m:val="p"/>
          </m:rPr>
          <m:t>mH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i"/>
          </m:rPr>
          <m:t>μ</m:t>
        </m:r>
        <m:r>
          <m:rPr>
            <m:sty m:val="p"/>
          </m:rPr>
          <m:t>H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mH</m:t>
        </m:r>
      </m:oMath>
      <w:r>
        <w:rPr/>
        <w:br w:type="textWrapping"/>
      </w:r>
      <w:r>
        <w:rPr/>
        <w:t xml:space="preserve">22. On observe sur un oscilloscope ( cf figure ci-dessous) les tensions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une fréquence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supérieure à 1050 Hz . Une demi période du signal du générateur occupe 9 carreaux de l'axe horizontal. Le calibre vertical est le même sur les 2 voies : 1 carreau = 2 V.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95568"/>
            <wp:effectExtent b="0" l="0" r="0" t="0"/>
            <wp:docPr id="3" name="image-3e9d767662fbcf8057c8eab0b37dee6a1698d526.jpg"/>
            <a:graphic>
              <a:graphicData uri="http://schemas.openxmlformats.org/drawingml/2006/picture">
                <pic:pic>
                  <pic:nvPicPr>
                    <pic:cNvPr id="3" name="image-3e9d767662fbcf8057c8eab0b37dee6a1698d526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5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 est le déphasage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par rapport à e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23. Déduire de </w:t>
      </w:r>
      <m:oMath>
        <m:r>
          <m:rPr>
            <m:sty m:val="i"/>
          </m:rPr>
          <m:t>ϕ</m:t>
        </m:r>
      </m:oMath>
      <w:r>
        <w:rPr/>
        <w:t xml:space="preserve"> la valeur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 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i"/>
              </m:rPr>
              <m:t>L</m:t>
            </m:r>
            <m:r>
              <m:rPr>
                <m:sty m:val="i"/>
              </m:rPr>
              <m:t>C</m:t>
            </m:r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sSub>
          <m:sSubPr/>
          <m:e>
            <m:r>
              <m:rPr>
                <m:sty m:val="p"/>
              </m:rPr>
              <m:t>Lf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p"/>
                  </m:rPr>
                  <m:t>Cf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sSub>
          <m:sSubPr/>
          <m:e>
            <m:r>
              <m:rPr>
                <m:sty m:val="p"/>
              </m:rPr>
              <m:t>Lf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p"/>
                  </m:rPr>
                  <m:t>Cf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−</m:t>
        </m:r>
        <m:r>
          <m:rPr>
            <m:sty m:val="p"/>
          </m:rPr>
          <m:t>R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</m:t>
                    </m:r>
                  </m:num>
                  <m:den>
                    <m:r>
                      <m:rPr>
                        <m:sty m:val="p"/>
                      </m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24. Sachant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1080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>
          <w:rFonts w:eastAsia="Georgia" w:cs="Georgia" w:ascii="Georgia" w:hAnsi="Georgia"/>
        </w:rPr>
        <w:t xml:space="preserve">, déterminer la valeur du facteur de qualité </w:t>
      </w:r>
      <m:oMath>
        <m:r>
          <m:rPr>
            <m:sty m:val="i"/>
          </m:rPr>
          <m:t>Q</m:t>
        </m:r>
      </m:oMath>
      <w:r>
        <w:rPr/>
        <w:t xml:space="preserve"> de ce circuit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18</m:t>
        </m:r>
      </m:oMath>
      <w:r>
        <w:rPr/>
        <w:br w:type="textWrapping"/>
      </w:r>
      <w:r>
        <w:rPr/>
        <w:t xml:space="preserve">25. Un microscope se compose de deux lentilles convergentes: l'objectif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distance focale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 et l'oculaire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distance focale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>
          <w:rFonts w:eastAsia="Georgia" w:cs="Georgia" w:ascii="Georgia" w:hAnsi="Georgia"/>
        </w:rPr>
        <w:t xml:space="preserve"> ( cf.figure ci-dessous qui n'est pas à l'échelle).</w:t>
      </w:r>
      <w:r>
        <w:rPr/>
        <w:br w:type="textWrapping"/>
      </w:r>
      <w:r>
        <w:rPr>
          <w:rFonts w:eastAsia="Georgia" w:cs="Georgia" w:ascii="Georgia" w:hAnsi="Georgia"/>
        </w:rPr>
        <w:t xml:space="preserve">Ces deux lentilles sont maintenues à une distance fixe l'une de l'autre </w:t>
      </w:r>
      <m:oMath>
        <m:bar>
          <m:barPr>
            <m:pos m:val="top"/>
          </m:bar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. Lors du réglage du microscope pour effectuer la mise au point sur un objet, on déplace, à l'aide d'une vis micrométrique, l'ensemble des deux lentilles en maintenant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constant. L'observateur place son œil au niveau de </w:t>
      </w:r>
      <m:oMath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. L'étude sera menée dans le cadre de l'approximation de Gauss.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776030"/>
            <wp:effectExtent b="0" l="0" r="0" t="0"/>
            <wp:docPr id="4" name="image-b8166e25a1932a4710c368077b339f50e756d259.jpg"/>
            <a:graphic>
              <a:graphicData uri="http://schemas.openxmlformats.org/drawingml/2006/picture">
                <pic:pic>
                  <pic:nvPicPr>
                    <pic:cNvPr id="4" name="image-b8166e25a1932a4710c368077b339f50e756d259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0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Si l'on note </w:t>
      </w:r>
      <m:oMath>
        <m:sSubSup>
          <m:sSubSup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l'image de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par la lentille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la formule de Newton s'écrit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×</m:t>
        </m:r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Sup>
              <m:sSubSup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bSup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×</m:t>
        </m:r>
        <m:bar>
          <m:barPr>
            <m:pos m:val="top"/>
          </m:barPr>
          <m:e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bSup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×</m:t>
        </m:r>
        <m:bar>
          <m:barPr>
            <m:pos m:val="top"/>
          </m:barPr>
          <m:e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bSup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×</m:t>
        </m:r>
        <m:bar>
          <m:barPr>
            <m:pos m:val="top"/>
          </m:barPr>
          <m:e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×</m:t>
        </m:r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Sup>
              <m:sSubSup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</m:oMath>
      <w:r>
        <w:rPr/>
        <w:br w:type="textWrapping"/>
      </w:r>
      <w:r>
        <w:rPr/>
        <w:t xml:space="preserve">26. Sachant qu'un point objet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placé à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 en avant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vu net par l'observateur lorsqu'il n'accommode pas, déterminer </w:t>
      </w:r>
      <m:oMath>
        <m:r>
          <m:rPr>
            <m:sty m:val="p"/>
          </m:rPr>
          <m:t>Δ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16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27. Lorsqu'il accommode au maximum, l'observateur, sans microscope, voit net les objets placés à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en avant de son œil ( ce point est le punctum proximum). Déterminer, lors de l'accommodation maximale, la position du point objet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vu net par l'observateur à travers le microscope.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Δ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p"/>
          </m:rPr>
          <m:t>+</m:t>
        </m:r>
        <m:r>
          <m:rPr>
            <m:sty m:val="p"/>
          </m:rPr>
          <m:t>d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Δ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Δ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28. Exprimer le grandissement transversal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pour la lentille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d'un objet placé perpendiculairement à l'axe optique au point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bSup>
                  <m:sSubSup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sSubSup>
                  <m:sSubSup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bar>
          </m:num>
          <m:den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bSup>
                  <m:sSubSup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sSubSup>
                  <m:sSubSup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bar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29. On place un objet de taille y perpendiculairement à l'axe optique au point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Quel est l'angle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sous lequel l'observateur voit cet objet à la sortie du microscope?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y</m:t>
            </m:r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m:t>yf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den>
        </m:f>
      </m:oMath>
      <w:r>
        <w:rPr/>
        <w:br w:type="textWrapping"/>
      </w:r>
      <w:r>
        <w:rPr/>
        <w:t xml:space="preserve">30. Sous angle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verrait-il cet objet sans microscope s'il le plaçait à la distance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en avant de son œil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Δ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r>
              <m:rPr>
                <m:sty m:val="p"/>
              </m:rPr>
              <m:t>Δ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31. Pour les distributions de charges ou de courants stationnaires d'extension finie, sélectionner l'affirmation exacte:</w:t>
      </w:r>
      <w:r>
        <w:rPr/>
        <w:br w:type="textWrapping"/>
      </w:r>
      <w:r>
        <w:rPr>
          <w:rFonts w:eastAsia="Georgia" w:cs="Georgia" w:ascii="Georgia" w:hAnsi="Georgia"/>
        </w:rPr>
        <w:t xml:space="preserve">A) les lignes de champ magnétique sont fermées mais celles de champ électrique sont ouvertes</w:t>
      </w:r>
      <w:r>
        <w:rPr/>
        <w:br w:type="textWrapping"/>
      </w:r>
      <w:r>
        <w:rPr>
          <w:rFonts w:eastAsia="Georgia" w:cs="Georgia" w:ascii="Georgia" w:hAnsi="Georgia"/>
        </w:rPr>
        <w:t xml:space="preserve">B) les lignes de champ électrique sont fermées mais celles de champ magnétique sont ouvertes</w:t>
      </w:r>
      <w:r>
        <w:rPr/>
        <w:br w:type="textWrapping"/>
      </w:r>
      <w:r>
        <w:rPr>
          <w:rFonts w:eastAsia="Georgia" w:cs="Georgia" w:ascii="Georgia" w:hAnsi="Georgia"/>
        </w:rPr>
        <w:t xml:space="preserve">C) les lignes de champ magnétique et électrique sont fermées</w:t>
      </w:r>
      <w:r>
        <w:rPr/>
        <w:br w:type="textWrapping"/>
      </w:r>
      <w:r>
        <w:rPr>
          <w:rFonts w:eastAsia="Georgia" w:cs="Georgia" w:ascii="Georgia" w:hAnsi="Georgia"/>
        </w:rPr>
        <w:t xml:space="preserve">D) les lignes de champ magnétique et électrique sont ouvertes</w:t>
      </w:r>
      <w:r>
        <w:rPr/>
        <w:br w:type="textWrapping"/>
      </w:r>
      <w:r>
        <w:rPr>
          <w:rFonts w:eastAsia="Georgia" w:cs="Georgia" w:ascii="Georgia" w:hAnsi="Georgia"/>
        </w:rPr>
        <w:t xml:space="preserve">32. On considère un solénoïde infini, d'axe de révolution Oz , de rayon R , comportant n spires par unité de longueur. Ces spires sont parcourues par un courant stationnaire d'intensité I et sont enroulées perpendiculairement à l'axe Oz ( cf figure cidessous). Les vecteurs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i"/>
              </m:rPr>
              <m:t>θ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sont les vecteurs de la base locale cylindrique associés aux variables d'espaces </w:t>
      </w:r>
      <m:oMath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/>
        <w:t xml:space="preserve"> et z 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992909"/>
            <wp:effectExtent b="0" l="0" r="0" t="0"/>
            <wp:docPr id="5" name="image-089520dd1550b8367fd510154e0a12a04db0c6c2.jpg"/>
            <a:graphic>
              <a:graphicData uri="http://schemas.openxmlformats.org/drawingml/2006/picture">
                <pic:pic>
                  <pic:nvPicPr>
                    <pic:cNvPr id="5" name="image-089520dd1550b8367fd510154e0a12a04db0c6c2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2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champ magnétique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l'intérieur du solénoïde a pour expression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R</m:t>
            </m:r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nI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r</m:t>
                </m:r>
              </m:num>
              <m:den>
                <m:r>
                  <m:rPr>
                    <m:sty m:val="p"/>
                  </m:rPr>
                  <m:t>R</m:t>
                </m:r>
              </m:den>
            </m:f>
          </m:e>
        </m:d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b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33. Le champ magnétique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b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l'extérieur du solénoïde a pour expression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nI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o</m:t>
                </m:r>
              </m:sub>
            </m:sSub>
            <m:sSup>
              <m:sSupPr/>
              <m:e>
                <m:r>
                  <m:rPr>
                    <m:sty m:val="p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r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bi"/>
              </m:rPr>
              <m:t>B</m:t>
            </m:r>
          </m:e>
          <m:sub>
            <m:r>
              <m:rPr>
                <m:sty m:val="b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nI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i"/>
              </m:rPr>
              <m:t>θ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o</m:t>
                </m:r>
              </m:sub>
            </m:sSub>
            <m:r>
              <m:rPr>
                <m:sty m:val="p"/>
              </m:rPr>
              <m:t>nI</m:t>
            </m:r>
          </m:num>
          <m:den>
            <m:sSup>
              <m:sSupPr/>
              <m:e>
                <m:r>
                  <m:rPr>
                    <m:sty m:val="p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b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0</m:t>
        </m:r>
      </m:oMath>
      <w:r>
        <w:rPr/>
        <w:br w:type="textWrapping"/>
      </w:r>
      <w:r>
        <w:rPr/>
        <w:t xml:space="preserve">34.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fils infinis colinéaires à l'axe ( cf figure ci-dessous) et parcourus par un courant de même intensité I sont maintenant uniformément répartis sur le cylindre.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960120"/>
            <wp:effectExtent b="0" l="0" r="0" t="0"/>
            <wp:docPr id="6" name="image-c1d92e9494605104a6ac9e60a6e47f74cf7aede0.jpg"/>
            <a:graphic>
              <a:graphicData uri="http://schemas.openxmlformats.org/drawingml/2006/picture">
                <pic:pic>
                  <pic:nvPicPr>
                    <pic:cNvPr id="6" name="image-c1d92e9494605104a6ac9e60a6e47f74cf7aede0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champ magnétique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à l'intérieur du solénoïde est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i"/>
              </m:rPr>
              <m:t>θ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NI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i"/>
              </m:rPr>
              <m:t>θ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o</m:t>
                </m:r>
              </m:sub>
            </m:sSub>
            <m:r>
              <m:rPr>
                <m:sty m:val="p"/>
              </m:rPr>
              <m:t>NI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R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r</m:t>
                </m:r>
              </m:num>
              <m:den>
                <m:r>
                  <m:rPr>
                    <m:sty m:val="p"/>
                  </m:rPr>
                  <m:t>R</m:t>
                </m:r>
              </m:den>
            </m:f>
          </m:e>
        </m:d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i"/>
              </m:rPr>
              <m:t>θ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35. Le champ magnétique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à l'extérieur du solénoïde est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NI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o</m:t>
                </m:r>
              </m:sub>
            </m:sSub>
            <m:sSup>
              <m:sSupPr/>
              <m:e>
                <m:r>
                  <m:rPr>
                    <m:sty m:val="p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r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NIR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r</m:t>
            </m:r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i"/>
              </m:rPr>
              <m:t>θ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b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36. On enveloppe le solénoïde précédent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 un solénoïde de rayon </w:t>
      </w:r>
      <m:oMath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de même axe de révolution Oz. Le solénoïde extérieur comporte n spires par unité de longueur, enroulées perpendiculairement à l'axe Oz ( cf figure ci-dessous). L'intensité du courant parcourant les différentes spires est notée I.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128781"/>
            <wp:effectExtent b="0" l="0" r="0" t="0"/>
            <wp:docPr id="7" name="image-0839cbe86438c6e55ba8d59c6012d184d16358f5.jpg"/>
            <a:graphic>
              <a:graphicData uri="http://schemas.openxmlformats.org/drawingml/2006/picture">
                <pic:pic>
                  <pic:nvPicPr>
                    <pic:cNvPr id="7" name="image-0839cbe86438c6e55ba8d59c6012d184d16358f5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7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 champ magnétique dans la région de l'espace telle que </w:t>
      </w:r>
      <m:oMath>
        <m:r>
          <m:rPr>
            <m:sty m:val="p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R</m:t>
        </m:r>
      </m:oMath>
      <w:r>
        <w:rPr/>
        <w:t xml:space="preserve">. Calculer la valeur minimale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du champ dans la zone d'étude.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R</m:t>
                </m:r>
              </m:den>
            </m:f>
          </m:e>
        </m:d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I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N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  <m:r>
                              <m:rPr>
                                <m:sty m:val="p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I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N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  <m:r>
                              <m:rPr>
                                <m:sty m:val="p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d97bac82c29037de124216e713b7d7cf8a5436c.jpg" TargetMode="Internal"/><Relationship Id="rId6" Type="http://schemas.openxmlformats.org/officeDocument/2006/relationships/hyperlink" Target="http://f.xn--9ca.me" TargetMode="External"/><Relationship Id="rId7" Type="http://schemas.openxmlformats.org/officeDocument/2006/relationships/image" Target="media/image-edd3a63f54a9c2eca2f69a1e048f343ce40a4d84.jpg" TargetMode="Internal"/><Relationship Id="rId8" Type="http://schemas.openxmlformats.org/officeDocument/2006/relationships/image" Target="media/image-3e9d767662fbcf8057c8eab0b37dee6a1698d526.jpg" TargetMode="Internal"/><Relationship Id="rId9" Type="http://schemas.openxmlformats.org/officeDocument/2006/relationships/image" Target="media/image-b8166e25a1932a4710c368077b339f50e756d259.jpg" TargetMode="Internal"/><Relationship Id="rId10" Type="http://schemas.openxmlformats.org/officeDocument/2006/relationships/image" Target="media/image-089520dd1550b8367fd510154e0a12a04db0c6c2.jpg" TargetMode="Internal"/><Relationship Id="rId11" Type="http://schemas.openxmlformats.org/officeDocument/2006/relationships/image" Target="media/image-c1d92e9494605104a6ac9e60a6e47f74cf7aede0.jpg" TargetMode="Internal"/><Relationship Id="rId12" Type="http://schemas.openxmlformats.org/officeDocument/2006/relationships/image" Target="media/image-0839cbe86438c6e55ba8d59c6012d184d16358f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2025-09-04T21:19:01.294Z</dcterms:created>
  <dcterms:modified xsi:type="dcterms:W3CDTF">2025-09-04T21:19:01.294Z</dcterms:modified>
</cp:coreProperties>
</file>