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 - C - (ULCR)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L'utilisation des calculatrices électroniques est interdite.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définit, pour tout le problème, la fonction Gaussienne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donnée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lineRule="auto"/>
      </w:pPr>
      <w:r>
        <w:rPr/>
        <w:t xml:space="preserve">1.</w:t>
      </w:r>
    </w:p>
    <w:p>
      <w:pPr>
        <w:spacing w:after="220" w:lineRule="auto"/>
      </w:pPr>
      <w:r>
        <w:rPr/>
        <w:t xml:space="preserve">a.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A l'aide du changement de variables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i"/>
          </m:rPr>
          <m:t>y</m:t>
        </m:r>
      </m:oMath>
      <w:r>
        <w:rPr/>
        <w:t xml:space="preserve">, montrer que les fonctions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ont la même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Etant donnée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bornée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résoudre l'équation différentielle ordinaire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Etant donnée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bornée continue sur </w:t>
      </w:r>
      <m:oMath>
        <m:r>
          <m:rPr>
            <m:scr m:val="double-struck"/>
          </m:rPr>
          <m:t>R</m:t>
        </m:r>
      </m:oMath>
      <w:r>
        <w:rPr/>
        <w:t xml:space="preserve">, et posant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montrer que la fonction donnée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⟩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est solution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aussi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⟩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pour tous nombres réels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avec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e</m:t>
            </m:r>
          </m:e>
        </m:rad>
        <m:r>
          <m:rPr>
            <m:sty m:val="p"/>
          </m:rPr>
          <m:t>)</m:t>
        </m:r>
      </m:oMath>
      <w:r>
        <w:rPr/>
        <w:t xml:space="preserve">. Pour ce faire, on distinguera les cas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bornée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5) On suppose dans tout le reste de cette partie en outre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avec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bornée sur </w:t>
      </w:r>
      <m:oMath>
        <m:r>
          <m:rPr>
            <m:scr m:val="double-struck"/>
          </m:rPr>
          <m:t>R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⟩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définissant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comme la meilleure constante possible dans cette inégalité, en proposer une majoration explicite.</w:t>
      </w:r>
      <w:r>
        <w:rPr/>
        <w:br w:type="textWrapping"/>
      </w:r>
      <w:r>
        <w:rPr/>
        <w:t xml:space="preserve">6) Justifier que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définissant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comme la meilleure constante possible dans cette inégalité, en proposer une majoration explicite.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fonctions réelles positives continues par morceaux.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utilisant une intégration par parties que l'on justifiera, montrer que pour toute fonction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bornées sur </w:t>
      </w:r>
      <m:oMath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On suppose pour cette question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pour toute fonction </w:t>
      </w:r>
      <m:oMath>
        <m:r>
          <m:rPr>
            <m:sty m:val="i"/>
          </m:rPr>
          <m:t>h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bornées,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en utilisant les résultats de la partie I, que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 bornée,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suppose pour cette question que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bornée indépendamment de </w:t>
      </w:r>
      <m:oMath>
        <m:r>
          <m:rPr>
            <m:sty m:val="i"/>
          </m:rPr>
          <m:t>n</m:t>
        </m:r>
      </m:oMath>
      <w:r>
        <w:rPr/>
        <w:t xml:space="preserve"> et que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bornée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a. Justifier que si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support compact,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On considère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χ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d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p"/>
                  </m:rPr>
                  <m:t>∗</m:t>
                </m:r>
              </m:sup>
            </m:sSubSup>
          </m:sub>
        </m:sSub>
      </m:oMath>
      <w:r>
        <w:rPr>
          <w:rFonts w:eastAsia="Georgia" w:cs="Georgia" w:ascii="Georgia" w:hAnsi="Georgia"/>
        </w:rPr>
        <w:t xml:space="preserve"> de fonctions bornées indépendamment de </w:t>
      </w:r>
      <m:oMath>
        <m:r>
          <m:rPr>
            <m:sty m:val="i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telles 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vaut 1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 et 0 en dehors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si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telle que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bornées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étant donné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il existe </w:t>
      </w:r>
      <m:oMath>
        <m:r>
          <m:rPr>
            <m:sty m:val="i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 Montrer que si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bornée et de dérivée bornée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étant donné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lim</m:t>
                  </m:r>
                </m:e>
                <m:li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∞</m:t>
                  </m:r>
                </m:lim>
              </m:limLow>
              <m:r>
                <m:rPr>
                  <m:sty m:val="p"/>
                </m:rPr>
                <m:t xml:space="preserve"> 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b>
                <m:sSubPr/>
                <m:e>
                  <m:r>
                    <m:rPr>
                      <m:sty m:val="i"/>
                    </m:rPr>
                    <m:t>χ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Montrer que le même résultat est vrai si </w:t>
      </w:r>
      <m:oMath>
        <m:r>
          <m:rPr>
            <m:sty m:val="i"/>
          </m:rPr>
          <m:t>h</m:t>
        </m:r>
      </m:oMath>
      <w:r>
        <w:rPr/>
        <w:t xml:space="preserve"> est seulement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avec toujours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bornée et de dérivée bornée.</w:t>
      </w:r>
      <w:r>
        <w:rPr/>
        <w:br w:type="textWrapping"/>
      </w:r>
      <w:r>
        <w:rPr>
          <w:rFonts w:eastAsia="Georgia" w:cs="Georgia" w:ascii="Georgia" w:hAnsi="Georgia"/>
        </w:rPr>
        <w:t xml:space="preserve">e. Déduire des questions précédentes que si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telle que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soient bornées sur </w:t>
      </w:r>
      <m:oMath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spacing w:after="220" w:lineRule="auto"/>
      </w:pPr>
      <w:r>
        <w:rPr/>
        <w:t xml:space="preserve">Dans toute cette partie et la suivante, on suppose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suite de variables aléatoires discrètes à valeurs réelles, sur un espace de probabilité. On suppose que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indépendantes, d'espérance nulle, de variance 1, et uniformément bornées en valeur absolue par une constante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notera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probabilité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l'espérance.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cr m:val="double-struck"/>
          </m:rPr>
          <m:t>R</m:t>
        </m:r>
      </m:oMath>
      <w:r>
        <w:rPr/>
        <w:t xml:space="preserve">, et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 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à partir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à la question I. 3).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Vérifier que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⟩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Pour </w:t>
      </w:r>
      <m:oMath>
        <m:r>
          <m:rPr>
            <m:sty m:val="i"/>
          </m:rPr>
          <m:t>i</m:t>
        </m:r>
      </m:oMath>
      <w:r>
        <w:rPr/>
        <w:t xml:space="preserve"> entier dans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utilisant les résultats de la partie I,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den>
              </m:f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φ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i"/>
                </m:rPr>
                <m:t>M</m:t>
              </m:r>
            </m:num>
            <m:den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En utilisant le même type d'arguments,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Déduire de toutes les questions précédentes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i"/>
                    </m:rPr>
                    <m:t>M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</m:e>
          </m:d>
        </m:oMath>
      </m:oMathPara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Montrer que pour tout nombre réel </w:t>
      </w:r>
      <m:oMath>
        <m:r>
          <m:rPr>
            <m:sty m:val="i"/>
          </m:rPr>
          <m:t>a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et montrer que la vitesse de convergence peut se majorer par un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. On pourra par exemple encadrer la fonction indicatrice de l'intervalle ] - </w:t>
      </w:r>
      <m:oMath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] par des fonctions bien choisies.</w:t>
      </w:r>
    </w:p>
    <w:p>
      <w:pPr>
        <w:spacing w:line="271" w:before="330" w:lineRule="auto"/>
      </w:pPr>
      <w:r>
        <w:rPr>
          <w:b/>
          <w:sz w:val="42"/>
        </w:rPr>
        <w:t xml:space="preserve">IV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garde les mêmes hypothèses qu'à la partie précédente, à savoir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) forme une suite de variables aléatoires discrètes à valeurs réelles, indépendantes, d'espérance nulle, de variance 1, et uniformément bornées en valeur absolue par une constante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1)</w:t>
      </w:r>
      <w:r>
        <w:rPr/>
        <w:br w:type="textWrapping"/>
      </w:r>
      <w:r>
        <w:rPr>
          <w:rFonts w:eastAsia="Georgia" w:cs="Georgia" w:ascii="Georgia" w:hAnsi="Georgia"/>
        </w:rPr>
        <w:t xml:space="preserve">a. En utilisant une propriété de convexité, montrer que pour tout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i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que pour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M</m:t>
                  </m:r>
                </m:sup>
              </m:sSup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δ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δ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Comparer ce résultat à celui de la question III. 6) : quelle est la meilleure estimation quand </w:t>
      </w:r>
      <m:oMath>
        <m:r>
          <m:rPr>
            <m:sty m:val="i"/>
          </m:rPr>
          <m:t>n</m:t>
        </m:r>
      </m:oMath>
      <w:r>
        <w:rPr/>
        <w:t xml:space="preserve"> tend vers l'infini (discuter selon les cas)?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définit sur </w:t>
      </w:r>
      <m:oMath>
        <m:r>
          <m:rPr>
            <m:scr m:val="double-struck"/>
          </m:rPr>
          <m:t>R</m:t>
        </m:r>
      </m:oMath>
      <w:r>
        <w:rPr/>
        <w:t xml:space="preserve">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utilisant les hypothèses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l'inégalité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, en déduire que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i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i"/>
                        </m:rPr>
                        <m:t>M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M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l'amélioration suivante du résultat précédent: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δ</m:t>
              </m:r>
            </m:e>
          </m:d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δ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