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ÉCOLE NORMALE SUPÉRIEURE DE LYON</w:t>
      </w:r>
    </w:p>
    <w:p>
      <w:pPr>
        <w:spacing w:line="288" w:after="220" w:lineRule="auto"/>
        <w:jc w:val="center"/>
      </w:pPr>
      <w:r>
        <w:rPr>
          <w:b/>
          <w:sz w:val="56"/>
        </w:rPr>
        <w:t xml:space="preserve">COMPOSITION DE PHYSIQUE-CHIMIE - (L)</w:t>
      </w:r>
    </w:p>
    <w:p>
      <w:pPr>
        <w:spacing w:after="220" w:lineRule="auto"/>
      </w:pPr>
      <w:r>
        <w:rPr>
          <w:rFonts w:eastAsia="Georgia" w:cs="Georgia" w:ascii="Georgia" w:hAnsi="Georgia"/>
        </w:rPr>
        <w:t xml:space="preserve">(Durée : 5 heures)</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L'usage de calculatrice n'est pas autorisé pour cette épreuve. Les résultats des applications numériques seront donnés avec un chiffre significatif.</w:t>
      </w:r>
    </w:p>
    <w:p>
      <w:pPr>
        <w:spacing w:after="220" w:lineRule="auto"/>
      </w:pPr>
      <w:r>
        <w:rPr>
          <w:rFonts w:eastAsia="Georgia" w:cs="Georgia" w:ascii="Georgia" w:hAnsi="Georgia"/>
        </w:rPr>
        <w:t xml:space="preserve">Les candidats devront impérativement rédiger les parties relatives à la chimie et à la physique sur des copies distinctes et sur lesquelles ils porteront, de façon claire, les mentions correspondantes, "Chimie" ou "PhySIQUE".</w:t>
      </w:r>
    </w:p>
    <w:p>
      <w:pPr>
        <w:spacing w:after="220" w:lineRule="auto"/>
      </w:pPr>
      <w:r>
        <w:rPr>
          <w:rFonts w:eastAsia="Georgia" w:cs="Georgia" w:ascii="Georgia" w:hAnsi="Georgia"/>
        </w:rPr>
        <w:t xml:space="preserve">Les candidats indiqueront très clairement les références des questions abordées.</w:t>
      </w:r>
    </w:p>
    <w:p>
      <w:pPr>
        <w:spacing w:after="220" w:lineRule="auto"/>
      </w:pPr>
      <w:r>
        <w:rPr>
          <w:rFonts w:eastAsia="Georgia" w:cs="Georgia" w:ascii="Georgia" w:hAnsi="Georgia"/>
        </w:rPr>
        <w:t xml:space="preserve">Cette épreuve comprend deux parties indépendantes. La première est consacrée à la physique et s'intéresse à la description du comportement effort-déformation d'un milieu élastique puis d'une solution de polymères viscoélastique. La seconde est dédiée à la chimie et étudie l'élaboration de polymères pour des cellules photovoltaïques. Chacune de ces parties participe à part égale au barème global.</w:t>
      </w:r>
    </w:p>
    <w:p>
      <w:pPr>
        <w:spacing w:line="271" w:before="330" w:lineRule="auto"/>
      </w:pPr>
      <w:r>
        <w:rPr>
          <w:b/>
          <w:sz w:val="42"/>
        </w:rPr>
        <w:t xml:space="preserve">Partie Physique</w:t>
      </w:r>
      <w:r>
        <w:rPr>
          <w:b/>
          <w:sz w:val="42"/>
        </w:rPr>
        <w:br w:type="textWrapping"/>
      </w:r>
      <w:r>
        <w:rPr>
          <w:rFonts w:eastAsia="Georgia" w:cs="Georgia" w:ascii="Georgia" w:hAnsi="Georgia"/>
          <w:b/>
          <w:sz w:val="42"/>
        </w:rPr>
        <w:t xml:space="preserve"> Étude de quelques comportements élastiques et viscoélastiques</w:t>
      </w:r>
    </w:p>
    <w:p>
      <w:pPr>
        <w:spacing w:after="220" w:lineRule="auto"/>
      </w:pPr>
      <w:r>
        <w:rPr>
          <w:rFonts w:eastAsia="Georgia" w:cs="Georgia" w:ascii="Georgia" w:hAnsi="Georgia"/>
        </w:rPr>
        <w:t xml:space="preserve">Nous nous proposons d'étudier la réponse en déformation de matériaux soumis à des efforts. Une première partie est consacrée à la modélisation du comportement élastique d'un solide. Une seconde partie s'intéresse à la rhéologie d'une solution de polymères viscoélastique. Parmi les milieux viscoélastiques, les élastomères constituent une classe de polymères largement utilisés. Leurs chaînes macromoléculaires sont rendues solidaires par voie chimique ou physique. L'exemple le plus classique est le caoutchouc, matériau obtenu par réticulation du latex. Tous les milieux étudiés ici sont supposés isotropes.</w:t>
      </w:r>
    </w:p>
    <w:p>
      <w:pPr>
        <w:spacing w:line="271" w:before="330" w:lineRule="auto"/>
      </w:pPr>
      <w:r>
        <w:rPr>
          <w:b/>
          <w:sz w:val="42"/>
        </w:rPr>
        <w:t xml:space="preserve">Formulaire.</w:t>
      </w:r>
    </w:p>
    <w:p>
      <w:pPr>
        <w:numPr>
          <w:ilvl w:val="0"/>
          <w:numId w:val="1"/>
        </w:numPr>
        <w:spacing w:lineRule="auto"/>
      </w:pPr>
      <w:r>
        <w:rPr>
          <w:rFonts w:eastAsia="Georgia" w:cs="Georgia" w:ascii="Georgia" w:hAnsi="Georgia"/>
        </w:rPr>
        <w:t xml:space="preserve">Développement de Taylor à l'ordre 2 :</w:t>
      </w:r>
    </w:p>
    <w:p>
      <w:pPr>
        <w:spacing w:after="220" w:lineRule="auto"/>
      </w:pPr>
      <m:oMathPara>
        <m:oMath>
          <m:r>
            <m:rPr>
              <m:sty m:val="p"/>
            </m:rPr>
            <m:t>(</m:t>
          </m:r>
          <m:r>
            <m:rPr>
              <m:sty m:val="p"/>
            </m:rPr>
            <m:t>1</m:t>
          </m:r>
          <m:r>
            <m:rPr>
              <m:sty m:val="p"/>
            </m:rPr>
            <m:t>+</m:t>
          </m:r>
          <m:r>
            <m:rPr>
              <m:sty m:val="i"/>
            </m:rPr>
            <m:t>x</m:t>
          </m:r>
          <m:sSup>
            <m:sSupPr/>
            <m:e>
              <m:r>
                <m:rPr>
                  <m:sty m:val="p"/>
                </m:rPr>
                <m:t>)</m:t>
              </m:r>
            </m:e>
            <m:sup>
              <m:r>
                <m:rPr>
                  <m:sty m:val="i"/>
                </m:rPr>
                <m:t>α</m:t>
              </m:r>
            </m:sup>
          </m:sSup>
          <m:limUpp>
            <m:limUppPr/>
            <m:e>
              <m:r>
                <m:rPr>
                  <m:sty m:val="p"/>
                </m:rPr>
                <m:t>=</m:t>
              </m:r>
            </m:e>
            <m:lim>
              <m:r>
                <m:rPr>
                  <m:sty m:val="p"/>
                </m:rPr>
                <m:t>(</m:t>
              </m:r>
              <m:r>
                <m:rPr>
                  <m:sty m:val="p"/>
                </m:rPr>
                <m:t>2</m:t>
              </m:r>
              <m:r>
                <m:rPr>
                  <m:sty m:val="p"/>
                </m:rPr>
                <m:t>)</m:t>
              </m:r>
            </m:lim>
          </m:limUpp>
          <m:r>
            <m:rPr>
              <m:sty m:val="p"/>
            </m:rPr>
            <m:t>1</m:t>
          </m:r>
          <m:r>
            <m:rPr>
              <m:sty m:val="p"/>
            </m:rPr>
            <m:t>+</m:t>
          </m:r>
          <m:r>
            <m:rPr>
              <m:sty m:val="i"/>
            </m:rPr>
            <m:t>α</m:t>
          </m:r>
          <m:r>
            <m:rPr>
              <m:sty m:val="i"/>
            </m:rPr>
            <m:t>x</m:t>
          </m:r>
          <m:r>
            <m:rPr>
              <m:sty m:val="p"/>
            </m:rPr>
            <m:t>+</m:t>
          </m:r>
          <m:f>
            <m:fPr>
              <m:ctrlPr>
                <w:rPr>
                  <w:rFonts w:ascii="Cambria Math" w:hAnsi="Cambria Math"/>
                </w:rPr>
              </m:ctrlPr>
            </m:fPr>
            <m:num>
              <m:r>
                <m:rPr>
                  <m:sty m:val="i"/>
                </m:rPr>
                <m:t>α</m:t>
              </m:r>
              <m:r>
                <m:rPr>
                  <m:sty m:val="p"/>
                </m:rPr>
                <m:t>(</m:t>
              </m:r>
              <m:r>
                <m:rPr>
                  <m:sty m:val="i"/>
                </m:rPr>
                <m:t>α</m:t>
              </m:r>
              <m:r>
                <m:rPr>
                  <m:sty m:val="p"/>
                </m:rPr>
                <m:t>−</m:t>
              </m:r>
              <m:r>
                <m:rPr>
                  <m:sty m:val="p"/>
                </m:rPr>
                <m:t>1</m:t>
              </m:r>
              <m:r>
                <m:rPr>
                  <m:sty m:val="p"/>
                </m:rPr>
                <m:t>)</m:t>
              </m:r>
            </m:num>
            <m:den>
              <m:r>
                <m:rPr>
                  <m:sty m:val="p"/>
                </m:rPr>
                <m:t>2</m:t>
              </m:r>
            </m:den>
          </m:f>
          <m:sSup>
            <m:sSupPr/>
            <m:e>
              <m:r>
                <m:rPr>
                  <m:sty m:val="i"/>
                </m:rPr>
                <m:t>x</m:t>
              </m:r>
            </m:e>
            <m:sup>
              <m:r>
                <m:rPr>
                  <m:sty m:val="p"/>
                </m:rPr>
                <m:t>2</m:t>
              </m:r>
            </m:sup>
          </m:sSup>
          <m:r>
            <m:rPr>
              <m:sty m:val="p"/>
            </m:rPr>
            <m:t xml:space="preserve"> </m:t>
          </m:r>
          <m:r>
            <m:rPr>
              <m:sty m:val="p"/>
            </m:rPr>
            <m:t>(</m:t>
          </m:r>
          <m:r>
            <m:rPr>
              <m:nor/>
            </m:rPr>
            <m:t> pour </m:t>
          </m:r>
          <m:r>
            <m:rPr>
              <m:sty m:val="p"/>
            </m:rPr>
            <m:t>,</m:t>
          </m:r>
          <m:r>
            <m:rPr>
              <m:nor/>
            </m:rPr>
            <m:t> a priori </m:t>
          </m:r>
          <m:r>
            <m:rPr>
              <m:sty m:val="p"/>
            </m:rPr>
            <m:t>,</m:t>
          </m:r>
          <m:r>
            <m:rPr>
              <m:sty m:val="p"/>
            </m:rPr>
            <m:t>|</m:t>
          </m:r>
          <m:r>
            <m:rPr>
              <m:sty m:val="i"/>
            </m:rPr>
            <m:t>x</m:t>
          </m:r>
          <m:r>
            <m:rPr>
              <m:sty m:val="p"/>
            </m:rPr>
            <m:t>|</m:t>
          </m:r>
          <m:r>
            <m:rPr>
              <m:sty m:val="p"/>
            </m:rPr>
            <m:t>≪</m:t>
          </m:r>
          <m:r>
            <m:rPr>
              <m:sty m:val="p"/>
            </m:rPr>
            <m:t>1</m:t>
          </m:r>
          <m:r>
            <m:rPr>
              <m:sty m:val="p"/>
            </m:rPr>
            <m:t>)</m:t>
          </m:r>
        </m:oMath>
      </m:oMathPara>
    </w:p>
    <w:p>
      <w:pPr>
        <w:numPr>
          <w:ilvl w:val="0"/>
          <w:numId w:val="2"/>
        </w:numPr>
        <w:spacing w:lineRule="auto"/>
      </w:pPr>
      <w:r>
        <w:rPr/>
        <w:t xml:space="preserve">Moyenne temporelle d'un produit de deux fonctions harmoniques </w:t>
      </w:r>
      <m:oMath>
        <m:r>
          <m:rPr>
            <m:sty m:val="i"/>
          </m:rPr>
          <m:t>f</m:t>
        </m:r>
        <m:r>
          <m:rPr>
            <m:sty m:val="p"/>
          </m:rPr>
          <m:t>(</m:t>
        </m:r>
        <m:r>
          <m:rPr>
            <m:sty m:val="i"/>
          </m:rPr>
          <m:t>t</m:t>
        </m:r>
        <m:r>
          <m:rPr>
            <m:sty m:val="p"/>
          </m:rPr>
          <m:t>)</m:t>
        </m:r>
        <m:r>
          <m:rPr>
            <m:sty m:val="p"/>
          </m:rPr>
          <m:t>=</m:t>
        </m:r>
        <m:sSub>
          <m:sSubPr/>
          <m:e>
            <m:r>
              <m:rPr>
                <m:scr m:val="script"/>
              </m:rPr>
              <m:t>R</m:t>
            </m:r>
          </m:e>
          <m:sub>
            <m:r>
              <m:rPr>
                <m:sty m:val="i"/>
              </m:rPr>
              <m:t>e</m:t>
            </m:r>
          </m:sub>
        </m:sSub>
        <m:r>
          <m:rPr>
            <m:sty m:val="p"/>
          </m:rPr>
          <m:t>{</m:t>
        </m:r>
        <m:bar>
          <m:barPr/>
          <m:e>
            <m:r>
              <m:rPr>
                <m:sty m:val="i"/>
              </m:rPr>
              <m:t>f</m:t>
            </m:r>
          </m:e>
        </m:bar>
        <m:r>
          <m:rPr>
            <m:sty m:val="p"/>
          </m:rPr>
          <m:t>(</m:t>
        </m:r>
        <m:r>
          <m:rPr>
            <m:sty m:val="i"/>
          </m:rPr>
          <m:t>t</m:t>
        </m:r>
        <m:r>
          <m:rPr>
            <m:sty m:val="p"/>
          </m:rPr>
          <m:t>)</m:t>
        </m:r>
        <m:r>
          <m:rPr>
            <m:sty m:val="p"/>
          </m:rPr>
          <m:t>}</m:t>
        </m:r>
      </m:oMath>
      <w:r>
        <w:rPr/>
        <w:t xml:space="preserve"> et </w:t>
      </w:r>
      <m:oMath>
        <m:r>
          <m:rPr>
            <m:sty m:val="i"/>
          </m:rPr>
          <m:t>g</m:t>
        </m:r>
        <m:r>
          <m:rPr>
            <m:sty m:val="p"/>
          </m:rPr>
          <m:t>(</m:t>
        </m:r>
        <m:r>
          <m:rPr>
            <m:sty m:val="i"/>
          </m:rPr>
          <m:t>t</m:t>
        </m:r>
        <m:r>
          <m:rPr>
            <m:sty m:val="p"/>
          </m:rPr>
          <m:t>)</m:t>
        </m:r>
        <m:r>
          <m:rPr>
            <m:sty m:val="p"/>
          </m:rPr>
          <m:t>=</m:t>
        </m:r>
        <m:sSub>
          <m:sSubPr/>
          <m:e>
            <m:r>
              <m:rPr>
                <m:scr m:val="script"/>
              </m:rPr>
              <m:t>R</m:t>
            </m:r>
          </m:e>
          <m:sub>
            <m:r>
              <m:rPr>
                <m:sty m:val="i"/>
              </m:rPr>
              <m:t>e</m:t>
            </m:r>
          </m:sub>
        </m:sSub>
        <m:r>
          <m:rPr>
            <m:sty m:val="p"/>
          </m:rPr>
          <m:t>{</m:t>
        </m:r>
        <m:bar>
          <m:barPr/>
          <m:e>
            <m:r>
              <m:rPr>
                <m:sty m:val="i"/>
              </m:rPr>
              <m:t>g</m:t>
            </m:r>
          </m:e>
        </m:bar>
        <m:r>
          <m:rPr>
            <m:sty m:val="p"/>
          </m:rPr>
          <m:t>(</m:t>
        </m:r>
        <m:r>
          <m:rPr>
            <m:sty m:val="i"/>
          </m:rPr>
          <m:t>t</m:t>
        </m:r>
        <m:r>
          <m:rPr>
            <m:sty m:val="p"/>
          </m:rPr>
          <m:t>)</m:t>
        </m:r>
        <m:r>
          <m:rPr>
            <m:sty m:val="p"/>
          </m:rPr>
          <m:t>}</m:t>
        </m:r>
      </m:oMath>
      <w:r>
        <w:rPr>
          <w:rFonts w:eastAsia="Georgia" w:cs="Georgia" w:ascii="Georgia" w:hAnsi="Georgia"/>
        </w:rPr>
        <w:t xml:space="preserve">, sur une période </w:t>
      </w:r>
      <m:oMath>
        <m:r>
          <m:rPr>
            <m:sty m:val="i"/>
          </m:rPr>
          <m:t>T</m:t>
        </m:r>
      </m:oMath>
      <w:r>
        <w:rPr/>
        <w:t xml:space="preserve"> :</w:t>
      </w:r>
    </w:p>
    <w:p>
      <w:pPr>
        <w:spacing w:after="220" w:lineRule="auto"/>
      </w:pPr>
      <m:oMathPara>
        <m:oMath>
          <m:r>
            <m:rPr>
              <m:sty m:val="p"/>
            </m:rPr>
            <m:t>⟨</m:t>
          </m:r>
          <m:r>
            <m:rPr>
              <m:sty m:val="i"/>
            </m:rPr>
            <m:t>f</m:t>
          </m:r>
          <m:r>
            <m:rPr>
              <m:sty m:val="p"/>
            </m:rPr>
            <m:t>⋅</m:t>
          </m:r>
          <m:r>
            <m:rPr>
              <m:sty m:val="i"/>
            </m:rPr>
            <m:t>g</m:t>
          </m:r>
          <m:sSub>
            <m:sSubPr/>
            <m:e>
              <m:r>
                <m:rPr>
                  <m:sty m:val="p"/>
                </m:rPr>
                <m:t>⟩</m:t>
              </m:r>
            </m:e>
            <m:sub>
              <m:r>
                <m:rPr>
                  <m:sty m:val="i"/>
                </m:rPr>
                <m:t>T</m:t>
              </m:r>
            </m:sub>
          </m:sSub>
          <m:r>
            <m:rPr>
              <m:sty m:val="p"/>
            </m:rPr>
            <m:t>=</m:t>
          </m:r>
          <m:f>
            <m:fPr>
              <m:ctrlPr>
                <w:rPr>
                  <w:rFonts w:ascii="Cambria Math" w:hAnsi="Cambria Math"/>
                </w:rPr>
              </m:ctrlPr>
            </m:fPr>
            <m:num>
              <m:r>
                <m:rPr>
                  <m:sty m:val="p"/>
                </m:rPr>
                <m:t>1</m:t>
              </m:r>
            </m:num>
            <m:den>
              <m:r>
                <m:rPr>
                  <m:sty m:val="p"/>
                </m:rPr>
                <m:t>2</m:t>
              </m:r>
            </m:den>
          </m:f>
          <m:sSub>
            <m:sSubPr/>
            <m:e>
              <m:r>
                <m:rPr>
                  <m:scr m:val="script"/>
                </m:rPr>
                <m:t>R</m:t>
              </m:r>
            </m:e>
            <m:sub>
              <m:r>
                <m:rPr>
                  <m:sty m:val="i"/>
                </m:rPr>
                <m:t>e</m:t>
              </m:r>
            </m:sub>
          </m:sSub>
          <m:d>
            <m:dPr>
              <m:begChr m:val="{"/>
              <m:endChr m:val="}"/>
              <m:ctrlPr>
                <w:rPr>
                  <w:rFonts w:ascii="Cambria Math" w:hAnsi="Cambria Math"/>
                </w:rPr>
              </m:ctrlPr>
            </m:dPr>
            <m:e>
              <m:bar>
                <m:barPr/>
                <m:e>
                  <m:r>
                    <m:rPr>
                      <m:sty m:val="i"/>
                    </m:rPr>
                    <m:t>f</m:t>
                  </m:r>
                </m:e>
              </m:bar>
              <m:r>
                <m:rPr>
                  <m:sty m:val="p"/>
                </m:rPr>
                <m:t>⋅</m:t>
              </m:r>
              <m:sSup>
                <m:sSupPr/>
                <m:e>
                  <m:bar>
                    <m:barPr/>
                    <m:e>
                      <m:r>
                        <m:rPr>
                          <m:sty m:val="i"/>
                        </m:rPr>
                        <m:t>g</m:t>
                      </m:r>
                    </m:e>
                  </m:bar>
                </m:e>
                <m:sup>
                  <m:r>
                    <m:rPr>
                      <m:sty m:val="p"/>
                    </m:rPr>
                    <m:t>⋆</m:t>
                  </m:r>
                </m:sup>
              </m:sSup>
            </m:e>
          </m:d>
        </m:oMath>
      </m:oMathPara>
    </w:p>
    <w:p>
      <w:pPr>
        <w:spacing w:line="271" w:before="330" w:lineRule="auto"/>
      </w:pPr>
      <w:r>
        <w:rPr>
          <w:rFonts w:eastAsia="Georgia" w:cs="Georgia" w:ascii="Georgia" w:hAnsi="Georgia"/>
          <w:b/>
          <w:sz w:val="42"/>
        </w:rPr>
        <w:t xml:space="preserve">I Modélisation de la réponse élastique d'un solide.</w:t>
      </w:r>
    </w:p>
    <w:p>
      <w:pPr>
        <w:spacing w:after="220" w:lineRule="auto"/>
      </w:pPr>
      <w:r>
        <w:rPr>
          <w:rFonts w:eastAsia="Georgia" w:cs="Georgia" w:ascii="Georgia" w:hAnsi="Georgia"/>
        </w:rPr>
        <w:t xml:space="preserve">Dans l'ensemble de cette partie, les efforts sont supposés être appliqués de façon quasi-statique. Nous considérons un domaine élémentaire cubique, de côté </w:t>
      </w:r>
      <m:oMath>
        <m:r>
          <m:rPr>
            <m:sty m:val="i"/>
          </m:rPr>
          <m:t>a</m:t>
        </m:r>
      </m:oMath>
      <w:r>
        <w:rPr>
          <w:rFonts w:eastAsia="Georgia" w:cs="Georgia" w:ascii="Georgia" w:hAnsi="Georgia"/>
        </w:rPr>
        <w:t xml:space="preserve">, à l'équilibre mécanique au sein du matériau à étudier. Sa face supérieure est soumise, de la part de son voisinage matériel immédiat, à une force </w:t>
      </w:r>
      <m:oMath>
        <m:acc>
          <m:accPr>
            <m:chr m:val="⃗"/>
          </m:accPr>
          <m:e>
            <m:r>
              <m:rPr>
                <m:sty m:val="i"/>
              </m:rPr>
              <m:t>F</m:t>
            </m:r>
          </m:e>
        </m:acc>
      </m:oMath>
      <w:r>
        <w:rPr/>
        <w:t xml:space="preserve"> (voir figure (1)-a).</w:t>
      </w:r>
    </w:p>
    <w:p>
      <w:pPr>
        <w:spacing w:after="220" w:lineRule="auto"/>
      </w:pPr>
      <w:r>
        <w:rPr>
          <w:rFonts w:eastAsia="Georgia" w:cs="Georgia" w:ascii="Georgia" w:hAnsi="Georgia"/>
        </w:rPr>
        <w:t xml:space="preserve">D'une manière générale, les contraintes normale </w:t>
      </w:r>
      <m:oMath>
        <m:sSub>
          <m:sSubPr/>
          <m:e>
            <m:acc>
              <m:accPr>
                <m:chr m:val="⃗"/>
              </m:accPr>
              <m:e>
                <m:r>
                  <m:rPr>
                    <m:sty m:val="i"/>
                  </m:rPr>
                  <m:t>σ</m:t>
                </m:r>
              </m:e>
            </m:acc>
          </m:e>
          <m:sub>
            <m:r>
              <m:rPr>
                <m:sty m:val="i"/>
              </m:rPr>
              <m:t>n</m:t>
            </m:r>
          </m:sub>
        </m:sSub>
      </m:oMath>
      <w:r>
        <w:rPr/>
        <w:t xml:space="preserve"> et de cisaillement (ou tangentielle) </w:t>
      </w:r>
      <m:oMath>
        <m:acc>
          <m:accPr>
            <m:chr m:val="⃗"/>
          </m:accPr>
          <m:e>
            <m:r>
              <m:rPr>
                <m:sty m:val="i"/>
              </m:rPr>
              <m:t>τ</m:t>
            </m:r>
          </m:e>
        </m:acc>
      </m:oMath>
      <w:r>
        <w:rPr>
          <w:rFonts w:eastAsia="Georgia" w:cs="Georgia" w:ascii="Georgia" w:hAnsi="Georgia"/>
        </w:rPr>
        <w:t xml:space="preserve"> appliquées à une surface d'aire </w:t>
      </w:r>
      <m:oMath>
        <m:sSup>
          <m:sSupPr/>
          <m:e>
            <m:r>
              <m:rPr>
                <m:sty m:val="i"/>
              </m:rPr>
              <m:t>a</m:t>
            </m:r>
          </m:e>
          <m:sup>
            <m:r>
              <m:rPr>
                <m:sty m:val="p"/>
              </m:rPr>
              <m:t>2</m:t>
            </m:r>
          </m:sup>
        </m:sSup>
      </m:oMath>
      <w:r>
        <w:rPr>
          <w:rFonts w:eastAsia="Georgia" w:cs="Georgia" w:ascii="Georgia" w:hAnsi="Georgia"/>
        </w:rPr>
        <w:t xml:space="preserve">, orientée par le vecteur normal unitaire sortant </w:t>
      </w:r>
      <m:oMath>
        <m:acc>
          <m:accPr>
            <m:chr m:val="⃗"/>
          </m:accPr>
          <m:e>
            <m:r>
              <m:rPr>
                <m:sty m:val="i"/>
              </m:rPr>
              <m:t>n</m:t>
            </m:r>
          </m:e>
        </m:acc>
      </m:oMath>
      <w:r>
        <w:rPr>
          <w:rFonts w:eastAsia="Georgia" w:cs="Georgia" w:ascii="Georgia" w:hAnsi="Georgia"/>
        </w:rPr>
        <w:t xml:space="preserve"> et soumise à une force </w:t>
      </w:r>
      <m:oMath>
        <m:acc>
          <m:accPr>
            <m:chr m:val="⃗"/>
          </m:accPr>
          <m:e>
            <m:r>
              <m:rPr>
                <m:sty m:val="i"/>
              </m:rPr>
              <m:t>F</m:t>
            </m:r>
          </m:e>
        </m:acc>
      </m:oMath>
      <w:r>
        <w:rPr>
          <w:rFonts w:eastAsia="Georgia" w:cs="Georgia" w:ascii="Georgia" w:hAnsi="Georgia"/>
        </w:rPr>
        <w:t xml:space="preserve">, sont définies par les relations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acc>
                          <m:accPr>
                            <m:chr m:val="⃗"/>
                          </m:accPr>
                          <m:e>
                            <m:r>
                              <m:rPr>
                                <m:sty m:val="i"/>
                              </m:rPr>
                              <m:t>σ</m:t>
                            </m:r>
                          </m:e>
                        </m:acc>
                      </m:e>
                      <m:sub>
                        <m:r>
                          <m:rPr>
                            <m:sty m:val="i"/>
                          </m:rPr>
                          <m:t>n</m:t>
                        </m:r>
                      </m:sub>
                    </m:sSub>
                    <m:r>
                      <m:rPr>
                        <m:sty m:val="p"/>
                      </m:rPr>
                      <m:t>=</m:t>
                    </m:r>
                    <m:f>
                      <m:fPr>
                        <m:ctrlPr>
                          <w:rPr>
                            <w:rFonts w:ascii="Cambria Math" w:hAnsi="Cambria Math"/>
                          </w:rPr>
                        </m:ctrlPr>
                      </m:fPr>
                      <m:num>
                        <m:r>
                          <m:rPr>
                            <m:sty m:val="p"/>
                          </m:rPr>
                          <m:t>1</m:t>
                        </m:r>
                      </m:num>
                      <m:den>
                        <m:sSup>
                          <m:sSupPr/>
                          <m:e>
                            <m:r>
                              <m:rPr>
                                <m:sty m:val="i"/>
                              </m:rPr>
                              <m:t>a</m:t>
                            </m:r>
                          </m:e>
                          <m:sup>
                            <m:r>
                              <m:rPr>
                                <m:sty m:val="p"/>
                              </m:rPr>
                              <m:t>2</m:t>
                            </m:r>
                          </m:sup>
                        </m:sSup>
                      </m:den>
                    </m:f>
                    <m:r>
                      <m:rPr>
                        <m:sty m:val="p"/>
                      </m:rPr>
                      <m:t>(</m:t>
                    </m:r>
                    <m:acc>
                      <m:accPr>
                        <m:chr m:val="⃗"/>
                      </m:accPr>
                      <m:e>
                        <m:r>
                          <m:rPr>
                            <m:sty m:val="i"/>
                          </m:rPr>
                          <m:t>F</m:t>
                        </m:r>
                      </m:e>
                    </m:acc>
                    <m:r>
                      <m:rPr>
                        <m:sty m:val="p"/>
                      </m:rPr>
                      <m:t>⋅</m:t>
                    </m:r>
                    <m:acc>
                      <m:accPr>
                        <m:chr m:val="⃗"/>
                      </m:accPr>
                      <m:e>
                        <m:r>
                          <m:rPr>
                            <m:sty m:val="i"/>
                          </m:rPr>
                          <m:t>n</m:t>
                        </m:r>
                      </m:e>
                    </m:acc>
                    <m:r>
                      <m:rPr>
                        <m:sty m:val="p"/>
                      </m:rPr>
                      <m:t>)</m:t>
                    </m:r>
                    <m:acc>
                      <m:accPr>
                        <m:chr m:val="⃗"/>
                      </m:accPr>
                      <m:e>
                        <m:r>
                          <m:rPr>
                            <m:sty m:val="i"/>
                          </m:rPr>
                          <m:t>n</m:t>
                        </m:r>
                      </m:e>
                    </m:acc>
                    <m:r>
                      <m:rPr>
                        <m:sty m:val="p"/>
                      </m:rPr>
                      <m:t>=</m:t>
                    </m:r>
                    <m:sSub>
                      <m:sSubPr/>
                      <m:e>
                        <m:r>
                          <m:rPr>
                            <m:sty m:val="i"/>
                          </m:rPr>
                          <m:t>σ</m:t>
                        </m:r>
                      </m:e>
                      <m:sub>
                        <m:r>
                          <m:rPr>
                            <m:sty m:val="i"/>
                          </m:rPr>
                          <m:t>n</m:t>
                        </m:r>
                      </m:sub>
                    </m:sSub>
                    <m:acc>
                      <m:accPr>
                        <m:chr m:val="⃗"/>
                      </m:accPr>
                      <m:e>
                        <m:r>
                          <m:rPr>
                            <m:sty m:val="i"/>
                          </m:rPr>
                          <m:t>n</m:t>
                        </m:r>
                      </m:e>
                    </m:acc>
                  </m:e>
                </m:mr>
                <m:mr>
                  <m:e>
                    <m:acc>
                      <m:accPr>
                        <m:chr m:val="⃗"/>
                      </m:accPr>
                      <m:e>
                        <m:r>
                          <m:rPr>
                            <m:sty m:val="i"/>
                          </m:rPr>
                          <m:t>τ</m:t>
                        </m:r>
                      </m:e>
                    </m:acc>
                    <m:r>
                      <m:rPr>
                        <m:sty m:val="p"/>
                      </m:rPr>
                      <m:t>=</m:t>
                    </m:r>
                    <m:f>
                      <m:fPr>
                        <m:ctrlPr>
                          <w:rPr>
                            <w:rFonts w:ascii="Cambria Math" w:hAnsi="Cambria Math"/>
                          </w:rPr>
                        </m:ctrlPr>
                      </m:fPr>
                      <m:num>
                        <m:r>
                          <m:rPr>
                            <m:sty m:val="p"/>
                          </m:rPr>
                          <m:t>1</m:t>
                        </m:r>
                      </m:num>
                      <m:den>
                        <m:sSup>
                          <m:sSupPr/>
                          <m:e>
                            <m:r>
                              <m:rPr>
                                <m:sty m:val="i"/>
                              </m:rPr>
                              <m:t>a</m:t>
                            </m:r>
                          </m:e>
                          <m:sup>
                            <m:r>
                              <m:rPr>
                                <m:sty m:val="p"/>
                              </m:rPr>
                              <m:t>2</m:t>
                            </m:r>
                          </m:sup>
                        </m:sSup>
                      </m:den>
                    </m:f>
                    <m:acc>
                      <m:accPr>
                        <m:chr m:val="⃗"/>
                      </m:accPr>
                      <m:e>
                        <m:r>
                          <m:rPr>
                            <m:sty m:val="i"/>
                          </m:rPr>
                          <m:t>F</m:t>
                        </m:r>
                      </m:e>
                    </m:acc>
                    <m:r>
                      <m:rPr>
                        <m:sty m:val="p"/>
                      </m:rPr>
                      <m:t>−</m:t>
                    </m:r>
                    <m:sSub>
                      <m:sSubPr/>
                      <m:e>
                        <m:r>
                          <m:rPr>
                            <m:sty m:val="i"/>
                          </m:rPr>
                          <m:t>σ</m:t>
                        </m:r>
                      </m:e>
                      <m:sub>
                        <m:r>
                          <m:rPr>
                            <m:sty m:val="i"/>
                          </m:rPr>
                          <m:t>n</m:t>
                        </m:r>
                      </m:sub>
                    </m:sSub>
                    <m:acc>
                      <m:accPr>
                        <m:chr m:val="⃗"/>
                      </m:accPr>
                      <m:e>
                        <m:r>
                          <m:rPr>
                            <m:sty m:val="i"/>
                          </m:rPr>
                          <m:t>n</m:t>
                        </m:r>
                      </m:e>
                    </m:acc>
                  </m:e>
                </m:mr>
              </m:m>
            </m:e>
          </m:d>
        </m:oMath>
      </m:oMathPara>
    </w:p>
    <w:p>
      <w:pPr>
        <w:spacing w:after="220" w:lineRule="auto"/>
      </w:pPr>
      <w:r>
        <w:rPr>
          <w:rFonts w:eastAsia="Georgia" w:cs="Georgia" w:ascii="Georgia" w:hAnsi="Georgia"/>
        </w:rPr>
        <w:t xml:space="preserve">Ainsi définies, les contraintes sont supposées uniformes sur l'échelle de surface </w:t>
      </w:r>
      <m:oMath>
        <m:sSup>
          <m:sSupPr/>
          <m:e>
            <m:r>
              <m:rPr>
                <m:sty m:val="i"/>
              </m:rPr>
              <m:t>a</m:t>
            </m:r>
          </m:e>
          <m:sup>
            <m:r>
              <m:rPr>
                <m:sty m:val="p"/>
              </m:rPr>
              <m:t>2</m:t>
            </m:r>
          </m:sup>
        </m:sSup>
      </m:oMath>
      <w:r>
        <w:rPr/>
        <w:t xml:space="preserve">.</w:t>
      </w:r>
    </w:p>
    <w:p>
      <w:pPr>
        <w:spacing w:lineRule="auto"/>
        <w:jc w:val="center"/>
      </w:pPr>
      <w:r>
        <w:rPr/>
        <w:drawing>
          <wp:inline distB="0" distL="0" distR="0" distT="0">
            <wp:extent cx="5486400" cy="2769140"/>
            <wp:effectExtent b="0" l="0" r="0" t="0"/>
            <wp:docPr id="1" name="image-3e15b54a4603ff017691773770e073567553a9bf.jpg"/>
            <a:graphic>
              <a:graphicData uri="http://schemas.openxmlformats.org/drawingml/2006/picture">
                <pic:pic>
                  <pic:nvPicPr>
                    <pic:cNvPr id="1" name="image-3e15b54a4603ff017691773770e073567553a9bf.jpg" descr=""/>
                    <pic:cNvPicPr/>
                  </pic:nvPicPr>
                  <pic:blipFill>
                    <a:blip r:embed="rId5" cstate="print"/>
                    <a:srcRect b="0" l="0" r="0" t="0"/>
                    <a:stretch>
                      <a:fillRect/>
                    </a:stretch>
                  </pic:blipFill>
                  <pic:spPr>
                    <a:xfrm>
                      <a:off x="0" y="0"/>
                      <a:ext cx="5486400" cy="2769140"/>
                    </a:xfrm>
                    <a:prstGeom prst="rect"/>
                  </pic:spPr>
                </pic:pic>
              </a:graphicData>
            </a:graphic>
          </wp:inline>
        </w:drawing>
      </w:r>
    </w:p>
    <w:p>
      <w:pPr>
        <w:spacing w:lineRule="auto"/>
      </w:pPr>
      <w:r>
        <w:rPr>
          <w:rFonts w:eastAsia="Georgia" w:cs="Georgia" w:ascii="Georgia" w:hAnsi="Georgia"/>
        </w:rPr>
        <w:t xml:space="preserve">Figure 1 - Domaine matériel élémentaire cubique dont la face de vecteur normal unitaire </w:t>
      </w:r>
      <m:oMath>
        <m:acc>
          <m:accPr>
            <m:chr m:val="⃗"/>
          </m:accPr>
          <m:e>
            <m:r>
              <m:rPr>
                <m:sty m:val="i"/>
              </m:rPr>
              <m:t>n</m:t>
            </m:r>
          </m:e>
        </m:acc>
      </m:oMath>
      <w:r>
        <w:rPr>
          <w:rFonts w:eastAsia="Georgia" w:cs="Georgia" w:ascii="Georgia" w:hAnsi="Georgia"/>
        </w:rPr>
        <w:t xml:space="preserve"> est soumise à une force </w:t>
      </w:r>
      <m:oMath>
        <m:acc>
          <m:accPr>
            <m:chr m:val="⃗"/>
          </m:accPr>
          <m:e>
            <m:r>
              <m:rPr>
                <m:sty m:val="i"/>
              </m:rPr>
              <m:t>F</m:t>
            </m:r>
          </m:e>
        </m:acc>
      </m:oMath>
      <w:r>
        <w:rPr/>
        <w:t xml:space="preserve">.</w:t>
      </w:r>
    </w:p>
    <w:p>
      <w:pPr>
        <w:spacing w:line="271" w:before="330" w:lineRule="auto"/>
      </w:pPr>
      <w:r>
        <w:rPr>
          <w:rFonts w:eastAsia="Georgia" w:cs="Georgia" w:ascii="Georgia" w:hAnsi="Georgia"/>
          <w:b/>
          <w:sz w:val="42"/>
        </w:rPr>
        <w:t xml:space="preserve">I.A Considérations préliminaires.</w:t>
      </w:r>
    </w:p>
    <w:p>
      <w:pPr>
        <w:spacing w:after="220" w:lineRule="auto"/>
      </w:pPr>
      <w:r>
        <w:rPr>
          <w:rFonts w:eastAsia="Georgia" w:cs="Georgia" w:ascii="Georgia" w:hAnsi="Georgia"/>
        </w:rPr>
        <w:t xml:space="preserve">Le cube représenté figure (1) est soumis, sur sa face supérieure de vecteur normal </w:t>
      </w:r>
      <m:oMath>
        <m:sSub>
          <m:sSubPr/>
          <m:e>
            <m:acc>
              <m:accPr>
                <m:chr m:val="⃗"/>
              </m:accPr>
              <m:e>
                <m:r>
                  <m:rPr>
                    <m:sty m:val="i"/>
                  </m:rPr>
                  <m:t>u</m:t>
                </m:r>
              </m:e>
            </m:acc>
          </m:e>
          <m:sub>
            <m:r>
              <m:rPr>
                <m:sty m:val="i"/>
              </m:rPr>
              <m:t>z</m:t>
            </m:r>
          </m:sub>
        </m:sSub>
      </m:oMath>
      <w:r>
        <w:rPr>
          <w:rFonts w:eastAsia="Georgia" w:cs="Georgia" w:ascii="Georgia" w:hAnsi="Georgia"/>
        </w:rPr>
        <w:t xml:space="preserve">, à la contrainte </w:t>
      </w:r>
      <m:oMath>
        <m:acc>
          <m:accPr>
            <m:chr m:val="⃗"/>
          </m:accPr>
          <m:e>
            <m:r>
              <m:rPr>
                <m:sty m:val="i"/>
              </m:rPr>
              <m:t>σ</m:t>
            </m:r>
          </m:e>
        </m:acc>
        <m:r>
          <m:rPr>
            <m:sty m:val="p"/>
          </m:rPr>
          <m:t>=</m:t>
        </m:r>
        <m:sSub>
          <m:sSubPr/>
          <m:e>
            <m:r>
              <m:rPr>
                <m:sty m:val="i"/>
              </m:rPr>
              <m:t>σ</m:t>
            </m:r>
          </m:e>
          <m:sub>
            <m:r>
              <m:rPr>
                <m:sty m:val="i"/>
              </m:rPr>
              <m:t>z</m:t>
            </m:r>
          </m:sub>
        </m:sSub>
        <m:sSub>
          <m:sSubPr/>
          <m:e>
            <m:acc>
              <m:accPr>
                <m:chr m:val="⃗"/>
              </m:accPr>
              <m:e>
                <m:r>
                  <m:rPr>
                    <m:sty m:val="i"/>
                  </m:rPr>
                  <m:t>u</m:t>
                </m:r>
              </m:e>
            </m:acc>
          </m:e>
          <m:sub>
            <m:r>
              <m:rPr>
                <m:sty m:val="i"/>
              </m:rPr>
              <m:t>z</m:t>
            </m:r>
          </m:sub>
        </m:sSub>
      </m:oMath>
      <w:r>
        <w:rPr>
          <w:rFonts w:eastAsia="Georgia" w:cs="Georgia" w:ascii="Georgia" w:hAnsi="Georgia"/>
        </w:rPr>
        <w:t xml:space="preserve">. Il est également soumis à son poids. Les faces de vecteurs normaux </w:t>
      </w:r>
      <m:oMath>
        <m:r>
          <m:rPr>
            <m:sty m:val="p"/>
          </m:rPr>
          <m:t>±</m:t>
        </m:r>
        <m:sSub>
          <m:sSubPr/>
          <m:e>
            <m:acc>
              <m:accPr>
                <m:chr m:val="⃗"/>
              </m:accPr>
              <m:e>
                <m:r>
                  <m:rPr>
                    <m:sty m:val="i"/>
                  </m:rPr>
                  <m:t>u</m:t>
                </m:r>
              </m:e>
            </m:acc>
          </m:e>
          <m:sub>
            <m:r>
              <m:rPr>
                <m:sty m:val="i"/>
              </m:rPr>
              <m:t>x</m:t>
            </m:r>
          </m:sub>
        </m:sSub>
      </m:oMath>
      <w:r>
        <w:rPr/>
        <w:t xml:space="preserve"> et </w:t>
      </w:r>
      <m:oMath>
        <m:r>
          <m:rPr>
            <m:sty m:val="p"/>
          </m:rPr>
          <m:t>±</m:t>
        </m:r>
        <m:sSub>
          <m:sSubPr/>
          <m:e>
            <m:acc>
              <m:accPr>
                <m:chr m:val="⃗"/>
              </m:accPr>
              <m:e>
                <m:r>
                  <m:rPr>
                    <m:sty m:val="i"/>
                  </m:rPr>
                  <m:t>u</m:t>
                </m:r>
              </m:e>
            </m:acc>
          </m:e>
          <m:sub>
            <m:r>
              <m:rPr>
                <m:sty m:val="i"/>
              </m:rPr>
              <m:t>y</m:t>
            </m:r>
          </m:sub>
        </m:sSub>
      </m:oMath>
      <w:r>
        <w:rPr>
          <w:rFonts w:eastAsia="Georgia" w:cs="Georgia" w:ascii="Georgia" w:hAnsi="Georgia"/>
        </w:rPr>
        <w:t xml:space="preserve"> ne sont soumises à aucune contrainte. Nous notons </w:t>
      </w:r>
      <m:oMath>
        <m:acc>
          <m:accPr>
            <m:chr m:val="⃗"/>
          </m:accPr>
          <m:e>
            <m:r>
              <m:rPr>
                <m:sty m:val="i"/>
              </m:rPr>
              <m:t>g</m:t>
            </m:r>
          </m:e>
        </m:acc>
        <m:r>
          <m:rPr>
            <m:sty m:val="p"/>
          </m:rPr>
          <m:t>=</m:t>
        </m:r>
        <m:r>
          <m:rPr>
            <m:sty m:val="p"/>
          </m:rPr>
          <m:t>−</m:t>
        </m:r>
        <m:r>
          <m:rPr>
            <m:sty m:val="i"/>
          </m:rPr>
          <m:t>g</m:t>
        </m:r>
        <m:sSub>
          <m:sSubPr/>
          <m:e>
            <m:acc>
              <m:accPr>
                <m:chr m:val="⃗"/>
              </m:accPr>
              <m:e>
                <m:r>
                  <m:rPr>
                    <m:sty m:val="i"/>
                  </m:rPr>
                  <m:t>u</m:t>
                </m:r>
              </m:e>
            </m:acc>
          </m:e>
          <m:sub>
            <m:r>
              <m:rPr>
                <m:sty m:val="i"/>
              </m:rPr>
              <m:t>z</m:t>
            </m:r>
          </m:sub>
        </m:sSub>
      </m:oMath>
      <w:r>
        <w:rPr>
          <w:rFonts w:eastAsia="Georgia" w:cs="Georgia" w:ascii="Georgia" w:hAnsi="Georgia"/>
        </w:rPr>
        <w:t xml:space="preserve"> l'accélération de la pesanteur et </w:t>
      </w:r>
      <m:oMath>
        <m:r>
          <m:rPr>
            <m:sty m:val="i"/>
          </m:rPr>
          <m:t>ρ</m:t>
        </m:r>
      </m:oMath>
      <w:r>
        <w:rPr>
          <w:rFonts w:eastAsia="Georgia" w:cs="Georgia" w:ascii="Georgia" w:hAnsi="Georgia"/>
        </w:rPr>
        <w:t xml:space="preserve"> la masse volumique de matériau.</w:t>
      </w:r>
    </w:p>
    <w:p>
      <w:pPr>
        <w:numPr>
          <w:ilvl w:val="0"/>
          <w:numId w:val="3"/>
        </w:numPr>
        <w:spacing w:lineRule="auto"/>
      </w:pPr>
      <w:r>
        <w:rPr/>
        <w:t xml:space="preserve">Exprimer la contrainte </w:t>
      </w:r>
      <m:oMath>
        <m:sSup>
          <m:sSupPr/>
          <m:e>
            <m:acc>
              <m:accPr>
                <m:chr m:val="⃗"/>
              </m:accPr>
              <m:e>
                <m:r>
                  <m:rPr>
                    <m:sty m:val="i"/>
                  </m:rPr>
                  <m:t>σ</m:t>
                </m:r>
              </m:e>
            </m:acc>
          </m:e>
          <m:sup>
            <m:r>
              <m:rPr>
                <m:sty m:val="i"/>
              </m:rPr>
              <m:t>′</m:t>
            </m:r>
          </m:sup>
        </m:sSup>
      </m:oMath>
      <w:r>
        <w:rPr>
          <w:rFonts w:eastAsia="Georgia" w:cs="Georgia" w:ascii="Georgia" w:hAnsi="Georgia"/>
        </w:rPr>
        <w:t xml:space="preserve"> que le cube fait porter sur sa face inférieure.</w:t>
      </w:r>
    </w:p>
    <w:p>
      <w:pPr>
        <w:numPr>
          <w:ilvl w:val="0"/>
          <w:numId w:val="3"/>
        </w:numPr>
        <w:spacing w:lineRule="auto"/>
      </w:pPr>
      <w:r>
        <w:rPr>
          <w:rFonts w:eastAsia="Georgia" w:cs="Georgia" w:ascii="Georgia" w:hAnsi="Georgia"/>
        </w:rPr>
        <w:t xml:space="preserve">Préciser à quelle condition le poids du milieu peut être négligé dans une telle étude. Nous nous placerons toujours dans ce cadre.</w:t>
      </w:r>
    </w:p>
    <w:p>
      <w:pPr>
        <w:numPr>
          <w:ilvl w:val="0"/>
          <w:numId w:val="3"/>
        </w:numPr>
        <w:spacing w:lineRule="auto"/>
      </w:pPr>
      <w:r>
        <w:rPr>
          <w:rFonts w:eastAsia="Georgia" w:cs="Georgia" w:ascii="Georgia" w:hAnsi="Georgia"/>
        </w:rPr>
        <w:t xml:space="preserve">Préciser ce que distingue fondamentalement une force agissant sur un volume d'une action modélisée par une force de surface (dans le cas d'un solide).</w:t>
      </w:r>
    </w:p>
    <w:p>
      <w:pPr>
        <w:spacing w:line="271" w:before="330" w:lineRule="auto"/>
      </w:pPr>
      <w:r>
        <w:rPr>
          <w:rFonts w:eastAsia="Georgia" w:cs="Georgia" w:ascii="Georgia" w:hAnsi="Georgia"/>
          <w:b/>
          <w:sz w:val="42"/>
        </w:rPr>
        <w:t xml:space="preserve">I.B État de contrainte uniaxial.</w:t>
      </w:r>
    </w:p>
    <w:p>
      <w:pPr>
        <w:spacing w:after="220" w:lineRule="auto"/>
      </w:pPr>
      <w:r>
        <w:rPr>
          <w:rFonts w:eastAsia="Georgia" w:cs="Georgia" w:ascii="Georgia" w:hAnsi="Georgia"/>
        </w:rPr>
        <w:t xml:space="preserve">Nous considérons la situation telle que </w:t>
      </w:r>
      <m:oMath>
        <m:acc>
          <m:accPr>
            <m:chr m:val="⃗"/>
          </m:accPr>
          <m:e>
            <m:r>
              <m:rPr>
                <m:sty m:val="i"/>
              </m:rPr>
              <m:t>F</m:t>
            </m:r>
          </m:e>
        </m:acc>
        <m:r>
          <m:rPr>
            <m:sty m:val="p"/>
          </m:rPr>
          <m:t>=</m:t>
        </m:r>
        <m:sSub>
          <m:sSubPr/>
          <m:e>
            <m:r>
              <m:rPr>
                <m:sty m:val="i"/>
              </m:rPr>
              <m:t>F</m:t>
            </m:r>
          </m:e>
          <m:sub>
            <m:r>
              <m:rPr>
                <m:sty m:val="i"/>
              </m:rPr>
              <m:t>n</m:t>
            </m:r>
          </m:sub>
        </m:sSub>
        <m:acc>
          <m:accPr>
            <m:chr m:val="⃗"/>
          </m:accPr>
          <m:e>
            <m:r>
              <m:rPr>
                <m:sty m:val="i"/>
              </m:rPr>
              <m:t>n</m:t>
            </m:r>
          </m:e>
        </m:acc>
      </m:oMath>
      <w:r>
        <w:rPr/>
        <w:t xml:space="preserve"> (voir figure (1)-b pour le cas </w:t>
      </w:r>
      <m:oMath>
        <m:acc>
          <m:accPr>
            <m:chr m:val="⃗"/>
          </m:accPr>
          <m:e>
            <m:r>
              <m:rPr>
                <m:sty m:val="i"/>
              </m:rPr>
              <m:t>n</m:t>
            </m:r>
          </m:e>
        </m:acc>
        <m:r>
          <m:rPr>
            <m:sty m:val="p"/>
          </m:rPr>
          <m:t>=</m:t>
        </m:r>
        <m:sSub>
          <m:sSubPr/>
          <m:e>
            <m:acc>
              <m:accPr>
                <m:chr m:val="⃗"/>
              </m:accPr>
              <m:e>
                <m:r>
                  <m:rPr>
                    <m:sty m:val="i"/>
                  </m:rPr>
                  <m:t>u</m:t>
                </m:r>
              </m:e>
            </m:acc>
          </m:e>
          <m:sub>
            <m:r>
              <m:rPr>
                <m:sty m:val="i"/>
              </m:rPr>
              <m:t>z</m:t>
            </m:r>
          </m:sub>
        </m:sSub>
      </m:oMath>
      <w:r>
        <w:rPr>
          <w:rFonts w:eastAsia="Georgia" w:cs="Georgia" w:ascii="Georgia" w:hAnsi="Georgia"/>
        </w:rPr>
        <w:t xml:space="preserve"> ). Toutes les autres faces, exceptée la face inférieure, ne sont soumises à aucune force. La contrainte </w:t>
      </w:r>
      <m:oMath>
        <m:sSub>
          <m:sSubPr/>
          <m:e>
            <m:r>
              <m:rPr>
                <m:sty m:val="i"/>
              </m:rPr>
              <m:t>σ</m:t>
            </m:r>
          </m:e>
          <m:sub>
            <m:r>
              <m:rPr>
                <m:sty m:val="i"/>
              </m:rPr>
              <m:t>n</m:t>
            </m:r>
          </m:sub>
        </m:sSub>
      </m:oMath>
      <w:r>
        <w:rPr>
          <w:rFonts w:eastAsia="Georgia" w:cs="Georgia" w:ascii="Georgia" w:hAnsi="Georgia"/>
        </w:rPr>
        <w:t xml:space="preserve"> est alors reliée à l'élongation relative </w:t>
      </w:r>
      <m:oMath>
        <m:sSub>
          <m:sSubPr/>
          <m:e>
            <m:r>
              <m:rPr>
                <m:sty m:val="i"/>
              </m:rPr>
              <m:t>ε</m:t>
            </m:r>
          </m:e>
          <m:sub>
            <m:r>
              <m:rPr>
                <m:sty m:val="i"/>
              </m:rPr>
              <m:t>n</m:t>
            </m:r>
          </m:sub>
        </m:sSub>
        <m:r>
          <m:rPr>
            <m:sty m:val="p"/>
          </m:rPr>
          <m:t>=</m:t>
        </m:r>
        <m:r>
          <m:rPr>
            <m:sty m:val="p"/>
          </m:rPr>
          <m:t>Δ</m:t>
        </m:r>
        <m:sSub>
          <m:sSubPr/>
          <m:e>
            <m:r>
              <m:rPr>
                <m:sty m:val="i"/>
              </m:rPr>
              <m:t>L</m:t>
            </m:r>
          </m:e>
          <m:sub>
            <m:r>
              <m:rPr>
                <m:sty m:val="i"/>
              </m:rPr>
              <m:t>n</m:t>
            </m:r>
          </m:sub>
        </m:sSub>
        <m:r>
          <m:rPr>
            <m:sty m:val="p"/>
          </m:rPr>
          <m:t>/</m:t>
        </m:r>
        <m:sSub>
          <m:sSubPr/>
          <m:e>
            <m:r>
              <m:rPr>
                <m:sty m:val="i"/>
              </m:rPr>
              <m:t>L</m:t>
            </m:r>
          </m:e>
          <m:sub>
            <m:r>
              <m:rPr>
                <m:sty m:val="i"/>
              </m:rPr>
              <m:t>n</m:t>
            </m:r>
          </m:sub>
        </m:sSub>
      </m:oMath>
      <w:r>
        <w:rPr>
          <w:rFonts w:eastAsia="Georgia" w:cs="Georgia" w:ascii="Georgia" w:hAnsi="Georgia"/>
        </w:rPr>
        <w:t xml:space="preserve"> (positive pour un étirement) par la relation de comportement définissant le module de Young </w:t>
      </w:r>
      <m:oMath>
        <m:r>
          <m:rPr>
            <m:sty m:val="i"/>
          </m:rPr>
          <m:t>E</m:t>
        </m:r>
      </m:oMath>
      <w:r>
        <w:rPr>
          <w:rFonts w:eastAsia="Georgia" w:cs="Georgia" w:ascii="Georgia" w:hAnsi="Georgia"/>
        </w:rPr>
        <w:t xml:space="preserve">, caractéristique du matériau:</w:t>
      </w:r>
    </w:p>
    <w:p>
      <w:pPr>
        <w:spacing w:after="220" w:lineRule="auto"/>
      </w:pPr>
      <m:oMathPara>
        <m:oMath>
          <m:sSub>
            <m:sSubPr/>
            <m:e>
              <m:r>
                <m:rPr>
                  <m:sty m:val="i"/>
                </m:rPr>
                <m:t>σ</m:t>
              </m:r>
            </m:e>
            <m:sub>
              <m:r>
                <m:rPr>
                  <m:sty m:val="i"/>
                </m:rPr>
                <m:t>n</m:t>
              </m:r>
            </m:sub>
          </m:sSub>
          <m:r>
            <m:rPr>
              <m:sty m:val="p"/>
            </m:rPr>
            <m:t>=</m:t>
          </m:r>
          <m:r>
            <m:rPr>
              <m:sty m:val="i"/>
            </m:rPr>
            <m:t>E</m:t>
          </m:r>
          <m:sSub>
            <m:sSubPr/>
            <m:e>
              <m:r>
                <m:rPr>
                  <m:sty m:val="i"/>
                </m:rPr>
                <m:t>ε</m:t>
              </m:r>
            </m:e>
            <m:sub>
              <m:r>
                <m:rPr>
                  <m:sty m:val="i"/>
                </m:rPr>
                <m:t>n</m:t>
              </m:r>
            </m:sub>
          </m:sSub>
        </m:oMath>
      </m:oMathPara>
    </w:p>
    <w:p>
      <w:pPr>
        <w:numPr>
          <w:ilvl w:val="0"/>
          <w:numId w:val="4"/>
        </w:numPr>
        <w:spacing w:lineRule="auto"/>
      </w:pPr>
      <w:r>
        <w:rPr>
          <w:rFonts w:eastAsia="Georgia" w:cs="Georgia" w:ascii="Georgia" w:hAnsi="Georgia"/>
        </w:rPr>
        <w:t xml:space="preserve">Préciser quelle hypothèse sur l'élongation </w:t>
      </w:r>
      <m:oMath>
        <m:r>
          <m:rPr>
            <m:sty m:val="p"/>
          </m:rPr>
          <m:t>Δ</m:t>
        </m:r>
        <m:sSub>
          <m:sSubPr/>
          <m:e>
            <m:r>
              <m:rPr>
                <m:sty m:val="i"/>
              </m:rPr>
              <m:t>L</m:t>
            </m:r>
          </m:e>
          <m:sub>
            <m:r>
              <m:rPr>
                <m:sty m:val="i"/>
              </m:rPr>
              <m:t>n</m:t>
            </m:r>
          </m:sub>
        </m:sSub>
      </m:oMath>
      <w:r>
        <w:rPr>
          <w:rFonts w:eastAsia="Georgia" w:cs="Georgia" w:ascii="Georgia" w:hAnsi="Georgia"/>
        </w:rPr>
        <w:t xml:space="preserve"> cette relation, liant linéairement la contrainte à la déformation, présuppose. Nous la considérerons toujours vérifiée.</w:t>
      </w:r>
    </w:p>
    <w:p>
      <w:pPr>
        <w:numPr>
          <w:ilvl w:val="0"/>
          <w:numId w:val="4"/>
        </w:numPr>
        <w:spacing w:lineRule="auto"/>
      </w:pPr>
      <w:r>
        <w:rPr/>
        <w:t xml:space="preserve">Donner l'ordre de grandeur de </w:t>
      </w:r>
      <m:oMath>
        <m:r>
          <m:rPr>
            <m:sty m:val="i"/>
          </m:rPr>
          <m:t>E</m:t>
        </m:r>
      </m:oMath>
      <w:r>
        <w:rPr>
          <w:rFonts w:eastAsia="Georgia" w:cs="Georgia" w:ascii="Georgia" w:hAnsi="Georgia"/>
        </w:rPr>
        <w:t xml:space="preserve"> pour un matériau de son choix. On précisera sur quelle base l'estimation s'est construite.</w:t>
      </w:r>
      <w:r>
        <w:rPr/>
        <w:br w:type="textWrapping"/>
      </w:r>
      <w:r>
        <w:rPr>
          <w:rFonts w:eastAsia="Georgia" w:cs="Georgia" w:ascii="Georgia" w:hAnsi="Georgia"/>
        </w:rPr>
        <w:t xml:space="preserve">Une contrainte normale appliquée selon une direction engendre une élongation (algébrique), selon cette même direction, mais également une élongation selon les deux autres directions, de signe opposé. Ainsi, une élongation </w:t>
      </w:r>
      <m:oMath>
        <m:r>
          <m:rPr>
            <m:sty m:val="p"/>
          </m:rPr>
          <m:t>Δ</m:t>
        </m:r>
        <m:sSub>
          <m:sSubPr/>
          <m:e>
            <m:r>
              <m:rPr>
                <m:sty m:val="i"/>
              </m:rPr>
              <m:t>L</m:t>
            </m:r>
          </m:e>
          <m:sub>
            <m:r>
              <m:rPr>
                <m:sty m:val="i"/>
              </m:rPr>
              <m:t>z</m:t>
            </m:r>
          </m:sub>
        </m:sSub>
      </m:oMath>
      <w:r>
        <w:rPr>
          <w:rFonts w:eastAsia="Georgia" w:cs="Georgia" w:ascii="Georgia" w:hAnsi="Georgia"/>
        </w:rPr>
        <w:t xml:space="preserve"> du cube, réponse à la contrainte </w:t>
      </w:r>
      <m:oMath>
        <m:sSub>
          <m:sSubPr/>
          <m:e>
            <m:r>
              <m:rPr>
                <m:sty m:val="i"/>
              </m:rPr>
              <m:t>σ</m:t>
            </m:r>
          </m:e>
          <m:sub>
            <m:r>
              <m:rPr>
                <m:sty m:val="i"/>
              </m:rPr>
              <m:t>z</m:t>
            </m:r>
          </m:sub>
        </m:sSub>
      </m:oMath>
      <w:r>
        <w:rPr>
          <w:rFonts w:eastAsia="Georgia" w:cs="Georgia" w:ascii="Georgia" w:hAnsi="Georgia"/>
        </w:rPr>
        <w:t xml:space="preserve">, s 'accompagne des élongations </w:t>
      </w:r>
      <m:oMath>
        <m:r>
          <m:rPr>
            <m:sty m:val="p"/>
          </m:rPr>
          <m:t>Δ</m:t>
        </m:r>
        <m:sSub>
          <m:sSubPr/>
          <m:e>
            <m:r>
              <m:rPr>
                <m:sty m:val="i"/>
              </m:rPr>
              <m:t>L</m:t>
            </m:r>
          </m:e>
          <m:sub>
            <m:r>
              <m:rPr>
                <m:sty m:val="i"/>
              </m:rPr>
              <m:t>x</m:t>
            </m:r>
          </m:sub>
        </m:sSub>
        <m:r>
          <m:rPr>
            <m:sty m:val="p"/>
          </m:rPr>
          <m:t>=</m:t>
        </m:r>
        <m:r>
          <m:rPr>
            <m:sty m:val="p"/>
          </m:rPr>
          <m:t>−</m:t>
        </m:r>
        <m:sSub>
          <m:sSubPr/>
          <m:e>
            <m:r>
              <m:rPr>
                <m:sty m:val="i"/>
              </m:rPr>
              <m:t>v</m:t>
            </m:r>
          </m:e>
          <m:sub>
            <m:r>
              <m:rPr>
                <m:sty m:val="i"/>
              </m:rPr>
              <m:t>x</m:t>
            </m:r>
          </m:sub>
        </m:sSub>
        <m:r>
          <m:rPr>
            <m:sty m:val="p"/>
          </m:rPr>
          <m:t>Δ</m:t>
        </m:r>
        <m:sSub>
          <m:sSubPr/>
          <m:e>
            <m:r>
              <m:rPr>
                <m:sty m:val="i"/>
              </m:rPr>
              <m:t>L</m:t>
            </m:r>
          </m:e>
          <m:sub>
            <m:r>
              <m:rPr>
                <m:sty m:val="i"/>
              </m:rPr>
              <m:t>z</m:t>
            </m:r>
          </m:sub>
        </m:sSub>
      </m:oMath>
      <w:r>
        <w:rPr/>
        <w:t xml:space="preserve"> et </w:t>
      </w:r>
      <m:oMath>
        <m:r>
          <m:rPr>
            <m:sty m:val="p"/>
          </m:rPr>
          <m:t>Δ</m:t>
        </m:r>
        <m:sSub>
          <m:sSubPr/>
          <m:e>
            <m:r>
              <m:rPr>
                <m:sty m:val="i"/>
              </m:rPr>
              <m:t>L</m:t>
            </m:r>
          </m:e>
          <m:sub>
            <m:r>
              <m:rPr>
                <m:sty m:val="i"/>
              </m:rPr>
              <m:t>y</m:t>
            </m:r>
          </m:sub>
        </m:sSub>
        <m:r>
          <m:rPr>
            <m:sty m:val="p"/>
          </m:rPr>
          <m:t>=</m:t>
        </m:r>
        <m:r>
          <m:rPr>
            <m:sty m:val="p"/>
          </m:rPr>
          <m:t>−</m:t>
        </m:r>
        <m:sSub>
          <m:sSubPr/>
          <m:e>
            <m:r>
              <m:rPr>
                <m:sty m:val="i"/>
              </m:rPr>
              <m:t>v</m:t>
            </m:r>
          </m:e>
          <m:sub>
            <m:r>
              <m:rPr>
                <m:sty m:val="i"/>
              </m:rPr>
              <m:t>y</m:t>
            </m:r>
          </m:sub>
        </m:sSub>
        <m:r>
          <m:rPr>
            <m:sty m:val="p"/>
          </m:rPr>
          <m:t>Δ</m:t>
        </m:r>
        <m:sSub>
          <m:sSubPr/>
          <m:e>
            <m:r>
              <m:rPr>
                <m:sty m:val="i"/>
              </m:rPr>
              <m:t>L</m:t>
            </m:r>
          </m:e>
          <m:sub>
            <m:r>
              <m:rPr>
                <m:sty m:val="i"/>
              </m:rPr>
              <m:t>z</m:t>
            </m:r>
          </m:sub>
        </m:sSub>
      </m:oMath>
      <w:r>
        <w:rPr>
          <w:rFonts w:eastAsia="Georgia" w:cs="Georgia" w:ascii="Georgia" w:hAnsi="Georgia"/>
        </w:rPr>
        <w:t xml:space="preserve"> où </w:t>
      </w:r>
      <m:oMath>
        <m:sSub>
          <m:sSubPr/>
          <m:e>
            <m:r>
              <m:rPr>
                <m:sty m:val="i"/>
              </m:rPr>
              <m:t>v</m:t>
            </m:r>
          </m:e>
          <m:sub>
            <m:r>
              <m:rPr>
                <m:sty m:val="i"/>
              </m:rPr>
              <m:t>x</m:t>
            </m:r>
          </m:sub>
        </m:sSub>
      </m:oMath>
      <w:r>
        <w:rPr/>
        <w:t xml:space="preserve"> et </w:t>
      </w:r>
      <m:oMath>
        <m:sSub>
          <m:sSubPr/>
          <m:e>
            <m:r>
              <m:rPr>
                <m:sty m:val="i"/>
              </m:rPr>
              <m:t>v</m:t>
            </m:r>
          </m:e>
          <m:sub>
            <m:r>
              <m:rPr>
                <m:sty m:val="i"/>
              </m:rPr>
              <m:t>y</m:t>
            </m:r>
          </m:sub>
        </m:sSub>
      </m:oMath>
      <w:r>
        <w:rPr>
          <w:rFonts w:eastAsia="Georgia" w:cs="Georgia" w:ascii="Georgia" w:hAnsi="Georgia"/>
        </w:rPr>
        <w:t xml:space="preserve"> sont des constantes appelées coefficients de Poisson. En pratique, ils sont de l'ordre de quelques dixièmes d'unité.</w:t>
      </w:r>
    </w:p>
    <w:p>
      <w:pPr>
        <w:numPr>
          <w:ilvl w:val="0"/>
          <w:numId w:val="4"/>
        </w:numPr>
        <w:spacing w:lineRule="auto"/>
      </w:pPr>
      <w:r>
        <w:rPr>
          <w:rFonts w:eastAsia="Georgia" w:cs="Georgia" w:ascii="Georgia" w:hAnsi="Georgia"/>
        </w:rPr>
        <w:t xml:space="preserve">En vertu de quelle hypothèse peut-on affirmer que </w:t>
      </w:r>
      <m:oMath>
        <m:sSub>
          <m:sSubPr/>
          <m:e>
            <m:r>
              <m:rPr>
                <m:sty m:val="i"/>
              </m:rPr>
              <m:t>v</m:t>
            </m:r>
          </m:e>
          <m:sub>
            <m:r>
              <m:rPr>
                <m:sty m:val="i"/>
              </m:rPr>
              <m:t>x</m:t>
            </m:r>
          </m:sub>
        </m:sSub>
        <m:r>
          <m:rPr>
            <m:sty m:val="p"/>
          </m:rPr>
          <m:t>=</m:t>
        </m:r>
        <m:sSub>
          <m:sSubPr/>
          <m:e>
            <m:r>
              <m:rPr>
                <m:sty m:val="i"/>
              </m:rPr>
              <m:t>v</m:t>
            </m:r>
          </m:e>
          <m:sub>
            <m:r>
              <m:rPr>
                <m:sty m:val="i"/>
              </m:rPr>
              <m:t>y</m:t>
            </m:r>
          </m:sub>
        </m:sSub>
      </m:oMath>
      <w:r>
        <w:rPr>
          <w:rFonts w:eastAsia="Georgia" w:cs="Georgia" w:ascii="Georgia" w:hAnsi="Georgia"/>
        </w:rPr>
        <w:t xml:space="preserve"> ? Nous noterons désormais </w:t>
      </w:r>
      <m:oMath>
        <m:r>
          <m:rPr>
            <m:sty m:val="i"/>
          </m:rPr>
          <m:t>v</m:t>
        </m:r>
      </m:oMath>
      <w:r>
        <w:rPr/>
        <w:t xml:space="preserve"> ce coefficient.</w:t>
      </w:r>
    </w:p>
    <w:p>
      <w:pPr>
        <w:spacing w:after="220" w:lineRule="auto"/>
      </w:pPr>
      <w:r>
        <w:rPr>
          <w:rFonts w:eastAsia="Georgia" w:cs="Georgia" w:ascii="Georgia" w:hAnsi="Georgia"/>
        </w:rPr>
        <w:t xml:space="preserve">Nous modélisons le domaine cubique par une structure élastique carrée composée de quatre ressorts identiques de raideur </w:t>
      </w:r>
      <m:oMath>
        <m:r>
          <m:rPr>
            <m:sty m:val="i"/>
          </m:rPr>
          <m:t>k</m:t>
        </m:r>
      </m:oMath>
      <w:r>
        <w:rPr>
          <w:rFonts w:eastAsia="Georgia" w:cs="Georgia" w:ascii="Georgia" w:hAnsi="Georgia"/>
        </w:rPr>
        <w:t xml:space="preserve"> et de longueur à vide égale à </w:t>
      </w:r>
      <m:oMath>
        <m:r>
          <m:rPr>
            <m:sty m:val="i"/>
          </m:rPr>
          <m:t>a</m:t>
        </m:r>
      </m:oMath>
      <w:r>
        <w:rPr>
          <w:rFonts w:eastAsia="Georgia" w:cs="Georgia" w:ascii="Georgia" w:hAnsi="Georgia"/>
        </w:rPr>
        <w:t xml:space="preserve">, renforcée par deux ressorts identiques de raideur </w:t>
      </w:r>
      <m:oMath>
        <m:sSup>
          <m:sSupPr/>
          <m:e>
            <m:r>
              <m:rPr>
                <m:sty m:val="i"/>
              </m:rPr>
              <m:t>k</m:t>
            </m:r>
          </m:e>
          <m:sup>
            <m:r>
              <m:rPr>
                <m:sty m:val="i"/>
              </m:rPr>
              <m:t>′</m:t>
            </m:r>
          </m:sup>
        </m:sSup>
      </m:oMath>
      <w:r>
        <w:rPr>
          <w:rFonts w:eastAsia="Georgia" w:cs="Georgia" w:ascii="Georgia" w:hAnsi="Georgia"/>
        </w:rPr>
        <w:t xml:space="preserve"> et de longueur à vide égale à </w:t>
      </w:r>
      <m:oMath>
        <m:r>
          <m:rPr>
            <m:sty m:val="i"/>
          </m:rPr>
          <m:t>a</m:t>
        </m:r>
        <m:rad>
          <m:radPr>
            <m:degHide m:val="1"/>
            <m:ctrlPr>
              <w:rPr>
                <w:rFonts w:ascii="Cambria Math" w:hAnsi="Cambria Math"/>
              </w:rPr>
            </m:ctrlPr>
          </m:radPr>
          <m:deg/>
          <m:e>
            <m:r>
              <m:rPr>
                <m:sty m:val="p"/>
              </m:rPr>
              <m:t>2</m:t>
            </m:r>
          </m:e>
        </m:rad>
      </m:oMath>
      <w:r>
        <w:rPr>
          <w:rFonts w:eastAsia="Georgia" w:cs="Georgia" w:ascii="Georgia" w:hAnsi="Georgia"/>
        </w:rPr>
        <w:t xml:space="preserve">, placés selon les deux diagonales (voir figure (2)). La déformation de cette structure, soumise à la force extérieure </w:t>
      </w:r>
      <m:oMath>
        <m:acc>
          <m:accPr>
            <m:chr m:val="⃗"/>
          </m:accPr>
          <m:e>
            <m:r>
              <m:rPr>
                <m:sty m:val="i"/>
              </m:rPr>
              <m:t>F</m:t>
            </m:r>
          </m:e>
        </m:acc>
        <m:r>
          <m:rPr>
            <m:sty m:val="p"/>
          </m:rPr>
          <m:t>=</m:t>
        </m:r>
        <m:r>
          <m:rPr>
            <m:sty m:val="i"/>
          </m:rPr>
          <m:t>F</m:t>
        </m:r>
        <m:sSub>
          <m:sSubPr/>
          <m:e>
            <m:acc>
              <m:accPr>
                <m:chr m:val="⃗"/>
              </m:accPr>
              <m:e>
                <m:r>
                  <m:rPr>
                    <m:sty m:val="i"/>
                  </m:rPr>
                  <m:t>u</m:t>
                </m:r>
              </m:e>
            </m:acc>
          </m:e>
          <m:sub>
            <m:r>
              <m:rPr>
                <m:sty m:val="i"/>
              </m:rPr>
              <m:t>x</m:t>
            </m:r>
          </m:sub>
        </m:sSub>
      </m:oMath>
      <w:r>
        <w:rPr>
          <w:rFonts w:eastAsia="Georgia" w:cs="Georgia" w:ascii="Georgia" w:hAnsi="Georgia"/>
        </w:rPr>
        <w:t xml:space="preserve">, est caractérisée par le vecteur déplacement </w:t>
      </w:r>
      <m:oMath>
        <m:acc>
          <m:accPr>
            <m:chr m:val="⃗"/>
          </m:accPr>
          <m:e>
            <m:r>
              <m:rPr>
                <m:sty m:val="p"/>
              </m:rPr>
              <m:t>BB</m:t>
            </m:r>
          </m:e>
        </m:acc>
        <m:r>
          <m:rPr>
            <m:sty m:val="p"/>
          </m:rPr>
          <m:t>=</m:t>
        </m:r>
        <m:r>
          <m:rPr>
            <m:sty m:val="i"/>
          </m:rPr>
          <m:t>x</m:t>
        </m:r>
        <m:sSub>
          <m:sSubPr/>
          <m:e>
            <m:acc>
              <m:accPr>
                <m:chr m:val="⃗"/>
              </m:accPr>
              <m:e>
                <m:r>
                  <m:rPr>
                    <m:sty m:val="i"/>
                  </m:rPr>
                  <m:t>u</m:t>
                </m:r>
              </m:e>
            </m:acc>
          </m:e>
          <m:sub>
            <m:r>
              <m:rPr>
                <m:sty m:val="i"/>
              </m:rPr>
              <m:t>x</m:t>
            </m:r>
          </m:sub>
        </m:sSub>
        <m:r>
          <m:rPr>
            <m:sty m:val="p"/>
          </m:rPr>
          <m:t>+</m:t>
        </m:r>
        <m:r>
          <m:rPr>
            <m:sty m:val="i"/>
          </m:rPr>
          <m:t>z</m:t>
        </m:r>
        <m:sSub>
          <m:sSubPr/>
          <m:e>
            <m:acc>
              <m:accPr>
                <m:chr m:val="⃗"/>
              </m:accPr>
              <m:e>
                <m:r>
                  <m:rPr>
                    <m:sty m:val="i"/>
                  </m:rPr>
                  <m:t>u</m:t>
                </m:r>
              </m:e>
            </m:acc>
          </m:e>
          <m:sub>
            <m:r>
              <m:rPr>
                <m:sty m:val="i"/>
              </m:rPr>
              <m:t>z</m:t>
            </m:r>
          </m:sub>
        </m:sSub>
      </m:oMath>
      <w:r>
        <w:rPr>
          <w:rFonts w:eastAsia="Georgia" w:cs="Georgia" w:ascii="Georgia" w:hAnsi="Georgia"/>
        </w:rPr>
        <w:t xml:space="preserve">. En l'absence de force, tous les ressorts sont en situation de repos (à vide). Nous notons </w:t>
      </w:r>
      <m:oMath>
        <m:sSub>
          <m:sSubPr/>
          <m:e>
            <m:r>
              <m:rPr>
                <m:sty m:val="i"/>
              </m:rPr>
              <m:t>E</m:t>
            </m:r>
          </m:e>
          <m:sub>
            <m:r>
              <m:rPr>
                <m:sty m:val="p"/>
              </m:rPr>
              <m:t>p</m:t>
            </m:r>
          </m:sub>
        </m:sSub>
      </m:oMath>
      <w:r>
        <w:rPr>
          <w:rFonts w:eastAsia="Georgia" w:cs="Georgia" w:ascii="Georgia" w:hAnsi="Georgia"/>
        </w:rPr>
        <w:t xml:space="preserve"> l'énergie potentielle élastique de cette structure.</w:t>
      </w:r>
      <w:r>
        <w:rPr/>
        <w:br w:type="textWrapping"/>
      </w:r>
      <w:r>
        <w:rPr/>
        <w:t xml:space="preserve">7. Nous supposons que la force </w:t>
      </w:r>
      <m:oMath>
        <m:r>
          <m:rPr>
            <m:sty m:val="i"/>
          </m:rPr>
          <m:t>F</m:t>
        </m:r>
      </m:oMath>
      <w:r>
        <w:rPr>
          <w:rFonts w:eastAsia="Georgia" w:cs="Georgia" w:ascii="Georgia" w:hAnsi="Georgia"/>
        </w:rPr>
        <w:t xml:space="preserve"> appliquée à la structure est indépendante de </w:t>
      </w:r>
      <m:oMath>
        <m:r>
          <m:rPr>
            <m:sty m:val="i"/>
          </m:rPr>
          <m:t>x</m:t>
        </m:r>
      </m:oMath>
      <w:r>
        <w:rPr>
          <w:rFonts w:eastAsia="Georgia" w:cs="Georgia" w:ascii="Georgia" w:hAnsi="Georgia"/>
        </w:rPr>
        <w:t xml:space="preserve">. Établir alors que la situation d'équilibre de cette structure élastique se caractérise par le minimum du potentiel mécanique :</w:t>
      </w:r>
    </w:p>
    <w:p>
      <w:pPr>
        <w:spacing w:after="220" w:lineRule="auto"/>
      </w:pPr>
      <m:oMathPara>
        <m:oMath>
          <m:r>
            <m:rPr>
              <m:sty m:val="i"/>
            </m:rPr>
            <m:t>ψ</m:t>
          </m:r>
          <m:r>
            <m:rPr>
              <m:sty m:val="p"/>
            </m:rPr>
            <m:t>(</m:t>
          </m:r>
          <m:r>
            <m:rPr>
              <m:sty m:val="i"/>
            </m:rPr>
            <m:t>x</m:t>
          </m:r>
          <m:r>
            <m:rPr>
              <m:sty m:val="p"/>
            </m:rPr>
            <m:t>,</m:t>
          </m:r>
          <m:r>
            <m:rPr>
              <m:sty m:val="i"/>
            </m:rPr>
            <m:t>z</m:t>
          </m:r>
          <m:r>
            <m:rPr>
              <m:sty m:val="p"/>
            </m:rPr>
            <m:t>)</m:t>
          </m:r>
          <m:r>
            <m:rPr>
              <m:sty m:val="p"/>
            </m:rPr>
            <m:t>≡</m:t>
          </m:r>
          <m:sSub>
            <m:sSubPr/>
            <m:e>
              <m:r>
                <m:rPr>
                  <m:sty m:val="i"/>
                </m:rPr>
                <m:t>E</m:t>
              </m:r>
            </m:e>
            <m:sub>
              <m:r>
                <m:rPr>
                  <m:sty m:val="p"/>
                </m:rPr>
                <m:t>p</m:t>
              </m:r>
            </m:sub>
          </m:sSub>
          <m:r>
            <m:rPr>
              <m:sty m:val="p"/>
            </m:rPr>
            <m:t>(</m:t>
          </m:r>
          <m:r>
            <m:rPr>
              <m:sty m:val="i"/>
            </m:rPr>
            <m:t>x</m:t>
          </m:r>
          <m:r>
            <m:rPr>
              <m:sty m:val="p"/>
            </m:rPr>
            <m:t>,</m:t>
          </m:r>
          <m:r>
            <m:rPr>
              <m:sty m:val="i"/>
            </m:rPr>
            <m:t>z</m:t>
          </m:r>
          <m:r>
            <m:rPr>
              <m:sty m:val="p"/>
            </m:rPr>
            <m:t>)</m:t>
          </m:r>
          <m:r>
            <m:rPr>
              <m:sty m:val="p"/>
            </m:rPr>
            <m:t>−</m:t>
          </m:r>
          <m:r>
            <m:rPr>
              <m:sty m:val="i"/>
            </m:rPr>
            <m:t>F</m:t>
          </m:r>
          <m:r>
            <m:rPr>
              <m:sty m:val="i"/>
            </m:rPr>
            <m:t>x</m:t>
          </m:r>
        </m:oMath>
      </m:oMathPara>
    </w:p>
    <w:p>
      <w:pPr>
        <w:numPr>
          <w:ilvl w:val="0"/>
          <w:numId w:val="5"/>
        </w:numPr>
        <w:spacing w:lineRule="auto"/>
      </w:pPr>
      <w:r>
        <w:rPr/>
        <w:t xml:space="preserve">Exprimer </w:t>
      </w:r>
      <m:oMath>
        <m:r>
          <m:rPr>
            <m:sty m:val="p"/>
          </m:rPr>
          <m:t>Ψ</m:t>
        </m:r>
        <m:r>
          <m:rPr>
            <m:sty m:val="p"/>
          </m:rPr>
          <m:t>(</m:t>
        </m:r>
        <m:r>
          <m:rPr>
            <m:sty m:val="i"/>
          </m:rPr>
          <m:t>x</m:t>
        </m:r>
        <m:r>
          <m:rPr>
            <m:sty m:val="p"/>
          </m:rPr>
          <m:t>,</m:t>
        </m:r>
        <m:r>
          <m:rPr>
            <m:sty m:val="i"/>
          </m:rPr>
          <m:t>z</m:t>
        </m:r>
        <m:r>
          <m:rPr>
            <m:sty m:val="p"/>
          </m:rPr>
          <m:t>)</m:t>
        </m:r>
      </m:oMath>
      <w:r>
        <w:rPr>
          <w:rFonts w:eastAsia="Georgia" w:cs="Georgia" w:ascii="Georgia" w:hAnsi="Georgia"/>
        </w:rPr>
        <w:t xml:space="preserve"> en limitant son développement à l'ordre 2 , relativement à </w:t>
      </w:r>
      <m:oMath>
        <m:r>
          <m:rPr>
            <m:sty m:val="i"/>
          </m:rPr>
          <m:t>x</m:t>
        </m:r>
        <m:r>
          <m:rPr>
            <m:sty m:val="p"/>
          </m:rPr>
          <m:t>/</m:t>
        </m:r>
        <m:r>
          <m:rPr>
            <m:sty m:val="i"/>
          </m:rPr>
          <m:t>a</m:t>
        </m:r>
      </m:oMath>
      <w:r>
        <w:rPr/>
        <w:t xml:space="preserve"> et </w:t>
      </w:r>
      <m:oMath>
        <m:r>
          <m:rPr>
            <m:sty m:val="i"/>
          </m:rPr>
          <m:t>z</m:t>
        </m:r>
        <m:r>
          <m:rPr>
            <m:sty m:val="p"/>
          </m:rPr>
          <m:t>/</m:t>
        </m:r>
        <m:r>
          <m:rPr>
            <m:sty m:val="i"/>
          </m:rPr>
          <m:t>a</m:t>
        </m:r>
      </m:oMath>
      <w:r>
        <w:rPr/>
        <w:t xml:space="preserve">.</w:t>
      </w:r>
    </w:p>
    <w:p>
      <w:pPr>
        <w:numPr>
          <w:ilvl w:val="0"/>
          <w:numId w:val="5"/>
        </w:numPr>
        <w:spacing w:lineRule="auto"/>
      </w:pPr>
      <w:r>
        <w:rPr>
          <w:rFonts w:eastAsia="Georgia" w:cs="Georgia" w:ascii="Georgia" w:hAnsi="Georgia"/>
        </w:rPr>
        <w:t xml:space="preserve">En déduire que la situation d'équilibre est définie par le système d'équations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2</m:t>
                    </m:r>
                    <m:r>
                      <m:rPr>
                        <m:sty m:val="i"/>
                      </m:rPr>
                      <m:t>k</m:t>
                    </m:r>
                    <m:r>
                      <m:rPr>
                        <m:sty m:val="i"/>
                      </m:rPr>
                      <m:t>x</m:t>
                    </m:r>
                    <m:r>
                      <m:rPr>
                        <m:sty m:val="p"/>
                      </m:rPr>
                      <m:t>+</m:t>
                    </m:r>
                    <m:sSup>
                      <m:sSupPr/>
                      <m:e>
                        <m:r>
                          <m:rPr>
                            <m:sty m:val="i"/>
                          </m:rPr>
                          <m:t>k</m:t>
                        </m:r>
                      </m:e>
                      <m:sup>
                        <m:r>
                          <m:rPr>
                            <m:sty m:val="i"/>
                          </m:rPr>
                          <m:t>′</m:t>
                        </m:r>
                      </m:sup>
                    </m:sSup>
                    <m:r>
                      <m:rPr>
                        <m:sty m:val="p"/>
                      </m:rPr>
                      <m:t>(</m:t>
                    </m:r>
                    <m:r>
                      <m:rPr>
                        <m:sty m:val="i"/>
                      </m:rPr>
                      <m:t>x</m:t>
                    </m:r>
                    <m:r>
                      <m:rPr>
                        <m:sty m:val="p"/>
                      </m:rPr>
                      <m:t>−</m:t>
                    </m:r>
                    <m:r>
                      <m:rPr>
                        <m:sty m:val="p"/>
                      </m:rPr>
                      <m:t>2</m:t>
                    </m:r>
                    <m:r>
                      <m:rPr>
                        <m:sty m:val="i"/>
                      </m:rPr>
                      <m:t>z</m:t>
                    </m:r>
                    <m:r>
                      <m:rPr>
                        <m:sty m:val="p"/>
                      </m:rPr>
                      <m:t>)</m:t>
                    </m:r>
                    <m:r>
                      <m:rPr>
                        <m:sty m:val="p"/>
                      </m:rPr>
                      <m:t>=</m:t>
                    </m:r>
                    <m:r>
                      <m:rPr>
                        <m:sty m:val="i"/>
                      </m:rPr>
                      <m:t>F</m:t>
                    </m:r>
                  </m:e>
                </m:mr>
                <m:mr>
                  <m:e>
                    <m:r>
                      <m:rPr>
                        <m:sty m:val="p"/>
                      </m:rPr>
                      <m:t>4</m:t>
                    </m:r>
                    <m:r>
                      <m:rPr>
                        <m:sty m:val="i"/>
                      </m:rPr>
                      <m:t>k</m:t>
                    </m:r>
                    <m:r>
                      <m:rPr>
                        <m:sty m:val="i"/>
                      </m:rPr>
                      <m:t>z</m:t>
                    </m:r>
                    <m:r>
                      <m:rPr>
                        <m:sty m:val="p"/>
                      </m:rPr>
                      <m:t>−</m:t>
                    </m:r>
                    <m:sSup>
                      <m:sSupPr/>
                      <m:e>
                        <m:r>
                          <m:rPr>
                            <m:sty m:val="i"/>
                          </m:rPr>
                          <m:t>k</m:t>
                        </m:r>
                      </m:e>
                      <m:sup>
                        <m:r>
                          <m:rPr>
                            <m:sty m:val="i"/>
                          </m:rPr>
                          <m:t>′</m:t>
                        </m:r>
                      </m:sup>
                    </m:sSup>
                    <m:r>
                      <m:rPr>
                        <m:sty m:val="p"/>
                      </m:rPr>
                      <m:t>(</m:t>
                    </m:r>
                    <m:r>
                      <m:rPr>
                        <m:sty m:val="i"/>
                      </m:rPr>
                      <m:t>x</m:t>
                    </m:r>
                    <m:r>
                      <m:rPr>
                        <m:sty m:val="p"/>
                      </m:rPr>
                      <m:t>−</m:t>
                    </m:r>
                    <m:r>
                      <m:rPr>
                        <m:sty m:val="p"/>
                      </m:rPr>
                      <m:t>2</m:t>
                    </m:r>
                    <m:r>
                      <m:rPr>
                        <m:sty m:val="i"/>
                      </m:rPr>
                      <m:t>z</m:t>
                    </m:r>
                    <m:r>
                      <m:rPr>
                        <m:sty m:val="p"/>
                      </m:rPr>
                      <m:t>)</m:t>
                    </m:r>
                    <m:r>
                      <m:rPr>
                        <m:sty m:val="p"/>
                      </m:rPr>
                      <m:t>=</m:t>
                    </m:r>
                    <m:r>
                      <m:rPr>
                        <m:sty m:val="p"/>
                      </m:rPr>
                      <m:t>0</m:t>
                    </m:r>
                  </m:e>
                </m:mr>
              </m:m>
            </m:e>
          </m:d>
        </m:oMath>
      </m:oMathPara>
    </w:p>
    <w:p>
      <w:pPr>
        <w:numPr>
          <w:ilvl w:val="0"/>
          <w:numId w:val="6"/>
        </w:numPr>
        <w:spacing w:lineRule="auto"/>
      </w:pPr>
      <w:r>
        <w:rPr/>
        <w:t xml:space="preserve">Exprimer le coefficient </w:t>
      </w:r>
      <m:oMath>
        <m:r>
          <m:rPr>
            <m:sty m:val="i"/>
          </m:rPr>
          <m:t>v</m:t>
        </m:r>
      </m:oMath>
      <w:r>
        <w:rPr>
          <w:rFonts w:eastAsia="Georgia" w:cs="Georgia" w:ascii="Georgia" w:hAnsi="Georgia"/>
        </w:rPr>
        <w:t xml:space="preserve"> correspondant à ce modèle puis analyser ce résultat. On précisera notamment les valeurs limites de </w:t>
      </w:r>
      <m:oMath>
        <m:r>
          <m:rPr>
            <m:sty m:val="i"/>
          </m:rPr>
          <m:t>v</m:t>
        </m:r>
      </m:oMath>
      <w:r>
        <w:rPr/>
        <w:t xml:space="preserve">. Calculer </w:t>
      </w:r>
      <m:oMath>
        <m:r>
          <m:rPr>
            <m:sty m:val="i"/>
          </m:rPr>
          <m:t>v</m:t>
        </m:r>
      </m:oMath>
      <w:r>
        <w:rPr/>
        <w:t xml:space="preserve"> pour </w:t>
      </w:r>
      <m:oMath>
        <m:r>
          <m:rPr>
            <m:sty m:val="i"/>
          </m:rPr>
          <m:t>k</m:t>
        </m:r>
        <m:r>
          <m:rPr>
            <m:sty m:val="p"/>
          </m:rPr>
          <m:t>=</m:t>
        </m:r>
        <m:sSup>
          <m:sSupPr/>
          <m:e>
            <m:r>
              <m:rPr>
                <m:sty m:val="i"/>
              </m:rPr>
              <m:t>k</m:t>
            </m:r>
          </m:e>
          <m:sup>
            <m:r>
              <m:rPr>
                <m:sty m:val="i"/>
              </m:rPr>
              <m:t>′</m:t>
            </m:r>
          </m:sup>
        </m:sSup>
      </m:oMath>
      <w:r>
        <w:rPr/>
        <w:t xml:space="preserve">.</w:t>
      </w:r>
    </w:p>
    <w:p>
      <w:pPr>
        <w:numPr>
          <w:ilvl w:val="0"/>
          <w:numId w:val="6"/>
        </w:numPr>
        <w:spacing w:lineRule="auto"/>
      </w:pPr>
      <w:r>
        <w:rPr/>
        <w:t xml:space="preserve">Exprimer le module </w:t>
      </w:r>
      <m:oMath>
        <m:r>
          <m:rPr>
            <m:sty m:val="i"/>
          </m:rPr>
          <m:t>E</m:t>
        </m:r>
      </m:oMath>
      <w:r>
        <w:rPr>
          <w:rFonts w:eastAsia="Georgia" w:cs="Georgia" w:ascii="Georgia" w:hAnsi="Georgia"/>
        </w:rPr>
        <w:t xml:space="preserve"> correspondant à ce modèle puis analyser ce résultat. En considérant les propriétés d'extensivité du modèle par rapport à </w:t>
      </w:r>
      <m:oMath>
        <m:r>
          <m:rPr>
            <m:sty m:val="i"/>
          </m:rPr>
          <m:t>a</m:t>
        </m:r>
      </m:oMath>
      <w:r>
        <w:rPr/>
        <w:t xml:space="preserve">, indiquer comment </w:t>
      </w:r>
      <m:oMath>
        <m:r>
          <m:rPr>
            <m:sty m:val="i"/>
          </m:rPr>
          <m:t>k</m:t>
        </m:r>
      </m:oMath>
      <w:r>
        <w:rPr/>
        <w:t xml:space="preserve"> et </w:t>
      </w:r>
      <m:oMath>
        <m:sSup>
          <m:sSupPr/>
          <m:e>
            <m:r>
              <m:rPr>
                <m:sty m:val="i"/>
              </m:rPr>
              <m:t>k</m:t>
            </m:r>
          </m:e>
          <m:sup>
            <m:r>
              <m:rPr>
                <m:sty m:val="i"/>
              </m:rPr>
              <m:t>′</m:t>
            </m:r>
          </m:sup>
        </m:sSup>
      </m:oMath>
      <w:r>
        <w:rPr>
          <w:rFonts w:eastAsia="Georgia" w:cs="Georgia" w:ascii="Georgia" w:hAnsi="Georgia"/>
        </w:rPr>
        <w:t xml:space="preserve"> doivent dépendrent de </w:t>
      </w:r>
      <m:oMath>
        <m:r>
          <m:rPr>
            <m:sty m:val="i"/>
          </m:rPr>
          <m:t>a</m:t>
        </m:r>
      </m:oMath>
      <w:r>
        <w:rPr/>
        <w:t xml:space="preserve">.</w:t>
      </w:r>
    </w:p>
    <w:p>
      <w:pPr>
        <w:spacing w:lineRule="auto"/>
        <w:jc w:val="center"/>
      </w:pPr>
      <w:r>
        <w:rPr/>
        <w:drawing>
          <wp:inline distB="0" distL="0" distR="0" distT="0">
            <wp:extent cx="5486400" cy="2514600"/>
            <wp:effectExtent b="0" l="0" r="0" t="0"/>
            <wp:docPr id="2" name="image-6f12d01190cf3952cdbc96c72079990bef6ccfe7.jpg"/>
            <a:graphic>
              <a:graphicData uri="http://schemas.openxmlformats.org/drawingml/2006/picture">
                <pic:pic>
                  <pic:nvPicPr>
                    <pic:cNvPr id="2" name="image-6f12d01190cf3952cdbc96c72079990bef6ccfe7.jpg" descr=""/>
                    <pic:cNvPicPr/>
                  </pic:nvPicPr>
                  <pic:blipFill>
                    <a:blip r:embed="rId6" cstate="print"/>
                    <a:srcRect b="0" l="0" r="0" t="0"/>
                    <a:stretch>
                      <a:fillRect/>
                    </a:stretch>
                  </pic:blipFill>
                  <pic:spPr>
                    <a:xfrm>
                      <a:off x="0" y="0"/>
                      <a:ext cx="5486400" cy="2514600"/>
                    </a:xfrm>
                    <a:prstGeom prst="rect"/>
                  </pic:spPr>
                </pic:pic>
              </a:graphicData>
            </a:graphic>
          </wp:inline>
        </w:drawing>
      </w:r>
    </w:p>
    <w:p>
      <w:pPr>
        <w:spacing w:lineRule="auto"/>
      </w:pPr>
      <w:r>
        <w:rPr>
          <w:rFonts w:eastAsia="Georgia" w:cs="Georgia" w:ascii="Georgia" w:hAnsi="Georgia"/>
        </w:rPr>
        <w:t xml:space="preserve">Figure 2 - Un modèle de structure élastique du domaine cubique (vu selon </w:t>
      </w:r>
      <m:oMath>
        <m:sSub>
          <m:sSubPr/>
          <m:e>
            <m:acc>
              <m:accPr>
                <m:chr m:val="⃗"/>
              </m:accPr>
              <m:e>
                <m:r>
                  <m:rPr>
                    <m:sty m:val="i"/>
                  </m:rPr>
                  <m:t>u</m:t>
                </m:r>
              </m:e>
            </m:acc>
          </m:e>
          <m:sub>
            <m:r>
              <m:rPr>
                <m:sty m:val="i"/>
              </m:rPr>
              <m:t>y</m:t>
            </m:r>
          </m:sub>
        </m:sSub>
      </m:oMath>
      <w:r>
        <w:rPr/>
        <w:t xml:space="preserve"> ), ici en situation de traction uniaxiale.</w:t>
      </w:r>
    </w:p>
    <w:p>
      <w:pPr>
        <w:spacing w:line="271" w:before="330" w:lineRule="auto"/>
      </w:pPr>
      <w:r>
        <w:rPr>
          <w:rFonts w:eastAsia="Georgia" w:cs="Georgia" w:ascii="Georgia" w:hAnsi="Georgia"/>
          <w:b/>
          <w:sz w:val="42"/>
        </w:rPr>
        <w:t xml:space="preserve">I.C État de contrainte plan.</w:t>
      </w:r>
    </w:p>
    <w:p>
      <w:pPr>
        <w:spacing w:after="220" w:lineRule="auto"/>
      </w:pPr>
      <w:r>
        <w:rPr/>
        <w:t xml:space="preserve">Dans la suite, les faces de vecteurs normaux </w:t>
      </w:r>
      <m:oMath>
        <m:r>
          <m:rPr>
            <m:sty m:val="p"/>
          </m:rPr>
          <m:t>±</m:t>
        </m:r>
        <m:sSub>
          <m:sSubPr/>
          <m:e>
            <m:acc>
              <m:accPr>
                <m:chr m:val="⃗"/>
              </m:accPr>
              <m:e>
                <m:r>
                  <m:rPr>
                    <m:sty m:val="i"/>
                  </m:rPr>
                  <m:t>u</m:t>
                </m:r>
              </m:e>
            </m:acc>
          </m:e>
          <m:sub>
            <m:r>
              <m:rPr>
                <m:sty m:val="i"/>
              </m:rPr>
              <m:t>y</m:t>
            </m:r>
          </m:sub>
        </m:sSub>
      </m:oMath>
      <w:r>
        <w:rPr>
          <w:rFonts w:eastAsia="Georgia" w:cs="Georgia" w:ascii="Georgia" w:hAnsi="Georgia"/>
        </w:rPr>
        <w:t xml:space="preserve"> ne seront soumises à aucune contrainte. Le domaine cubique sera représenté dans le plan ( </w:t>
      </w:r>
      <m:oMath>
        <m:r>
          <m:rPr>
            <m:sty m:val="i"/>
          </m:rPr>
          <m:t>O</m:t>
        </m:r>
        <m:r>
          <m:rPr>
            <m:sty m:val="i"/>
          </m:rPr>
          <m:t>x</m:t>
        </m:r>
        <m:r>
          <m:rPr>
            <m:sty m:val="i"/>
          </m:rPr>
          <m:t>z</m:t>
        </m:r>
      </m:oMath>
      <w:r>
        <w:rPr/>
        <w:t xml:space="preserve"> ), vu selon </w:t>
      </w:r>
      <m:oMath>
        <m:sSub>
          <m:sSubPr/>
          <m:e>
            <m:acc>
              <m:accPr>
                <m:chr m:val="⃗"/>
              </m:accPr>
              <m:e>
                <m:r>
                  <m:rPr>
                    <m:sty m:val="i"/>
                  </m:rPr>
                  <m:t>u</m:t>
                </m:r>
              </m:e>
            </m:acc>
          </m:e>
          <m:sub>
            <m:r>
              <m:rPr>
                <m:sty m:val="i"/>
              </m:rPr>
              <m:t>y</m:t>
            </m:r>
          </m:sub>
        </m:sSub>
      </m:oMath>
      <w:r>
        <w:rPr>
          <w:rFonts w:eastAsia="Georgia" w:cs="Georgia" w:ascii="Georgia" w:hAnsi="Georgia"/>
        </w:rPr>
        <w:t xml:space="preserve">. La figure (3) représente trois situations de charge, (a), (b) et (c), du domaine, sous contrainte normale.</w:t>
      </w:r>
    </w:p>
    <w:p>
      <w:pPr>
        <w:spacing w:lineRule="auto"/>
        <w:jc w:val="center"/>
      </w:pPr>
      <w:r>
        <w:rPr/>
        <w:drawing>
          <wp:inline distB="0" distL="0" distR="0" distT="0">
            <wp:extent cx="5486400" cy="1749287"/>
            <wp:effectExtent b="0" l="0" r="0" t="0"/>
            <wp:docPr id="3" name="image-718a82c58375b48f0127072ae71b9849dbba57a9.jpg"/>
            <a:graphic>
              <a:graphicData uri="http://schemas.openxmlformats.org/drawingml/2006/picture">
                <pic:pic>
                  <pic:nvPicPr>
                    <pic:cNvPr id="3" name="image-718a82c58375b48f0127072ae71b9849dbba57a9.jpg" descr=""/>
                    <pic:cNvPicPr/>
                  </pic:nvPicPr>
                  <pic:blipFill>
                    <a:blip r:embed="rId7" cstate="print"/>
                    <a:srcRect b="0" l="0" r="0" t="0"/>
                    <a:stretch>
                      <a:fillRect/>
                    </a:stretch>
                  </pic:blipFill>
                  <pic:spPr>
                    <a:xfrm>
                      <a:off x="0" y="0"/>
                      <a:ext cx="5486400" cy="1749287"/>
                    </a:xfrm>
                    <a:prstGeom prst="rect"/>
                  </pic:spPr>
                </pic:pic>
              </a:graphicData>
            </a:graphic>
          </wp:inline>
        </w:drawing>
      </w:r>
    </w:p>
    <w:p>
      <w:pPr>
        <w:spacing w:lineRule="auto"/>
      </w:pPr>
      <w:r>
        <w:rPr>
          <w:rFonts w:eastAsia="Georgia" w:cs="Georgia" w:ascii="Georgia" w:hAnsi="Georgia"/>
        </w:rPr>
        <w:t xml:space="preserve">Figure 3 - Domaine cubique soumis à des contraintes normales, dans trois situations.</w:t>
      </w:r>
    </w:p>
    <w:p>
      <w:pPr>
        <w:numPr>
          <w:ilvl w:val="0"/>
          <w:numId w:val="7"/>
        </w:numPr>
        <w:spacing w:lineRule="auto"/>
      </w:pPr>
      <w:r>
        <w:rPr/>
        <w:t xml:space="preserve">Pour la situation (a), exprimer les allongements relatifs </w:t>
      </w:r>
      <m:oMath>
        <m:sSubSup>
          <m:sSubSupPr/>
          <m:e>
            <m:r>
              <m:rPr>
                <m:sty m:val="i"/>
              </m:rPr>
              <m:t>ε</m:t>
            </m:r>
          </m:e>
          <m:sub>
            <m:r>
              <m:rPr>
                <m:sty m:val="i"/>
              </m:rPr>
              <m:t>x</m:t>
            </m:r>
          </m:sub>
          <m:sup>
            <m:r>
              <m:rPr>
                <m:sty m:val="p"/>
              </m:rPr>
              <m:t>(</m:t>
            </m:r>
            <m:r>
              <m:rPr>
                <m:sty m:val="i"/>
              </m:rPr>
              <m:t>a</m:t>
            </m:r>
            <m:r>
              <m:rPr>
                <m:sty m:val="p"/>
              </m:rPr>
              <m:t>)</m:t>
            </m:r>
          </m:sup>
        </m:sSubSup>
        <m:r>
          <m:rPr>
            <m:sty m:val="p"/>
          </m:rPr>
          <m:t>,</m:t>
        </m:r>
        <m:sSubSup>
          <m:sSubSupPr/>
          <m:e>
            <m:r>
              <m:rPr>
                <m:sty m:val="i"/>
              </m:rPr>
              <m:t>ε</m:t>
            </m:r>
          </m:e>
          <m:sub>
            <m:r>
              <m:rPr>
                <m:sty m:val="i"/>
              </m:rPr>
              <m:t>y</m:t>
            </m:r>
          </m:sub>
          <m:sup>
            <m:r>
              <m:rPr>
                <m:sty m:val="p"/>
              </m:rPr>
              <m:t>(</m:t>
            </m:r>
            <m:r>
              <m:rPr>
                <m:sty m:val="i"/>
              </m:rPr>
              <m:t>a</m:t>
            </m:r>
            <m:r>
              <m:rPr>
                <m:sty m:val="p"/>
              </m:rPr>
              <m:t>)</m:t>
            </m:r>
          </m:sup>
        </m:sSubSup>
      </m:oMath>
      <w:r>
        <w:rPr/>
        <w:t xml:space="preserve"> et </w:t>
      </w:r>
      <m:oMath>
        <m:sSubSup>
          <m:sSubSupPr/>
          <m:e>
            <m:r>
              <m:rPr>
                <m:sty m:val="i"/>
              </m:rPr>
              <m:t>ε</m:t>
            </m:r>
          </m:e>
          <m:sub>
            <m:r>
              <m:rPr>
                <m:sty m:val="i"/>
              </m:rPr>
              <m:t>z</m:t>
            </m:r>
          </m:sub>
          <m:sup>
            <m:r>
              <m:rPr>
                <m:sty m:val="p"/>
              </m:rPr>
              <m:t>(</m:t>
            </m:r>
            <m:r>
              <m:rPr>
                <m:sty m:val="i"/>
              </m:rPr>
              <m:t>a</m:t>
            </m:r>
            <m:r>
              <m:rPr>
                <m:sty m:val="p"/>
              </m:rPr>
              <m:t>)</m:t>
            </m:r>
          </m:sup>
        </m:sSubSup>
      </m:oMath>
      <w:r>
        <w:rPr>
          <w:rFonts w:eastAsia="Georgia" w:cs="Georgia" w:ascii="Georgia" w:hAnsi="Georgia"/>
        </w:rPr>
        <w:t xml:space="preserve">, en faisant apparaître </w:t>
      </w:r>
      <m:oMath>
        <m:sSub>
          <m:sSubPr/>
          <m:e>
            <m:r>
              <m:rPr>
                <m:sty m:val="i"/>
              </m:rPr>
              <m:t>σ</m:t>
            </m:r>
          </m:e>
          <m:sub>
            <m:r>
              <m:rPr>
                <m:sty m:val="i"/>
              </m:rPr>
              <m:t>z</m:t>
            </m:r>
          </m:sub>
        </m:sSub>
      </m:oMath>
      <w:r>
        <w:rPr/>
        <w:t xml:space="preserve">.</w:t>
      </w:r>
    </w:p>
    <w:p>
      <w:pPr>
        <w:numPr>
          <w:ilvl w:val="0"/>
          <w:numId w:val="7"/>
        </w:numPr>
        <w:spacing w:lineRule="auto"/>
      </w:pPr>
      <w:r>
        <w:rPr/>
        <w:t xml:space="preserve">Pour la situation (b), exprimer les allongements relatifs </w:t>
      </w:r>
      <m:oMath>
        <m:sSubSup>
          <m:sSubSupPr/>
          <m:e>
            <m:r>
              <m:rPr>
                <m:sty m:val="bi"/>
              </m:rPr>
              <m:t>ε</m:t>
            </m:r>
          </m:e>
          <m:sub>
            <m:r>
              <m:rPr>
                <m:sty m:val="i"/>
              </m:rPr>
              <m:t>x</m:t>
            </m:r>
          </m:sub>
          <m:sup>
            <m:r>
              <m:rPr>
                <m:sty m:val="p"/>
              </m:rPr>
              <m:t>(</m:t>
            </m:r>
            <m:r>
              <m:rPr>
                <m:sty m:val="i"/>
              </m:rPr>
              <m:t>b</m:t>
            </m:r>
            <m:r>
              <m:rPr>
                <m:sty m:val="p"/>
              </m:rPr>
              <m:t>)</m:t>
            </m:r>
          </m:sup>
        </m:sSubSup>
        <m:r>
          <m:rPr>
            <m:sty m:val="p"/>
          </m:rPr>
          <m:t>,</m:t>
        </m:r>
        <m:sSubSup>
          <m:sSubSupPr/>
          <m:e>
            <m:r>
              <m:rPr>
                <m:sty m:val="bi"/>
              </m:rPr>
              <m:t>ε</m:t>
            </m:r>
          </m:e>
          <m:sub>
            <m:r>
              <m:rPr>
                <m:sty m:val="i"/>
              </m:rPr>
              <m:t>y</m:t>
            </m:r>
          </m:sub>
          <m:sup>
            <m:r>
              <m:rPr>
                <m:sty m:val="p"/>
              </m:rPr>
              <m:t>(</m:t>
            </m:r>
            <m:r>
              <m:rPr>
                <m:sty m:val="i"/>
              </m:rPr>
              <m:t>b</m:t>
            </m:r>
            <m:r>
              <m:rPr>
                <m:sty m:val="p"/>
              </m:rPr>
              <m:t>)</m:t>
            </m:r>
          </m:sup>
        </m:sSubSup>
      </m:oMath>
      <w:r>
        <w:rPr/>
        <w:t xml:space="preserve"> et </w:t>
      </w:r>
      <m:oMath>
        <m:sSubSup>
          <m:sSubSupPr/>
          <m:e>
            <m:r>
              <m:rPr>
                <m:sty m:val="bi"/>
              </m:rPr>
              <m:t>ε</m:t>
            </m:r>
          </m:e>
          <m:sub>
            <m:r>
              <m:rPr>
                <m:sty m:val="i"/>
              </m:rPr>
              <m:t>z</m:t>
            </m:r>
          </m:sub>
          <m:sup>
            <m:r>
              <m:rPr>
                <m:sty m:val="p"/>
              </m:rPr>
              <m:t>(</m:t>
            </m:r>
            <m:r>
              <m:rPr>
                <m:sty m:val="i"/>
              </m:rPr>
              <m:t>b</m:t>
            </m:r>
            <m:r>
              <m:rPr>
                <m:sty m:val="p"/>
              </m:rPr>
              <m:t>)</m:t>
            </m:r>
          </m:sup>
        </m:sSubSup>
      </m:oMath>
      <w:r>
        <w:rPr>
          <w:rFonts w:eastAsia="Georgia" w:cs="Georgia" w:ascii="Georgia" w:hAnsi="Georgia"/>
        </w:rPr>
        <w:t xml:space="preserve">, en faisant apparaître </w:t>
      </w:r>
      <m:oMath>
        <m:sSub>
          <m:sSubPr/>
          <m:e>
            <m:r>
              <m:rPr>
                <m:sty m:val="bi"/>
              </m:rPr>
              <m:t>σ</m:t>
            </m:r>
          </m:e>
          <m:sub>
            <m:r>
              <m:rPr>
                <m:sty m:val="i"/>
              </m:rPr>
              <m:t>x</m:t>
            </m:r>
          </m:sub>
        </m:sSub>
      </m:oMath>
      <w:r>
        <w:rPr/>
        <w:t xml:space="preserve">.</w:t>
      </w:r>
    </w:p>
    <w:p>
      <w:pPr>
        <w:numPr>
          <w:ilvl w:val="0"/>
          <w:numId w:val="7"/>
        </w:numPr>
        <w:spacing w:lineRule="auto"/>
      </w:pPr>
      <w:r>
        <w:rPr>
          <w:rFonts w:eastAsia="Georgia" w:cs="Georgia" w:ascii="Georgia" w:hAnsi="Georgia"/>
        </w:rPr>
        <w:t xml:space="preserve">À partir des deux situations précédentes, établir les expressions des allongements relatifs </w:t>
      </w:r>
      <m:oMath>
        <m:sSub>
          <m:sSubPr/>
          <m:e>
            <m:r>
              <m:rPr>
                <m:sty m:val="i"/>
              </m:rPr>
              <m:t>ε</m:t>
            </m:r>
          </m:e>
          <m:sub>
            <m:r>
              <m:rPr>
                <m:sty m:val="i"/>
              </m:rPr>
              <m:t>x</m:t>
            </m:r>
          </m:sub>
        </m:sSub>
        <m:r>
          <m:rPr>
            <m:sty m:val="p"/>
          </m:rPr>
          <m:t>,</m:t>
        </m:r>
        <m:sSub>
          <m:sSubPr/>
          <m:e>
            <m:r>
              <m:rPr>
                <m:sty m:val="i"/>
              </m:rPr>
              <m:t>ε</m:t>
            </m:r>
          </m:e>
          <m:sub>
            <m:r>
              <m:rPr>
                <m:sty m:val="i"/>
              </m:rPr>
              <m:t>y</m:t>
            </m:r>
          </m:sub>
        </m:sSub>
      </m:oMath>
      <w:r>
        <w:rPr/>
        <w:t xml:space="preserve"> et </w:t>
      </w:r>
      <m:oMath>
        <m:sSub>
          <m:sSubPr/>
          <m:e>
            <m:r>
              <m:rPr>
                <m:sty m:val="i"/>
              </m:rPr>
              <m:t>ε</m:t>
            </m:r>
          </m:e>
          <m:sub>
            <m:r>
              <m:rPr>
                <m:sty m:val="i"/>
              </m:rPr>
              <m:t>z</m:t>
            </m:r>
          </m:sub>
        </m:sSub>
      </m:oMath>
      <w:r>
        <w:rPr>
          <w:rFonts w:eastAsia="Georgia" w:cs="Georgia" w:ascii="Georgia" w:hAnsi="Georgia"/>
        </w:rPr>
        <w:t xml:space="preserve"> résultants correspondant à la situation (c), en fonction de </w:t>
      </w:r>
      <m:oMath>
        <m:sSub>
          <m:sSubPr/>
          <m:e>
            <m:r>
              <m:rPr>
                <m:sty m:val="i"/>
              </m:rPr>
              <m:t>σ</m:t>
            </m:r>
          </m:e>
          <m:sub>
            <m:r>
              <m:rPr>
                <m:sty m:val="i"/>
              </m:rPr>
              <m:t>x</m:t>
            </m:r>
          </m:sub>
        </m:sSub>
      </m:oMath>
      <w:r>
        <w:rPr/>
        <w:t xml:space="preserve"> et </w:t>
      </w:r>
      <m:oMath>
        <m:sSub>
          <m:sSubPr/>
          <m:e>
            <m:r>
              <m:rPr>
                <m:sty m:val="i"/>
              </m:rPr>
              <m:t>σ</m:t>
            </m:r>
          </m:e>
          <m:sub>
            <m:r>
              <m:rPr>
                <m:sty m:val="i"/>
              </m:rPr>
              <m:t>z</m:t>
            </m:r>
          </m:sub>
        </m:sSub>
      </m:oMath>
      <w:r>
        <w:rPr>
          <w:rFonts w:eastAsia="Georgia" w:cs="Georgia" w:ascii="Georgia" w:hAnsi="Georgia"/>
        </w:rPr>
        <w:t xml:space="preserve">. Préciser l'hypothèse sur laquelle s'appuie ce calcul.</w:t>
      </w:r>
    </w:p>
    <w:p>
      <w:pPr>
        <w:numPr>
          <w:ilvl w:val="0"/>
          <w:numId w:val="7"/>
        </w:numPr>
        <w:spacing w:lineRule="auto"/>
      </w:pPr>
      <w:r>
        <w:rPr/>
        <w:t xml:space="preserve">Application (qui sera utile pour traiter la question (21)) : Le cube est soumis aux contraintes </w:t>
      </w:r>
      <m:oMath>
        <m:sSub>
          <m:sSubPr/>
          <m:e>
            <m:r>
              <m:rPr>
                <m:sty m:val="i"/>
              </m:rPr>
              <m:t>σ</m:t>
            </m:r>
          </m:e>
          <m:sub>
            <m:r>
              <m:rPr>
                <m:sty m:val="i"/>
              </m:rPr>
              <m:t>z</m:t>
            </m:r>
          </m:sub>
        </m:sSub>
        <m:r>
          <m:rPr>
            <m:sty m:val="p"/>
          </m:rPr>
          <m:t>=</m:t>
        </m:r>
        <m:r>
          <m:rPr>
            <m:sty m:val="i"/>
          </m:rPr>
          <m:t>σ</m:t>
        </m:r>
      </m:oMath>
      <w:r>
        <w:rPr/>
        <w:t xml:space="preserve"> et </w:t>
      </w:r>
      <m:oMath>
        <m:sSub>
          <m:sSubPr/>
          <m:e>
            <m:r>
              <m:rPr>
                <m:sty m:val="i"/>
              </m:rPr>
              <m:t>σ</m:t>
            </m:r>
          </m:e>
          <m:sub>
            <m:r>
              <m:rPr>
                <m:sty m:val="i"/>
              </m:rPr>
              <m:t>x</m:t>
            </m:r>
          </m:sub>
        </m:sSub>
        <m:r>
          <m:rPr>
            <m:sty m:val="p"/>
          </m:rPr>
          <m:t>=</m:t>
        </m:r>
        <m:r>
          <m:rPr>
            <m:sty m:val="p"/>
          </m:rPr>
          <m:t>−</m:t>
        </m:r>
        <m:r>
          <m:rPr>
            <m:sty m:val="i"/>
          </m:rPr>
          <m:t>σ</m:t>
        </m:r>
      </m:oMath>
      <w:r>
        <w:rPr>
          <w:rFonts w:eastAsia="Georgia" w:cs="Georgia" w:ascii="Georgia" w:hAnsi="Georgia"/>
        </w:rPr>
        <w:t xml:space="preserve">. Déterminer </w:t>
      </w:r>
      <m:oMath>
        <m:sSub>
          <m:sSubPr/>
          <m:e>
            <m:r>
              <m:rPr>
                <m:sty m:val="i"/>
              </m:rPr>
              <m:t>ε</m:t>
            </m:r>
          </m:e>
          <m:sub>
            <m:r>
              <m:rPr>
                <m:sty m:val="i"/>
              </m:rPr>
              <m:t>x</m:t>
            </m:r>
          </m:sub>
        </m:sSub>
        <m:r>
          <m:rPr>
            <m:sty m:val="p"/>
          </m:rPr>
          <m:t>,</m:t>
        </m:r>
        <m:sSub>
          <m:sSubPr/>
          <m:e>
            <m:r>
              <m:rPr>
                <m:sty m:val="i"/>
              </m:rPr>
              <m:t>ε</m:t>
            </m:r>
          </m:e>
          <m:sub>
            <m:r>
              <m:rPr>
                <m:sty m:val="i"/>
              </m:rPr>
              <m:t>y</m:t>
            </m:r>
          </m:sub>
        </m:sSub>
      </m:oMath>
      <w:r>
        <w:rPr/>
        <w:t xml:space="preserve"> et </w:t>
      </w:r>
      <m:oMath>
        <m:sSub>
          <m:sSubPr/>
          <m:e>
            <m:r>
              <m:rPr>
                <m:sty m:val="i"/>
              </m:rPr>
              <m:t>ε</m:t>
            </m:r>
          </m:e>
          <m:sub>
            <m:r>
              <m:rPr>
                <m:sty m:val="i"/>
              </m:rPr>
              <m:t>z</m:t>
            </m:r>
          </m:sub>
        </m:sSub>
      </m:oMath>
      <w:r>
        <w:rPr/>
        <w:t xml:space="preserve">. Exprimer la variation relative de volume </w:t>
      </w:r>
      <m:oMath>
        <m:r>
          <m:rPr>
            <m:sty m:val="p"/>
          </m:rPr>
          <m:t>Δ</m:t>
        </m:r>
        <m:r>
          <m:rPr>
            <m:sty m:val="i"/>
          </m:rPr>
          <m:t>V</m:t>
        </m:r>
        <m:r>
          <m:rPr>
            <m:sty m:val="p"/>
          </m:rPr>
          <m:t>/</m:t>
        </m:r>
        <m:r>
          <m:rPr>
            <m:sty m:val="i"/>
          </m:rPr>
          <m:t>V</m:t>
        </m:r>
      </m:oMath>
      <w:r>
        <w:rPr/>
        <w:t xml:space="preserve"> correspondante.</w:t>
      </w:r>
    </w:p>
    <w:p>
      <w:pPr>
        <w:spacing w:line="271" w:before="330" w:lineRule="auto"/>
      </w:pPr>
      <w:r>
        <w:rPr>
          <w:rFonts w:eastAsia="Georgia" w:cs="Georgia" w:ascii="Georgia" w:hAnsi="Georgia"/>
          <w:b/>
          <w:sz w:val="42"/>
        </w:rPr>
        <w:t xml:space="preserve">I.D État de cisaillement simple.</w:t>
      </w:r>
    </w:p>
    <w:p>
      <w:pPr>
        <w:spacing w:after="220" w:lineRule="auto"/>
      </w:pPr>
      <w:r>
        <w:rPr/>
        <w:t xml:space="preserve">Le cube est soumis, sur ses faces de vecteurs normaux </w:t>
      </w:r>
      <m:oMath>
        <m:r>
          <m:rPr>
            <m:sty m:val="p"/>
          </m:rPr>
          <m:t>+</m:t>
        </m:r>
        <m:sSub>
          <m:sSubPr/>
          <m:e>
            <m:acc>
              <m:accPr>
                <m:chr m:val="⃗"/>
              </m:accPr>
              <m:e>
                <m:r>
                  <m:rPr>
                    <m:sty m:val="i"/>
                  </m:rPr>
                  <m:t>u</m:t>
                </m:r>
              </m:e>
            </m:acc>
          </m:e>
          <m:sub>
            <m:r>
              <m:rPr>
                <m:sty m:val="i"/>
              </m:rPr>
              <m:t>z</m:t>
            </m:r>
          </m:sub>
        </m:sSub>
      </m:oMath>
      <w:r>
        <w:rPr/>
        <w:t xml:space="preserve"> et </w:t>
      </w:r>
      <m:oMath>
        <m:r>
          <m:rPr>
            <m:sty m:val="p"/>
          </m:rPr>
          <m:t>−</m:t>
        </m:r>
        <m:sSub>
          <m:sSubPr/>
          <m:e>
            <m:acc>
              <m:accPr>
                <m:chr m:val="⃗"/>
              </m:accPr>
              <m:e>
                <m:r>
                  <m:rPr>
                    <m:sty m:val="i"/>
                  </m:rPr>
                  <m:t>u</m:t>
                </m:r>
              </m:e>
            </m:acc>
          </m:e>
          <m:sub>
            <m:r>
              <m:rPr>
                <m:sty m:val="i"/>
              </m:rPr>
              <m:t>z</m:t>
            </m:r>
          </m:sub>
        </m:sSub>
      </m:oMath>
      <w:r>
        <w:rPr/>
        <w:t xml:space="preserve">, aux contraintes tangentielles respectives </w:t>
      </w:r>
      <m:oMath>
        <m:acc>
          <m:accPr>
            <m:chr m:val="⃗"/>
          </m:accPr>
          <m:e>
            <m:r>
              <m:rPr>
                <m:sty m:val="i"/>
              </m:rPr>
              <m:t>τ</m:t>
            </m:r>
          </m:e>
        </m:acc>
        <m:r>
          <m:rPr>
            <m:sty m:val="p"/>
          </m:rPr>
          <m:t>=</m:t>
        </m:r>
        <m:r>
          <m:rPr>
            <m:sty m:val="i"/>
          </m:rPr>
          <m:t>τ</m:t>
        </m:r>
        <m:sSub>
          <m:sSubPr/>
          <m:e>
            <m:acc>
              <m:accPr>
                <m:chr m:val="⃗"/>
              </m:accPr>
              <m:e>
                <m:r>
                  <m:rPr>
                    <m:sty m:val="i"/>
                  </m:rPr>
                  <m:t>u</m:t>
                </m:r>
              </m:e>
            </m:acc>
          </m:e>
          <m:sub>
            <m:r>
              <m:rPr>
                <m:sty m:val="i"/>
              </m:rPr>
              <m:t>x</m:t>
            </m:r>
          </m:sub>
        </m:sSub>
      </m:oMath>
      <w:r>
        <w:rPr/>
        <w:t xml:space="preserve"> et </w:t>
      </w:r>
      <m:oMath>
        <m:r>
          <m:rPr>
            <m:sty m:val="p"/>
          </m:rPr>
          <m:t>−</m:t>
        </m:r>
        <m:acc>
          <m:accPr>
            <m:chr m:val="⃗"/>
          </m:accPr>
          <m:e>
            <m:r>
              <m:rPr>
                <m:sty m:val="i"/>
              </m:rPr>
              <m:t>τ</m:t>
            </m:r>
          </m:e>
        </m:acc>
        <m:r>
          <m:rPr>
            <m:sty m:val="p"/>
          </m:rPr>
          <m:t>=</m:t>
        </m:r>
        <m:r>
          <m:rPr>
            <m:sty m:val="p"/>
          </m:rPr>
          <m:t>−</m:t>
        </m:r>
        <m:r>
          <m:rPr>
            <m:sty m:val="i"/>
          </m:rPr>
          <m:t>τ</m:t>
        </m:r>
        <m:sSub>
          <m:sSubPr/>
          <m:e>
            <m:acc>
              <m:accPr>
                <m:chr m:val="⃗"/>
              </m:accPr>
              <m:e>
                <m:r>
                  <m:rPr>
                    <m:sty m:val="i"/>
                  </m:rPr>
                  <m:t>u</m:t>
                </m:r>
              </m:e>
            </m:acc>
          </m:e>
          <m:sub>
            <m:r>
              <m:rPr>
                <m:sty m:val="i"/>
              </m:rPr>
              <m:t>x</m:t>
            </m:r>
          </m:sub>
        </m:sSub>
      </m:oMath>
      <w:r>
        <w:rPr>
          <w:rFonts w:eastAsia="Georgia" w:cs="Georgia" w:ascii="Georgia" w:hAnsi="Georgia"/>
        </w:rPr>
        <w:t xml:space="preserve">, comme l'illustre la figure (4). En réponse à cette sollicitation, sa face supérieure se déplace d'une distance </w:t>
      </w:r>
      <m:oMath>
        <m:r>
          <m:rPr>
            <m:sty m:val="p"/>
          </m:rPr>
          <m:t>Δ</m:t>
        </m:r>
        <m:r>
          <m:rPr>
            <m:sty m:val="i"/>
          </m:rPr>
          <m:t>X</m:t>
        </m:r>
      </m:oMath>
      <w:r>
        <w:rPr>
          <w:rFonts w:eastAsia="Georgia" w:cs="Georgia" w:ascii="Georgia" w:hAnsi="Georgia"/>
        </w:rPr>
        <w:t xml:space="preserve">, relativement à sa face inférieure.</w:t>
      </w:r>
    </w:p>
    <w:p>
      <w:pPr>
        <w:spacing w:lineRule="auto"/>
        <w:jc w:val="center"/>
      </w:pPr>
      <w:r>
        <w:rPr/>
        <w:drawing>
          <wp:inline distB="0" distL="0" distR="0" distT="0">
            <wp:extent cx="5486400" cy="2001449"/>
            <wp:effectExtent b="0" l="0" r="0" t="0"/>
            <wp:docPr id="4" name="image-8b1866d7bd69e092149ceba2209dbc769b0c83fb.jpg"/>
            <a:graphic>
              <a:graphicData uri="http://schemas.openxmlformats.org/drawingml/2006/picture">
                <pic:pic>
                  <pic:nvPicPr>
                    <pic:cNvPr id="4" name="image-8b1866d7bd69e092149ceba2209dbc769b0c83fb.jpg" descr=""/>
                    <pic:cNvPicPr/>
                  </pic:nvPicPr>
                  <pic:blipFill>
                    <a:blip r:embed="rId8" cstate="print"/>
                    <a:srcRect b="0" l="0" r="0" t="0"/>
                    <a:stretch>
                      <a:fillRect/>
                    </a:stretch>
                  </pic:blipFill>
                  <pic:spPr>
                    <a:xfrm>
                      <a:off x="0" y="0"/>
                      <a:ext cx="5486400" cy="2001449"/>
                    </a:xfrm>
                    <a:prstGeom prst="rect"/>
                  </pic:spPr>
                </pic:pic>
              </a:graphicData>
            </a:graphic>
          </wp:inline>
        </w:drawing>
      </w:r>
    </w:p>
    <w:p>
      <w:pPr>
        <w:spacing w:lineRule="auto"/>
      </w:pPr>
      <w:r>
        <w:rPr/>
        <w:t xml:space="preserve">Figure 4 - Distorsion du domaine cubique sous l'action de contraintes de cisaillement.</w:t>
      </w:r>
    </w:p>
    <w:p>
      <w:pPr>
        <w:spacing w:after="220" w:lineRule="auto"/>
      </w:pPr>
      <w:r>
        <w:rPr>
          <w:rFonts w:eastAsia="Georgia" w:cs="Georgia" w:ascii="Georgia" w:hAnsi="Georgia"/>
        </w:rPr>
        <w:t xml:space="preserve">D'une manière analogue à l'état de contrainte uniaxial, et toujours dans le cadre de l'approximation linéaire, on définit la déformation en cisaillement </w:t>
      </w:r>
      <m:oMath>
        <m:r>
          <m:rPr>
            <m:sty m:val="i"/>
          </m:rPr>
          <m:t>γ</m:t>
        </m:r>
      </m:oMath>
      <w:r>
        <w:rPr/>
        <w:t xml:space="preserve"> (ou distorsion angulaire) et le module de cisaillement </w:t>
      </w:r>
      <m:oMath>
        <m:r>
          <m:rPr>
            <m:sty m:val="i"/>
          </m:rPr>
          <m:t>G</m:t>
        </m:r>
      </m:oMath>
      <w:r>
        <w:rPr/>
        <w:t xml:space="preserve"> par les relations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γ</m:t>
                    </m:r>
                    <m:r>
                      <m:rPr>
                        <m:sty m:val="p"/>
                      </m:rPr>
                      <m:t>=</m:t>
                    </m:r>
                    <m:r>
                      <m:rPr>
                        <m:sty m:val="p"/>
                      </m:rPr>
                      <m:t>Δ</m:t>
                    </m:r>
                    <m:r>
                      <m:rPr>
                        <m:sty m:val="i"/>
                      </m:rPr>
                      <m:t>X</m:t>
                    </m:r>
                    <m:r>
                      <m:rPr>
                        <m:sty m:val="p"/>
                      </m:rPr>
                      <m:t>/</m:t>
                    </m:r>
                    <m:r>
                      <m:rPr>
                        <m:sty m:val="i"/>
                      </m:rPr>
                      <m:t>a</m:t>
                    </m:r>
                  </m:e>
                </m:mr>
                <m:mr>
                  <m:e>
                    <m:r>
                      <m:rPr>
                        <m:sty m:val="i"/>
                      </m:rPr>
                      <m:t>τ</m:t>
                    </m:r>
                    <m:r>
                      <m:rPr>
                        <m:sty m:val="p"/>
                      </m:rPr>
                      <m:t>=</m:t>
                    </m:r>
                    <m:r>
                      <m:rPr>
                        <m:sty m:val="i"/>
                      </m:rPr>
                      <m:t>G</m:t>
                    </m:r>
                    <m:r>
                      <m:rPr>
                        <m:sty m:val="i"/>
                      </m:rPr>
                      <m:t>γ</m:t>
                    </m:r>
                  </m:e>
                </m:mr>
              </m:m>
            </m:e>
          </m:d>
        </m:oMath>
      </m:oMathPara>
    </w:p>
    <w:p>
      <w:pPr>
        <w:spacing w:lineRule="auto"/>
        <w:jc w:val="center"/>
      </w:pPr>
      <w:r>
        <w:rPr/>
        <w:drawing>
          <wp:inline distB="0" distL="0" distR="0" distT="0">
            <wp:extent cx="5486400" cy="4241409"/>
            <wp:effectExtent b="0" l="0" r="0" t="0"/>
            <wp:docPr id="5" name="image-68ab492b131cdf2fd6b942d1937670e588ecde60.jpg"/>
            <a:graphic>
              <a:graphicData uri="http://schemas.openxmlformats.org/drawingml/2006/picture">
                <pic:pic>
                  <pic:nvPicPr>
                    <pic:cNvPr id="5" name="image-68ab492b131cdf2fd6b942d1937670e588ecde60.jpg" descr=""/>
                    <pic:cNvPicPr/>
                  </pic:nvPicPr>
                  <pic:blipFill>
                    <a:blip r:embed="rId9" cstate="print"/>
                    <a:srcRect b="0" l="0" r="0" t="0"/>
                    <a:stretch>
                      <a:fillRect/>
                    </a:stretch>
                  </pic:blipFill>
                  <pic:spPr>
                    <a:xfrm>
                      <a:off x="0" y="0"/>
                      <a:ext cx="5486400" cy="4241409"/>
                    </a:xfrm>
                    <a:prstGeom prst="rect"/>
                  </pic:spPr>
                </pic:pic>
              </a:graphicData>
            </a:graphic>
          </wp:inline>
        </w:drawing>
      </w:r>
    </w:p>
    <w:p>
      <w:pPr>
        <w:spacing w:lineRule="auto"/>
      </w:pPr>
      <w:r>
        <w:rPr>
          <w:rFonts w:eastAsia="Georgia" w:cs="Georgia" w:ascii="Georgia" w:hAnsi="Georgia"/>
        </w:rPr>
        <w:t xml:space="preserve">Figure 5 - Essai en cisaillement d'un échantillon de caoutchouc : </w:t>
      </w:r>
      <m:oMath>
        <m:r>
          <m:rPr>
            <m:sty m:val="i"/>
          </m:rPr>
          <m:t>τ</m:t>
        </m:r>
        <m:r>
          <m:rPr>
            <m:sty m:val="p"/>
          </m:rPr>
          <m:t>(</m:t>
        </m:r>
        <m:r>
          <m:rPr>
            <m:sty m:val="p"/>
          </m:rPr>
          <m:t>MPa</m:t>
        </m:r>
        <m:r>
          <m:rPr>
            <m:sty m:val="p"/>
          </m:rPr>
          <m:t>)</m:t>
        </m:r>
      </m:oMath>
      <w:r>
        <w:rPr/>
        <w:t xml:space="preserve"> en fonction de </w:t>
      </w:r>
      <m:oMath>
        <m:r>
          <m:rPr>
            <m:sty m:val="i"/>
          </m:rPr>
          <m:t>γ</m:t>
        </m:r>
        <m:r>
          <m:rPr>
            <m:sty m:val="p"/>
          </m:rPr>
          <m:t>(</m:t>
        </m:r>
        <m:r>
          <m:rPr>
            <m:sty m:val="p"/>
          </m:rPr>
          <m:t>%</m:t>
        </m:r>
        <m:r>
          <m:rPr>
            <m:sty m:val="p"/>
          </m:rPr>
          <m:t>)</m:t>
        </m:r>
      </m:oMath>
      <w:r>
        <w:rPr/>
        <w:t xml:space="preserve">.</w:t>
      </w:r>
    </w:p>
    <w:p>
      <w:pPr>
        <w:spacing w:after="220" w:lineRule="auto"/>
      </w:pPr>
      <w:r>
        <w:rPr>
          <w:rFonts w:eastAsia="Georgia" w:cs="Georgia" w:ascii="Georgia" w:hAnsi="Georgia"/>
        </w:rPr>
        <w:t xml:space="preserve">Reprenons le modèle de la structure élastique présentée en figure (2) mais en la sollicitant, cette fois, en cisaillement. Nous modélisons alors l'action conjuquée des deux contraintes de cisaillement </w:t>
      </w:r>
      <m:oMath>
        <m:r>
          <m:rPr>
            <m:sty m:val="i"/>
          </m:rPr>
          <m:t>τ</m:t>
        </m:r>
      </m:oMath>
      <w:r>
        <w:rPr/>
        <w:t xml:space="preserve"> et </w:t>
      </w:r>
      <m:oMath>
        <m:sSup>
          <m:sSupPr/>
          <m:e>
            <m:r>
              <m:rPr>
                <m:sty m:val="i"/>
              </m:rPr>
              <m:t>τ</m:t>
            </m:r>
          </m:e>
          <m:sup>
            <m:r>
              <m:rPr>
                <m:sty m:val="i"/>
              </m:rPr>
              <m:t>′</m:t>
            </m:r>
          </m:sup>
        </m:sSup>
        <m:r>
          <m:rPr>
            <m:sty m:val="p"/>
          </m:rPr>
          <m:t>=</m:t>
        </m:r>
        <m:r>
          <m:rPr>
            <m:sty m:val="i"/>
          </m:rPr>
          <m:t>τ</m:t>
        </m:r>
      </m:oMath>
      <w:r>
        <w:rPr>
          <w:rFonts w:eastAsia="Georgia" w:cs="Georgia" w:ascii="Georgia" w:hAnsi="Georgia"/>
        </w:rPr>
        <w:t xml:space="preserve"> par leur résultante de force </w:t>
      </w:r>
      <m:oMath>
        <m:acc>
          <m:accPr>
            <m:chr m:val="⃗"/>
          </m:accPr>
          <m:e>
            <m:r>
              <m:rPr>
                <m:sty m:val="i"/>
              </m:rPr>
              <m:t>F</m:t>
            </m:r>
          </m:e>
        </m:acc>
      </m:oMath>
      <w:r>
        <w:rPr>
          <w:rFonts w:eastAsia="Georgia" w:cs="Georgia" w:ascii="Georgia" w:hAnsi="Georgia"/>
        </w:rPr>
        <w:t xml:space="preserve"> supposée appliquée au point C , comme le représente la figure (6). Le paramètre de déformation est ici le vecteur </w:t>
      </w:r>
      <m:oMath>
        <m:acc>
          <m:accPr>
            <m:chr m:val="⃗"/>
          </m:accPr>
          <m:e>
            <m:sSup>
              <m:sSupPr/>
              <m:e>
                <m:r>
                  <m:rPr>
                    <m:sty m:val="p"/>
                  </m:rPr>
                  <m:t>DD</m:t>
                </m:r>
              </m:e>
              <m:sup>
                <m:r>
                  <m:rPr>
                    <m:sty m:val="i"/>
                  </m:rPr>
                  <m:t>′</m:t>
                </m:r>
              </m:sup>
            </m:sSup>
          </m:e>
        </m:acc>
        <m:r>
          <m:rPr>
            <m:sty m:val="p"/>
          </m:rPr>
          <m:t>=</m:t>
        </m:r>
        <m:r>
          <m:rPr>
            <m:sty m:val="i"/>
          </m:rPr>
          <m:t>x</m:t>
        </m:r>
        <m:sSub>
          <m:sSubPr/>
          <m:e>
            <m:acc>
              <m:accPr>
                <m:chr m:val="⃗"/>
              </m:accPr>
              <m:e>
                <m:r>
                  <m:rPr>
                    <m:sty m:val="i"/>
                  </m:rPr>
                  <m:t>u</m:t>
                </m:r>
              </m:e>
            </m:acc>
          </m:e>
          <m:sub>
            <m:r>
              <m:rPr>
                <m:sty m:val="i"/>
              </m:rPr>
              <m:t>x</m:t>
            </m:r>
          </m:sub>
        </m:sSub>
        <m:r>
          <m:rPr>
            <m:sty m:val="p"/>
          </m:rPr>
          <m:t>+</m:t>
        </m:r>
        <m:r>
          <m:rPr>
            <m:sty m:val="i"/>
          </m:rPr>
          <m:t>z</m:t>
        </m:r>
        <m:sSub>
          <m:sSubPr/>
          <m:e>
            <m:acc>
              <m:accPr>
                <m:chr m:val="⃗"/>
              </m:accPr>
              <m:e>
                <m:r>
                  <m:rPr>
                    <m:sty m:val="i"/>
                  </m:rPr>
                  <m:t>u</m:t>
                </m:r>
              </m:e>
            </m:acc>
          </m:e>
          <m:sub>
            <m:r>
              <m:rPr>
                <m:sty m:val="i"/>
              </m:rPr>
              <m:t>z</m:t>
            </m:r>
          </m:sub>
        </m:sSub>
      </m:oMath>
      <w:r>
        <w:rPr>
          <w:rFonts w:eastAsia="Georgia" w:cs="Georgia" w:ascii="Georgia" w:hAnsi="Georgia"/>
        </w:rPr>
        <w:t xml:space="preserve">. Notons que pour se ramener à la configuration représentée figure (4), et sur laquelle s'appuient les définitions de </w:t>
      </w:r>
      <m:oMath>
        <m:r>
          <m:rPr>
            <m:sty m:val="i"/>
          </m:rPr>
          <m:t>G</m:t>
        </m:r>
      </m:oMath>
      <w:r>
        <w:rPr/>
        <w:t xml:space="preserve"> et de </w:t>
      </w:r>
      <m:oMath>
        <m:r>
          <m:rPr>
            <m:sty m:val="i"/>
          </m:rPr>
          <m:t>γ</m:t>
        </m:r>
      </m:oMath>
      <w:r>
        <w:rPr>
          <w:rFonts w:eastAsia="Georgia" w:cs="Georgia" w:ascii="Georgia" w:hAnsi="Georgia"/>
        </w:rPr>
        <w:t xml:space="preserve">, il faut faire tourner le domaine déformé afin que AB ' devienne parallèle à AB (rotation autour du point A , d'angle </w:t>
      </w:r>
      <m:oMath>
        <m:r>
          <m:rPr>
            <m:sty m:val="p"/>
          </m:rPr>
          <m:t>−</m:t>
        </m:r>
        <m:r>
          <m:rPr>
            <m:sty m:val="i"/>
          </m:rPr>
          <m:t>γ</m:t>
        </m:r>
        <m:r>
          <m:rPr>
            <m:sty m:val="p"/>
          </m:rPr>
          <m:t>/</m:t>
        </m:r>
        <m:r>
          <m:rPr>
            <m:sty m:val="p"/>
          </m:rPr>
          <m:t>2</m:t>
        </m:r>
      </m:oMath>
      <w:r>
        <w:rPr/>
        <w:t xml:space="preserve"> ).</w:t>
      </w:r>
    </w:p>
    <w:p>
      <w:pPr>
        <w:spacing w:lineRule="auto"/>
        <w:jc w:val="center"/>
      </w:pPr>
      <w:r>
        <w:rPr/>
        <w:drawing>
          <wp:inline distB="0" distL="0" distR="0" distT="0">
            <wp:extent cx="5486400" cy="3400771"/>
            <wp:effectExtent b="0" l="0" r="0" t="0"/>
            <wp:docPr id="6" name="image-fe19411f3f24571c5ba618d63a2244547183a241.jpg"/>
            <a:graphic>
              <a:graphicData uri="http://schemas.openxmlformats.org/drawingml/2006/picture">
                <pic:pic>
                  <pic:nvPicPr>
                    <pic:cNvPr id="6" name="image-fe19411f3f24571c5ba618d63a2244547183a241.jpg" descr=""/>
                    <pic:cNvPicPr/>
                  </pic:nvPicPr>
                  <pic:blipFill>
                    <a:blip r:embed="rId10" cstate="print"/>
                    <a:srcRect b="0" l="0" r="0" t="0"/>
                    <a:stretch>
                      <a:fillRect/>
                    </a:stretch>
                  </pic:blipFill>
                  <pic:spPr>
                    <a:xfrm>
                      <a:off x="0" y="0"/>
                      <a:ext cx="5486400" cy="3400771"/>
                    </a:xfrm>
                    <a:prstGeom prst="rect"/>
                  </pic:spPr>
                </pic:pic>
              </a:graphicData>
            </a:graphic>
          </wp:inline>
        </w:drawing>
      </w:r>
    </w:p>
    <w:p>
      <w:pPr>
        <w:spacing w:lineRule="auto"/>
      </w:pPr>
      <w:r>
        <w:rPr>
          <w:rFonts w:eastAsia="Georgia" w:cs="Georgia" w:ascii="Georgia" w:hAnsi="Georgia"/>
        </w:rPr>
        <w:t xml:space="preserve">Figure 6 - Déformation de la structure élastique sous l'action de la résultante </w:t>
      </w:r>
      <m:oMath>
        <m:acc>
          <m:accPr>
            <m:chr m:val="⃗"/>
          </m:accPr>
          <m:e>
            <m:r>
              <m:rPr>
                <m:sty m:val="i"/>
              </m:rPr>
              <m:t>F</m:t>
            </m:r>
          </m:e>
        </m:acc>
      </m:oMath>
      <w:r>
        <w:rPr/>
        <w:t xml:space="preserve"> des forces de cisaillement.</w:t>
      </w:r>
    </w:p>
    <w:p>
      <w:pPr>
        <w:spacing w:after="220" w:lineRule="auto"/>
      </w:pPr>
      <w:r>
        <w:rPr>
          <w:rFonts w:eastAsia="Georgia" w:cs="Georgia" w:ascii="Georgia" w:hAnsi="Georgia"/>
        </w:rPr>
        <w:t xml:space="preserve">La figure (5) représente la dépendance de </w:t>
      </w:r>
      <m:oMath>
        <m:r>
          <m:rPr>
            <m:sty m:val="i"/>
          </m:rPr>
          <m:t>τ</m:t>
        </m:r>
      </m:oMath>
      <w:r>
        <w:rPr/>
        <w:t xml:space="preserve"> avec </w:t>
      </w:r>
      <m:oMath>
        <m:r>
          <m:rPr>
            <m:sty m:val="i"/>
          </m:rPr>
          <m:t>γ</m:t>
        </m:r>
      </m:oMath>
      <w:r>
        <w:rPr>
          <w:rFonts w:eastAsia="Georgia" w:cs="Georgia" w:ascii="Georgia" w:hAnsi="Georgia"/>
        </w:rPr>
        <w:t xml:space="preserve">, obtenue expérimentalement avec un échantillon de caoutchouc.</w:t>
      </w:r>
      <w:r>
        <w:rPr/>
        <w:br w:type="textWrapping"/>
      </w:r>
      <w:r>
        <w:rPr>
          <w:rFonts w:eastAsia="Georgia" w:cs="Georgia" w:ascii="Georgia" w:hAnsi="Georgia"/>
        </w:rPr>
        <w:t xml:space="preserve">16. Analyser le résultat présenté figure (5) puis en extraire la valeur de </w:t>
      </w:r>
      <m:oMath>
        <m:r>
          <m:rPr>
            <m:sty m:val="i"/>
          </m:rPr>
          <m:t>G</m:t>
        </m:r>
      </m:oMath>
      <w:r>
        <w:rPr>
          <w:rFonts w:eastAsia="Georgia" w:cs="Georgia" w:ascii="Georgia" w:hAnsi="Georgia"/>
        </w:rPr>
        <w:t xml:space="preserve"> à considérer dans le cadre de notre étude.</w:t>
      </w:r>
    </w:p>
    <w:p>
      <w:pPr>
        <w:spacing w:after="220" w:lineRule="auto"/>
      </w:pPr>
      <w:r>
        <w:rPr>
          <w:rFonts w:eastAsia="Georgia" w:cs="Georgia" w:ascii="Georgia" w:hAnsi="Georgia"/>
        </w:rPr>
        <w:t xml:space="preserve">En réalité, lorsqu'il existe les contraintes de cisaillement </w:t>
      </w:r>
      <m:oMath>
        <m:acc>
          <m:accPr>
            <m:chr m:val="⃗"/>
          </m:accPr>
          <m:e>
            <m:r>
              <m:rPr>
                <m:sty m:val="i"/>
              </m:rPr>
              <m:t>τ</m:t>
            </m:r>
          </m:e>
        </m:acc>
        <m:r>
          <m:rPr>
            <m:sty m:val="p"/>
          </m:rPr>
          <m:t>=</m:t>
        </m:r>
        <m:r>
          <m:rPr>
            <m:sty m:val="i"/>
          </m:rPr>
          <m:t>τ</m:t>
        </m:r>
        <m:sSub>
          <m:sSubPr/>
          <m:e>
            <m:acc>
              <m:accPr>
                <m:chr m:val="⃗"/>
              </m:accPr>
              <m:e>
                <m:r>
                  <m:rPr>
                    <m:sty m:val="i"/>
                  </m:rPr>
                  <m:t>u</m:t>
                </m:r>
              </m:e>
            </m:acc>
          </m:e>
          <m:sub>
            <m:r>
              <m:rPr>
                <m:sty m:val="i"/>
              </m:rPr>
              <m:t>x</m:t>
            </m:r>
          </m:sub>
        </m:sSub>
      </m:oMath>
      <w:r>
        <w:rPr/>
        <w:t xml:space="preserve"> et </w:t>
      </w:r>
      <m:oMath>
        <m:r>
          <m:rPr>
            <m:sty m:val="p"/>
          </m:rPr>
          <m:t>−</m:t>
        </m:r>
        <m:acc>
          <m:accPr>
            <m:chr m:val="⃗"/>
          </m:accPr>
          <m:e>
            <m:r>
              <m:rPr>
                <m:sty m:val="i"/>
              </m:rPr>
              <m:t>τ</m:t>
            </m:r>
          </m:e>
        </m:acc>
      </m:oMath>
      <w:r>
        <w:rPr>
          <w:rFonts w:eastAsia="Georgia" w:cs="Georgia" w:ascii="Georgia" w:hAnsi="Georgia"/>
        </w:rPr>
        <w:t xml:space="preserve"> sur deux faces du domaine (figure (4)), au sein du milieu, il apparaît également des contraintes de cisaillement </w:t>
      </w:r>
      <m:oMath>
        <m:sSup>
          <m:sSupPr/>
          <m:e>
            <m:acc>
              <m:accPr>
                <m:chr m:val="⃗"/>
              </m:accPr>
              <m:e>
                <m:r>
                  <m:rPr>
                    <m:sty m:val="i"/>
                  </m:rPr>
                  <m:t>τ</m:t>
                </m:r>
              </m:e>
            </m:acc>
          </m:e>
          <m:sup>
            <m:r>
              <m:rPr>
                <m:sty m:val="i"/>
              </m:rPr>
              <m:t>′</m:t>
            </m:r>
          </m:sup>
        </m:sSup>
        <m:r>
          <m:rPr>
            <m:sty m:val="p"/>
          </m:rPr>
          <m:t>=</m:t>
        </m:r>
        <m:sSup>
          <m:sSupPr/>
          <m:e>
            <m:r>
              <m:rPr>
                <m:sty m:val="i"/>
              </m:rPr>
              <m:t>τ</m:t>
            </m:r>
          </m:e>
          <m:sup>
            <m:r>
              <m:rPr>
                <m:sty m:val="i"/>
              </m:rPr>
              <m:t>′</m:t>
            </m:r>
          </m:sup>
        </m:sSup>
        <m:sSub>
          <m:sSubPr/>
          <m:e>
            <m:acc>
              <m:accPr>
                <m:chr m:val="⃗"/>
              </m:accPr>
              <m:e>
                <m:r>
                  <m:rPr>
                    <m:sty m:val="i"/>
                  </m:rPr>
                  <m:t>u</m:t>
                </m:r>
              </m:e>
            </m:acc>
          </m:e>
          <m:sub>
            <m:r>
              <m:rPr>
                <m:sty m:val="i"/>
              </m:rPr>
              <m:t>z</m:t>
            </m:r>
          </m:sub>
        </m:sSub>
      </m:oMath>
      <w:r>
        <w:rPr/>
        <w:t xml:space="preserve"> et </w:t>
      </w:r>
      <m:oMath>
        <m:r>
          <m:rPr>
            <m:sty m:val="p"/>
          </m:rPr>
          <m:t>−</m:t>
        </m:r>
        <m:sSup>
          <m:sSupPr/>
          <m:e>
            <m:acc>
              <m:accPr>
                <m:chr m:val="⃗"/>
              </m:accPr>
              <m:e>
                <m:r>
                  <m:rPr>
                    <m:sty m:val="i"/>
                  </m:rPr>
                  <m:t>τ</m:t>
                </m:r>
              </m:e>
            </m:acc>
          </m:e>
          <m:sup>
            <m:r>
              <m:rPr>
                <m:sty m:val="i"/>
              </m:rPr>
              <m:t>′</m:t>
            </m:r>
          </m:sup>
        </m:sSup>
      </m:oMath>
      <w:r>
        <w:rPr/>
        <w:t xml:space="preserve"> sur les faces de vecteurs normaux </w:t>
      </w:r>
      <m:oMath>
        <m:sSub>
          <m:sSubPr/>
          <m:e>
            <m:acc>
              <m:accPr>
                <m:chr m:val="⃗"/>
              </m:accPr>
              <m:e>
                <m:r>
                  <m:rPr>
                    <m:sty m:val="i"/>
                  </m:rPr>
                  <m:t>u</m:t>
                </m:r>
              </m:e>
            </m:acc>
          </m:e>
          <m:sub>
            <m:r>
              <m:rPr>
                <m:sty m:val="i"/>
              </m:rPr>
              <m:t>x</m:t>
            </m:r>
          </m:sub>
        </m:sSub>
      </m:oMath>
      <w:r>
        <w:rPr/>
        <w:t xml:space="preserve"> et </w:t>
      </w:r>
      <m:oMath>
        <m:r>
          <m:rPr>
            <m:sty m:val="p"/>
          </m:rPr>
          <m:t>−</m:t>
        </m:r>
        <m:sSub>
          <m:sSubPr/>
          <m:e>
            <m:acc>
              <m:accPr>
                <m:chr m:val="⃗"/>
              </m:accPr>
              <m:e>
                <m:r>
                  <m:rPr>
                    <m:sty m:val="i"/>
                  </m:rPr>
                  <m:t>u</m:t>
                </m:r>
              </m:e>
            </m:acc>
          </m:e>
          <m:sub>
            <m:r>
              <m:rPr>
                <m:sty m:val="i"/>
              </m:rPr>
              <m:t>x</m:t>
            </m:r>
          </m:sub>
        </m:sSub>
      </m:oMath>
      <w:r>
        <w:rPr/>
        <w:t xml:space="preserve">.</w:t>
      </w:r>
      <w:r>
        <w:rPr/>
        <w:br w:type="textWrapping"/>
      </w:r>
      <w:r>
        <w:rPr>
          <w:rFonts w:eastAsia="Georgia" w:cs="Georgia" w:ascii="Georgia" w:hAnsi="Georgia"/>
        </w:rPr>
        <w:t xml:space="preserve">17. Dans le cas où le domaine n'est soumis à aucun couple volumique, comme c'est ici le cas, établir que </w:t>
      </w:r>
      <m:oMath>
        <m:sSup>
          <m:sSupPr/>
          <m:e>
            <m:r>
              <m:rPr>
                <m:sty m:val="i"/>
              </m:rPr>
              <m:t>τ</m:t>
            </m:r>
          </m:e>
          <m:sup>
            <m:r>
              <m:rPr>
                <m:sty m:val="i"/>
              </m:rPr>
              <m:t>′</m:t>
            </m:r>
          </m:sup>
        </m:sSup>
        <m:r>
          <m:rPr>
            <m:sty m:val="p"/>
          </m:rPr>
          <m:t>=</m:t>
        </m:r>
        <m:r>
          <m:rPr>
            <m:sty m:val="i"/>
          </m:rPr>
          <m:t>τ</m:t>
        </m:r>
      </m:oMath>
      <w:r>
        <w:rPr>
          <w:rFonts w:eastAsia="Georgia" w:cs="Georgia" w:ascii="Georgia" w:hAnsi="Georgia"/>
        </w:rPr>
        <w:t xml:space="preserve">. Justifier que cette égalité resterait encore vérifiée en régime dynamique, dans la limite </w:t>
      </w:r>
      <m:oMath>
        <m:r>
          <m:rPr>
            <m:sty m:val="i"/>
          </m:rPr>
          <m:t>a</m:t>
        </m:r>
        <m:r>
          <m:rPr>
            <m:sty m:val="p"/>
          </m:rPr>
          <m:t>→</m:t>
        </m:r>
        <m:sSup>
          <m:sSupPr/>
          <m:e>
            <m:r>
              <m:rPr>
                <m:sty m:val="p"/>
              </m:rPr>
              <m:t>0</m:t>
            </m:r>
          </m:e>
          <m:sup>
            <m:r>
              <m:rPr>
                <m:sty m:val="p"/>
              </m:rPr>
              <m:t>1</m:t>
            </m:r>
          </m:sup>
        </m:sSup>
      </m:oMath>
      <w:r>
        <w:rPr/>
        <w:t xml:space="preserve">.</w:t>
      </w:r>
      <w:r>
        <w:rPr/>
        <w:br w:type="textWrapping"/>
      </w:r>
      <w:r>
        <w:rPr>
          <w:rFonts w:eastAsia="Georgia" w:cs="Georgia" w:ascii="Georgia" w:hAnsi="Georgia"/>
        </w:rPr>
        <w:t xml:space="preserve">Reprenons le modèle de la structure élastique présentée en figure (2) mais en la sollicitant, cette fois, en cisaillement. Nous</w:t>
      </w:r>
      <w:r>
        <w:rPr/>
        <w:br w:type="textWrapping"/>
      </w:r>
      <w:r>
        <w:rPr>
          <w:rFonts w:eastAsia="Georgia" w:cs="Georgia" w:ascii="Georgia" w:hAnsi="Georgia"/>
        </w:rPr>
        <w:t xml:space="preserve">appliquée au point C , comme le représente la figure (6). Le paramètre de déformation est ici le vecteur </w:t>
      </w:r>
      <m:oMath>
        <m:acc>
          <m:accPr>
            <m:chr m:val="⃗"/>
          </m:accPr>
          <m:e>
            <m:sSup>
              <m:sSupPr/>
              <m:e>
                <m:r>
                  <m:rPr>
                    <m:sty m:val="p"/>
                  </m:rPr>
                  <m:t>DD</m:t>
                </m:r>
              </m:e>
              <m:sup>
                <m:r>
                  <m:rPr>
                    <m:sty m:val="i"/>
                  </m:rPr>
                  <m:t>′</m:t>
                </m:r>
              </m:sup>
            </m:sSup>
          </m:e>
        </m:acc>
        <m:r>
          <m:rPr>
            <m:sty m:val="p"/>
          </m:rPr>
          <m:t>=</m:t>
        </m:r>
        <m:r>
          <m:rPr>
            <m:sty m:val="i"/>
          </m:rPr>
          <m:t>x</m:t>
        </m:r>
        <m:sSub>
          <m:sSubPr/>
          <m:e>
            <m:acc>
              <m:accPr>
                <m:chr m:val="⃗"/>
              </m:accPr>
              <m:e>
                <m:r>
                  <m:rPr>
                    <m:sty m:val="i"/>
                  </m:rPr>
                  <m:t>u</m:t>
                </m:r>
              </m:e>
            </m:acc>
          </m:e>
          <m:sub>
            <m:r>
              <m:rPr>
                <m:sty m:val="i"/>
              </m:rPr>
              <m:t>x</m:t>
            </m:r>
          </m:sub>
        </m:sSub>
        <m:r>
          <m:rPr>
            <m:sty m:val="p"/>
          </m:rPr>
          <m:t>+</m:t>
        </m:r>
        <m:r>
          <m:rPr>
            <m:sty m:val="i"/>
          </m:rPr>
          <m:t>z</m:t>
        </m:r>
        <m:sSub>
          <m:sSubPr/>
          <m:e>
            <m:acc>
              <m:accPr>
                <m:chr m:val="⃗"/>
              </m:accPr>
              <m:e>
                <m:r>
                  <m:rPr>
                    <m:sty m:val="i"/>
                  </m:rPr>
                  <m:t>u</m:t>
                </m:r>
              </m:e>
            </m:acc>
          </m:e>
          <m:sub>
            <m:r>
              <m:rPr>
                <m:sty m:val="i"/>
              </m:rPr>
              <m:t>z</m:t>
            </m:r>
          </m:sub>
        </m:sSub>
      </m:oMath>
      <w:r>
        <w:rPr/>
        <w:t xml:space="preserve">.</w:t>
      </w:r>
      <w:r>
        <w:rPr/>
        <w:br w:type="textWrapping"/>
      </w:r>
      <w:r>
        <w:rPr>
          <w:rFonts w:eastAsia="Georgia" w:cs="Georgia" w:ascii="Georgia" w:hAnsi="Georgia"/>
        </w:rPr>
        <w:t xml:space="preserve">Notons que pour se ramener à la configuration représentée figure (4), et sur laquelle s'appuient les définitions de </w:t>
      </w:r>
      <m:oMath>
        <m:r>
          <m:rPr>
            <m:sty m:val="i"/>
          </m:rPr>
          <m:t>G</m:t>
        </m:r>
      </m:oMath>
      <w:r>
        <w:rPr/>
        <w:t xml:space="preserve"> et de </w:t>
      </w:r>
      <m:oMath>
        <m:r>
          <m:rPr>
            <m:sty m:val="i"/>
          </m:rPr>
          <m:t>γ</m:t>
        </m:r>
      </m:oMath>
      <w:r>
        <w:rPr/>
        <w:t xml:space="preserve">, il</w:t>
      </w:r>
      <w:r>
        <w:rPr/>
        <w:br w:type="textWrapping"/>
      </w:r>
      <w:r>
        <w:rPr>
          <w:rFonts w:eastAsia="Georgia" w:cs="Georgia" w:ascii="Georgia" w:hAnsi="Georgia"/>
        </w:rPr>
        <w:t xml:space="preserve">faut faire tourner le domaine déformé afin que AB ' devienne parallèle à AB (rotation autour du point A , d'angle </w:t>
      </w:r>
      <m:oMath>
        <m:r>
          <m:rPr>
            <m:sty m:val="p"/>
          </m:rPr>
          <m:t>−</m:t>
        </m:r>
        <m:r>
          <m:rPr>
            <m:sty m:val="i"/>
          </m:rPr>
          <m:t>γ</m:t>
        </m:r>
        <m:r>
          <m:rPr>
            <m:sty m:val="p"/>
          </m:rPr>
          <m:t>/</m:t>
        </m:r>
        <m:r>
          <m:rPr>
            <m:sty m:val="p"/>
          </m:rPr>
          <m:t>2</m:t>
        </m:r>
      </m:oMath>
      <w:r>
        <w:rPr/>
        <w:t xml:space="preserve"> ).</w:t>
      </w:r>
    </w:p>
    <w:p>
      <w:pPr>
        <w:spacing w:after="220" w:lineRule="auto"/>
      </w:pPr>
      <w:r>
        <w:rPr>
          <w:rFonts w:eastAsia="Georgia" w:cs="Georgia" w:ascii="Georgia" w:hAnsi="Georgia"/>
        </w:rPr>
        <w:t xml:space="preserve">Figure 6 - Déformation de la structure élastique sous l'action de la résultante </w:t>
      </w:r>
      <m:oMath>
        <m:acc>
          <m:accPr>
            <m:chr m:val="⃗"/>
          </m:accPr>
          <m:e>
            <m:r>
              <m:rPr>
                <m:sty m:val="i"/>
              </m:rPr>
              <m:t>F</m:t>
            </m:r>
          </m:e>
        </m:acc>
      </m:oMath>
      <w:r>
        <w:rPr/>
        <w:t xml:space="preserve"> des forces de cisaillement.</w:t>
      </w:r>
      <w:r>
        <w:rPr/>
        <w:br w:type="textWrapping"/>
      </w:r>
      <w:r>
        <w:rPr>
          <w:rFonts w:eastAsia="Georgia" w:cs="Georgia" w:ascii="Georgia" w:hAnsi="Georgia"/>
        </w:rPr>
        <w:t xml:space="preserve">D'une manière analogue à l'étude conduite question (7) (en supposant encore la force </w:t>
      </w:r>
      <m:oMath>
        <m:acc>
          <m:accPr>
            <m:chr m:val="⃗"/>
          </m:accPr>
          <m:e>
            <m:r>
              <m:rPr>
                <m:sty m:val="i"/>
              </m:rPr>
              <m:t>F</m:t>
            </m:r>
          </m:e>
        </m:acc>
      </m:oMath>
      <w:r>
        <w:rPr>
          <w:rFonts w:eastAsia="Georgia" w:cs="Georgia" w:ascii="Georgia" w:hAnsi="Georgia"/>
        </w:rPr>
        <w:t xml:space="preserve"> indépendante du déplacement de son point d'application), le potentiel mécanique à considérer ici s'écrit :</w:t>
      </w:r>
    </w:p>
    <w:p>
      <w:pPr>
        <w:spacing w:after="220" w:lineRule="auto"/>
      </w:pPr>
      <m:oMathPara>
        <m:oMath>
          <m:r>
            <m:rPr>
              <m:sty m:val="i"/>
            </m:rPr>
            <m:t>ψ</m:t>
          </m:r>
          <m:r>
            <m:rPr>
              <m:sty m:val="p"/>
            </m:rPr>
            <m:t>(</m:t>
          </m:r>
          <m:r>
            <m:rPr>
              <m:sty m:val="i"/>
            </m:rPr>
            <m:t>x</m:t>
          </m:r>
          <m:r>
            <m:rPr>
              <m:sty m:val="p"/>
            </m:rPr>
            <m:t>,</m:t>
          </m:r>
          <m:r>
            <m:rPr>
              <m:sty m:val="i"/>
            </m:rPr>
            <m:t>z</m:t>
          </m:r>
          <m:r>
            <m:rPr>
              <m:sty m:val="p"/>
            </m:rPr>
            <m:t>)</m:t>
          </m:r>
          <m:r>
            <m:rPr>
              <m:sty m:val="p"/>
            </m:rPr>
            <m:t>=</m:t>
          </m:r>
          <m:r>
            <m:rPr>
              <m:sty m:val="p"/>
            </m:rPr>
            <m:t>2</m:t>
          </m:r>
          <m:r>
            <m:rPr>
              <m:sty m:val="i"/>
            </m:rPr>
            <m:t>k</m:t>
          </m:r>
          <m:sSup>
            <m:sSupPr/>
            <m:e>
              <m:r>
                <m:rPr>
                  <m:sty m:val="i"/>
                </m:rPr>
                <m:t>z</m:t>
              </m:r>
            </m:e>
            <m:sup>
              <m:r>
                <m:rPr>
                  <m:sty m:val="p"/>
                </m:rPr>
                <m:t>2</m:t>
              </m:r>
            </m:sup>
          </m:sSup>
          <m:r>
            <m:rPr>
              <m:sty m:val="p"/>
            </m:rPr>
            <m:t>+</m:t>
          </m:r>
          <m:r>
            <m:rPr>
              <m:sty m:val="p"/>
            </m:rPr>
            <m:t>2</m:t>
          </m:r>
          <m:sSup>
            <m:sSupPr/>
            <m:e>
              <m:r>
                <m:rPr>
                  <m:sty m:val="i"/>
                </m:rPr>
                <m:t>k</m:t>
              </m:r>
            </m:e>
            <m:sup>
              <m:r>
                <m:rPr>
                  <m:sty m:val="i"/>
                </m:rPr>
                <m:t>′</m:t>
              </m:r>
            </m:sup>
          </m:sSup>
          <m:d>
            <m:dPr>
              <m:begChr m:val="("/>
              <m:endChr m:val=")"/>
              <m:ctrlPr>
                <w:rPr>
                  <w:rFonts w:ascii="Cambria Math" w:hAnsi="Cambria Math"/>
                </w:rPr>
              </m:ctrlPr>
            </m:dPr>
            <m:e>
              <m:sSup>
                <m:sSupPr/>
                <m:e>
                  <m:r>
                    <m:rPr>
                      <m:sty m:val="i"/>
                    </m:rPr>
                    <m:t>x</m:t>
                  </m:r>
                </m:e>
                <m:sup>
                  <m:r>
                    <m:rPr>
                      <m:sty m:val="p"/>
                    </m:rPr>
                    <m:t>2</m:t>
                  </m:r>
                </m:sup>
              </m:sSup>
              <m:r>
                <m:rPr>
                  <m:sty m:val="p"/>
                </m:rPr>
                <m:t>+</m:t>
              </m:r>
              <m:sSup>
                <m:sSupPr/>
                <m:e>
                  <m:r>
                    <m:rPr>
                      <m:sty m:val="i"/>
                    </m:rPr>
                    <m:t>z</m:t>
                  </m:r>
                </m:e>
                <m:sup>
                  <m:r>
                    <m:rPr>
                      <m:sty m:val="p"/>
                    </m:rPr>
                    <m:t>2</m:t>
                  </m:r>
                </m:sup>
              </m:sSup>
            </m:e>
          </m:d>
          <m:r>
            <m:rPr>
              <m:sty m:val="p"/>
            </m:rPr>
            <m:t>−</m:t>
          </m:r>
          <m:rad>
            <m:radPr>
              <m:degHide m:val="1"/>
              <m:ctrlPr>
                <w:rPr>
                  <w:rFonts w:ascii="Cambria Math" w:hAnsi="Cambria Math"/>
                </w:rPr>
              </m:ctrlPr>
            </m:radPr>
            <m:deg/>
            <m:e>
              <m:r>
                <m:rPr>
                  <m:sty m:val="p"/>
                </m:rPr>
                <m:t>2</m:t>
              </m:r>
            </m:e>
          </m:rad>
          <m:r>
            <m:rPr>
              <m:sty m:val="i"/>
            </m:rPr>
            <m:t>F</m:t>
          </m:r>
          <m:r>
            <m:rPr>
              <m:sty m:val="p"/>
            </m:rPr>
            <m:t>(</m:t>
          </m:r>
          <m:r>
            <m:rPr>
              <m:sty m:val="i"/>
            </m:rPr>
            <m:t>x</m:t>
          </m:r>
          <m:r>
            <m:rPr>
              <m:sty m:val="p"/>
            </m:rPr>
            <m:t>+</m:t>
          </m:r>
          <m:r>
            <m:rPr>
              <m:sty m:val="i"/>
            </m:rPr>
            <m:t>z</m:t>
          </m:r>
          <m:r>
            <m:rPr>
              <m:sty m:val="p"/>
            </m:rPr>
            <m:t>)</m:t>
          </m:r>
        </m:oMath>
      </m:oMathPara>
    </w:p>
    <w:p>
      <w:pPr>
        <w:spacing w:lineRule="auto"/>
      </w:pPr>
      <w:r>
        <w:rPr/>
        <w:t xml:space="preserve">18. Exprimer le module de cisaillement </w:t>
      </w:r>
      <m:oMath>
        <m:r>
          <m:rPr>
            <m:sty m:val="i"/>
          </m:rPr>
          <m:t>G</m:t>
        </m:r>
      </m:oMath>
      <w:r>
        <w:rPr>
          <w:rFonts w:eastAsia="Georgia" w:cs="Georgia" w:ascii="Georgia" w:hAnsi="Georgia"/>
        </w:rPr>
        <w:t xml:space="preserve"> correspondant à ce modèle puis analyser ce résultat.</w:t>
      </w:r>
    </w:p>
    <w:p>
      <w:pPr>
        <w:spacing w:line="271" w:before="330" w:lineRule="auto"/>
      </w:pPr>
      <w:r>
        <w:rPr>
          <w:b/>
          <w:sz w:val="42"/>
        </w:rPr>
        <w:t xml:space="preserve">I.E Lien entre les modules de Young et de cisaillement.</w:t>
      </w:r>
    </w:p>
    <w:p>
      <w:pPr>
        <w:spacing w:after="220" w:lineRule="auto"/>
      </w:pPr>
      <w:r>
        <w:rPr>
          <w:rFonts w:eastAsia="Georgia" w:cs="Georgia" w:ascii="Georgia" w:hAnsi="Georgia"/>
        </w:rPr>
        <w:t xml:space="preserve">Comme cela apparaît sur la figure (6), le cisaillement de la structure induit une compression de l'un des ressorts diagonaux et une extension de l'autre. La nature de la sollicitation (traction ou cisaillement) du domaine dépend donc de l'orientation considérée. Nous allons exploiter cette propriété afin d'établir un lien entre les modules </w:t>
      </w:r>
      <m:oMath>
        <m:r>
          <m:rPr>
            <m:sty m:val="i"/>
          </m:rPr>
          <m:t>E</m:t>
        </m:r>
      </m:oMath>
      <w:r>
        <w:rPr/>
        <w:t xml:space="preserve"> et </w:t>
      </w:r>
      <m:oMath>
        <m:r>
          <m:rPr>
            <m:sty m:val="i"/>
          </m:rPr>
          <m:t>G</m:t>
        </m:r>
      </m:oMath>
      <w:r>
        <w:rPr/>
        <w:t xml:space="preserve">, et le coefficient </w:t>
      </w:r>
      <m:oMath>
        <m:r>
          <m:rPr>
            <m:sty m:val="i"/>
          </m:rPr>
          <m:t>v</m:t>
        </m:r>
      </m:oMath>
      <w:r>
        <w:rPr/>
        <w:t xml:space="preserve">.</w:t>
      </w:r>
      <w:r>
        <w:rPr/>
        <w:br w:type="textWrapping"/>
      </w:r>
      <w:r>
        <w:rPr>
          <w:rFonts w:eastAsia="Georgia" w:cs="Georgia" w:ascii="Georgia" w:hAnsi="Georgia"/>
        </w:rPr>
        <w:t xml:space="preserve">Reportons-nous à la figure (7) où nous avons choisi deux domaines cubiques GICE et HBDF, de même centre O, et d'orientations respectives de leurs faces ( </w:t>
      </w:r>
      <m:oMath>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z</m:t>
            </m:r>
          </m:sub>
        </m:sSub>
      </m:oMath>
      <w:r>
        <w:rPr/>
        <w:t xml:space="preserve"> ) et ( </w:t>
      </w:r>
      <m:oMath>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Z</m:t>
            </m:r>
          </m:sub>
        </m:sSub>
      </m:oMath>
      <w:r>
        <w:rPr>
          <w:rFonts w:eastAsia="Georgia" w:cs="Georgia" w:ascii="Georgia" w:hAnsi="Georgia"/>
        </w:rPr>
        <w:t xml:space="preserve"> ). Cette dernière orientation est déduite de la précédente par une rotation de </w:t>
      </w:r>
      <m:oMath>
        <m:r>
          <m:rPr>
            <m:sty m:val="i"/>
          </m:rPr>
          <m:t>π</m:t>
        </m:r>
        <m:r>
          <m:rPr>
            <m:sty m:val="p"/>
          </m:rPr>
          <m:t>/</m:t>
        </m:r>
        <m:r>
          <m:rPr>
            <m:sty m:val="p"/>
          </m:rPr>
          <m:t>4</m:t>
        </m:r>
      </m:oMath>
      <w:r>
        <w:rPr/>
        <w:t xml:space="preserve">. Nous supposons que domaine cubique GICE est soumis aux contraintes de cisaillement </w:t>
      </w:r>
      <m:oMath>
        <m:sSub>
          <m:sSubPr/>
          <m:e>
            <m:acc>
              <m:accPr>
                <m:chr m:val="⃗"/>
              </m:accPr>
              <m:e>
                <m:r>
                  <m:rPr>
                    <m:sty m:val="i"/>
                  </m:rPr>
                  <m:t>τ</m:t>
                </m:r>
              </m:e>
            </m:acc>
          </m:e>
          <m:sub>
            <m:r>
              <m:rPr>
                <m:sty m:val="p"/>
              </m:rPr>
              <m:t>1</m:t>
            </m:r>
          </m:sub>
        </m:sSub>
        <m:r>
          <m:rPr>
            <m:sty m:val="p"/>
          </m:rPr>
          <m:t>=</m:t>
        </m:r>
        <m:r>
          <m:rPr>
            <m:sty m:val="i"/>
          </m:rPr>
          <m:t>τ</m:t>
        </m:r>
        <m:sSub>
          <m:sSubPr/>
          <m:e>
            <m:acc>
              <m:accPr>
                <m:chr m:val="⃗"/>
              </m:accPr>
              <m:e>
                <m:r>
                  <m:rPr>
                    <m:sty m:val="i"/>
                  </m:rPr>
                  <m:t>u</m:t>
                </m:r>
              </m:e>
            </m:acc>
          </m:e>
          <m:sub>
            <m:r>
              <m:rPr>
                <m:sty m:val="i"/>
              </m:rPr>
              <m:t>x</m:t>
            </m:r>
          </m:sub>
        </m:sSub>
      </m:oMath>
      <w:r>
        <w:rPr/>
        <w:t xml:space="preserve"> sur sa face de vecteur normal </w:t>
      </w:r>
      <m:oMath>
        <m:sSub>
          <m:sSubPr/>
          <m:e>
            <m:acc>
              <m:accPr>
                <m:chr m:val="⃗"/>
              </m:accPr>
              <m:e>
                <m:r>
                  <m:rPr>
                    <m:sty m:val="i"/>
                  </m:rPr>
                  <m:t>u</m:t>
                </m:r>
              </m:e>
            </m:acc>
          </m:e>
          <m:sub>
            <m:r>
              <m:rPr>
                <m:sty m:val="i"/>
              </m:rPr>
              <m:t>z</m:t>
            </m:r>
          </m:sub>
        </m:sSub>
      </m:oMath>
      <w:r>
        <w:rPr/>
        <w:t xml:space="preserve"> et </w:t>
      </w:r>
      <m:oMath>
        <m:sSub>
          <m:sSubPr/>
          <m:e>
            <m:acc>
              <m:accPr>
                <m:chr m:val="⃗"/>
              </m:accPr>
              <m:e>
                <m:r>
                  <m:rPr>
                    <m:sty m:val="i"/>
                  </m:rPr>
                  <m:t>τ</m:t>
                </m:r>
              </m:e>
            </m:acc>
          </m:e>
          <m:sub>
            <m:r>
              <m:rPr>
                <m:sty m:val="p"/>
              </m:rPr>
              <m:t>2</m:t>
            </m:r>
          </m:sub>
        </m:sSub>
        <m:r>
          <m:rPr>
            <m:sty m:val="p"/>
          </m:rPr>
          <m:t>=</m:t>
        </m:r>
        <m:r>
          <m:rPr>
            <m:sty m:val="i"/>
          </m:rPr>
          <m:t>τ</m:t>
        </m:r>
        <m:sSub>
          <m:sSubPr/>
          <m:e>
            <m:acc>
              <m:accPr>
                <m:chr m:val="⃗"/>
              </m:accPr>
              <m:e>
                <m:r>
                  <m:rPr>
                    <m:sty m:val="i"/>
                  </m:rPr>
                  <m:t>u</m:t>
                </m:r>
              </m:e>
            </m:acc>
          </m:e>
          <m:sub>
            <m:r>
              <m:rPr>
                <m:sty m:val="i"/>
              </m:rPr>
              <m:t>z</m:t>
            </m:r>
          </m:sub>
        </m:sSub>
      </m:oMath>
      <w:r>
        <w:rPr/>
        <w:t xml:space="preserve"> sur sa face de vecteur normal </w:t>
      </w:r>
      <m:oMath>
        <m:sSub>
          <m:sSubPr/>
          <m:e>
            <m:acc>
              <m:accPr>
                <m:chr m:val="⃗"/>
              </m:accPr>
              <m:e>
                <m:r>
                  <m:rPr>
                    <m:sty m:val="i"/>
                  </m:rPr>
                  <m:t>u</m:t>
                </m:r>
              </m:e>
            </m:acc>
          </m:e>
          <m:sub>
            <m:r>
              <m:rPr>
                <m:sty m:val="i"/>
              </m:rPr>
              <m:t>x</m:t>
            </m:r>
          </m:sub>
        </m:sSub>
      </m:oMath>
      <w:r>
        <w:rPr/>
        <w:t xml:space="preserve">.</w:t>
      </w:r>
    </w:p>
    <w:p>
      <w:pPr>
        <w:spacing w:lineRule="auto"/>
        <w:jc w:val="center"/>
      </w:pPr>
      <w:r>
        <w:rPr/>
        <w:drawing>
          <wp:inline distB="0" distL="0" distR="0" distT="0">
            <wp:extent cx="5486400" cy="5005013"/>
            <wp:effectExtent b="0" l="0" r="0" t="0"/>
            <wp:docPr id="7" name="image-ae7a8237641eb7805ee52634a0a9891afbf017fb.jpg"/>
            <a:graphic>
              <a:graphicData uri="http://schemas.openxmlformats.org/drawingml/2006/picture">
                <pic:pic>
                  <pic:nvPicPr>
                    <pic:cNvPr id="7" name="image-ae7a8237641eb7805ee52634a0a9891afbf017fb.jpg" descr=""/>
                    <pic:cNvPicPr/>
                  </pic:nvPicPr>
                  <pic:blipFill>
                    <a:blip r:embed="rId11" cstate="print"/>
                    <a:srcRect b="0" l="0" r="0" t="0"/>
                    <a:stretch>
                      <a:fillRect/>
                    </a:stretch>
                  </pic:blipFill>
                  <pic:spPr>
                    <a:xfrm>
                      <a:off x="0" y="0"/>
                      <a:ext cx="5486400" cy="5005013"/>
                    </a:xfrm>
                    <a:prstGeom prst="rect"/>
                  </pic:spPr>
                </pic:pic>
              </a:graphicData>
            </a:graphic>
          </wp:inline>
        </w:drawing>
      </w:r>
    </w:p>
    <w:p>
      <w:pPr>
        <w:spacing w:lineRule="auto"/>
      </w:pPr>
      <w:r>
        <w:rPr>
          <w:rFonts w:eastAsia="Georgia" w:cs="Georgia" w:ascii="Georgia" w:hAnsi="Georgia"/>
        </w:rPr>
        <w:t xml:space="preserve">Figure 7 - Choix de deux domaines cubiques GICE et HBDF de même centre O mais d'orientations différentes, telles que </w:t>
      </w:r>
      <m:oMath>
        <m:sSub>
          <m:sSubPr/>
          <m:e>
            <m:acc>
              <m:accPr>
                <m:chr m:val="⃗"/>
              </m:accPr>
              <m:e>
                <m:r>
                  <m:rPr>
                    <m:sty m:val="i"/>
                  </m:rPr>
                  <m:t>u</m:t>
                </m:r>
              </m:e>
            </m:acc>
          </m:e>
          <m:sub>
            <m:r>
              <m:rPr>
                <m:sty m:val="i"/>
              </m:rPr>
              <m:t>X</m:t>
            </m:r>
          </m:sub>
        </m:sSub>
        <m:r>
          <m:rPr>
            <m:sty m:val="p"/>
          </m:rPr>
          <m:t>=</m:t>
        </m:r>
        <m:d>
          <m:dPr>
            <m:begChr m:val="("/>
            <m:endChr m:val=")"/>
            <m:ctrlPr>
              <w:rPr>
                <w:rFonts w:ascii="Cambria Math" w:hAnsi="Cambria Math"/>
              </w:rPr>
            </m:ctrlPr>
          </m:dPr>
          <m:e>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z</m:t>
                </m:r>
              </m:sub>
            </m:sSub>
          </m:e>
        </m:d>
        <m:r>
          <m:rPr>
            <m:sty m:val="p"/>
          </m:rPr>
          <m:t>/</m:t>
        </m:r>
        <m:rad>
          <m:radPr>
            <m:degHide m:val="1"/>
            <m:ctrlPr>
              <w:rPr>
                <w:rFonts w:ascii="Cambria Math" w:hAnsi="Cambria Math"/>
              </w:rPr>
            </m:ctrlPr>
          </m:radPr>
          <m:deg/>
          <m:e>
            <m:r>
              <m:rPr>
                <m:sty m:val="p"/>
              </m:rPr>
              <m:t>2</m:t>
            </m:r>
          </m:e>
        </m:rad>
      </m:oMath>
      <w:r>
        <w:rPr/>
        <w:t xml:space="preserve"> et </w:t>
      </w:r>
      <m:oMath>
        <m:sSub>
          <m:sSubPr/>
          <m:e>
            <m:acc>
              <m:accPr>
                <m:chr m:val="⃗"/>
              </m:accPr>
              <m:e>
                <m:r>
                  <m:rPr>
                    <m:sty m:val="i"/>
                  </m:rPr>
                  <m:t>u</m:t>
                </m:r>
              </m:e>
            </m:acc>
          </m:e>
          <m:sub>
            <m:r>
              <m:rPr>
                <m:sty m:val="i"/>
              </m:rPr>
              <m:t>Z</m:t>
            </m:r>
          </m:sub>
        </m:sSub>
        <m:r>
          <m:rPr>
            <m:sty m:val="p"/>
          </m:rPr>
          <m:t>=</m:t>
        </m:r>
        <m:d>
          <m:dPr>
            <m:begChr m:val="("/>
            <m:endChr m:val=")"/>
            <m:ctrlPr>
              <w:rPr>
                <w:rFonts w:ascii="Cambria Math" w:hAnsi="Cambria Math"/>
              </w:rPr>
            </m:ctrlPr>
          </m:dPr>
          <m:e>
            <m:r>
              <m:rPr>
                <m:sty m:val="p"/>
              </m:rPr>
              <m:t>−</m:t>
            </m:r>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z</m:t>
                </m:r>
              </m:sub>
            </m:sSub>
          </m:e>
        </m:d>
        <m:r>
          <m:rPr>
            <m:sty m:val="p"/>
          </m:rPr>
          <m:t>/</m:t>
        </m:r>
        <m:rad>
          <m:radPr>
            <m:degHide m:val="1"/>
            <m:ctrlPr>
              <w:rPr>
                <w:rFonts w:ascii="Cambria Math" w:hAnsi="Cambria Math"/>
              </w:rPr>
            </m:ctrlPr>
          </m:radPr>
          <m:deg/>
          <m:e>
            <m:r>
              <m:rPr>
                <m:sty m:val="p"/>
              </m:rPr>
              <m:t>2</m:t>
            </m:r>
          </m:e>
        </m:rad>
      </m:oMath>
      <w:r>
        <w:rPr/>
        <w:t xml:space="preserve">.</w:t>
      </w:r>
    </w:p>
    <w:p>
      <w:pPr>
        <w:numPr>
          <w:ilvl w:val="0"/>
          <w:numId w:val="8"/>
        </w:numPr>
        <w:spacing w:lineRule="auto"/>
      </w:pPr>
      <w:r>
        <w:rPr>
          <w:rFonts w:eastAsia="Georgia" w:cs="Georgia" w:ascii="Georgia" w:hAnsi="Georgia"/>
        </w:rPr>
        <w:t xml:space="preserve">En traduisant l'équilibre du domaine BCD , établir que la face de vecteur normal </w:t>
      </w:r>
      <m:oMath>
        <m:sSub>
          <m:sSubPr/>
          <m:e>
            <m:acc>
              <m:accPr>
                <m:chr m:val="⃗"/>
              </m:accPr>
              <m:e>
                <m:r>
                  <m:rPr>
                    <m:sty m:val="i"/>
                  </m:rPr>
                  <m:t>u</m:t>
                </m:r>
              </m:e>
            </m:acc>
          </m:e>
          <m:sub>
            <m:r>
              <m:rPr>
                <m:sty m:val="i"/>
              </m:rPr>
              <m:t>X</m:t>
            </m:r>
          </m:sub>
        </m:sSub>
      </m:oMath>
      <w:r>
        <w:rPr>
          <w:rFonts w:eastAsia="Georgia" w:cs="Georgia" w:ascii="Georgia" w:hAnsi="Georgia"/>
        </w:rPr>
        <w:t xml:space="preserve"> du domaine HBDF n'est soumis qu'à une contrainte normale </w:t>
      </w:r>
      <m:oMath>
        <m:sSub>
          <m:sSubPr/>
          <m:e>
            <m:acc>
              <m:accPr>
                <m:chr m:val="⃗"/>
              </m:accPr>
              <m:e>
                <m:r>
                  <m:rPr>
                    <m:sty m:val="i"/>
                  </m:rPr>
                  <m:t>σ</m:t>
                </m:r>
              </m:e>
            </m:acc>
          </m:e>
          <m:sub>
            <m:r>
              <m:rPr>
                <m:sty m:val="p"/>
              </m:rPr>
              <m:t>1</m:t>
            </m:r>
          </m:sub>
        </m:sSub>
        <m:r>
          <m:rPr>
            <m:sty m:val="p"/>
          </m:rPr>
          <m:t>=</m:t>
        </m:r>
        <m:r>
          <m:rPr>
            <m:sty m:val="i"/>
          </m:rPr>
          <m:t>σ</m:t>
        </m:r>
        <m:sSub>
          <m:sSubPr/>
          <m:e>
            <m:acc>
              <m:accPr>
                <m:chr m:val="⃗"/>
              </m:accPr>
              <m:e>
                <m:r>
                  <m:rPr>
                    <m:sty m:val="i"/>
                  </m:rPr>
                  <m:t>u</m:t>
                </m:r>
              </m:e>
            </m:acc>
          </m:e>
          <m:sub>
            <m:r>
              <m:rPr>
                <m:sty m:val="i"/>
              </m:rPr>
              <m:t>X</m:t>
            </m:r>
          </m:sub>
        </m:sSub>
      </m:oMath>
      <w:r>
        <w:rPr/>
        <w:t xml:space="preserve">. Exprimer </w:t>
      </w:r>
      <m:oMath>
        <m:r>
          <m:rPr>
            <m:sty m:val="i"/>
          </m:rPr>
          <m:t>σ</m:t>
        </m:r>
      </m:oMath>
      <w:r>
        <w:rPr/>
        <w:t xml:space="preserve"> en fonction de </w:t>
      </w:r>
      <m:oMath>
        <m:r>
          <m:rPr>
            <m:sty m:val="i"/>
          </m:rPr>
          <m:t>τ</m:t>
        </m:r>
      </m:oMath>
      <w:r>
        <w:rPr/>
        <w:t xml:space="preserve">.</w:t>
      </w:r>
    </w:p>
    <w:p>
      <w:pPr>
        <w:numPr>
          <w:ilvl w:val="0"/>
          <w:numId w:val="8"/>
        </w:numPr>
        <w:spacing w:lineRule="auto"/>
      </w:pPr>
      <w:r>
        <w:rPr>
          <w:rFonts w:eastAsia="Georgia" w:cs="Georgia" w:ascii="Georgia" w:hAnsi="Georgia"/>
        </w:rPr>
        <w:t xml:space="preserve">De même, exprimer </w:t>
      </w:r>
      <m:oMath>
        <m:sSub>
          <m:sSubPr/>
          <m:e>
            <m:acc>
              <m:accPr>
                <m:chr m:val="⃗"/>
              </m:accPr>
              <m:e>
                <m:r>
                  <m:rPr>
                    <m:sty m:val="i"/>
                  </m:rPr>
                  <m:t>σ</m:t>
                </m:r>
              </m:e>
            </m:acc>
          </m:e>
          <m:sub>
            <m:r>
              <m:rPr>
                <m:sty m:val="p"/>
              </m:rPr>
              <m:t>2</m:t>
            </m:r>
          </m:sub>
        </m:sSub>
      </m:oMath>
      <w:r>
        <w:rPr/>
        <w:t xml:space="preserve">.</w:t>
      </w:r>
    </w:p>
    <w:p>
      <w:pPr>
        <w:numPr>
          <w:ilvl w:val="0"/>
          <w:numId w:val="8"/>
        </w:numPr>
        <w:spacing w:lineRule="auto"/>
      </w:pPr>
      <w:r>
        <w:rPr>
          <w:rFonts w:eastAsia="Georgia" w:cs="Georgia" w:ascii="Georgia" w:hAnsi="Georgia"/>
        </w:rPr>
        <w:t xml:space="preserve">En considérant la déformation du domaine HBDF sous l'action des contraintes normales </w:t>
      </w:r>
      <m:oMath>
        <m:r>
          <m:rPr>
            <m:sty m:val="p"/>
          </m:rPr>
          <m:t>±</m:t>
        </m:r>
        <m:sSub>
          <m:sSubPr/>
          <m:e>
            <m:acc>
              <m:accPr>
                <m:chr m:val="⃗"/>
              </m:accPr>
              <m:e>
                <m:r>
                  <m:rPr>
                    <m:sty m:val="i"/>
                  </m:rPr>
                  <m:t>σ</m:t>
                </m:r>
              </m:e>
            </m:acc>
          </m:e>
          <m:sub>
            <m:r>
              <m:rPr>
                <m:sty m:val="p"/>
              </m:rPr>
              <m:t>1</m:t>
            </m:r>
          </m:sub>
        </m:sSub>
      </m:oMath>
      <w:r>
        <w:rPr/>
        <w:t xml:space="preserve"> et </w:t>
      </w:r>
      <m:oMath>
        <m:r>
          <m:rPr>
            <m:sty m:val="p"/>
          </m:rPr>
          <m:t>±</m:t>
        </m:r>
        <m:sSub>
          <m:sSubPr/>
          <m:e>
            <m:acc>
              <m:accPr>
                <m:chr m:val="⃗"/>
              </m:accPr>
              <m:e>
                <m:r>
                  <m:rPr>
                    <m:sty m:val="i"/>
                  </m:rPr>
                  <m:t>σ</m:t>
                </m:r>
              </m:e>
            </m:acc>
          </m:e>
          <m:sub>
            <m:r>
              <m:rPr>
                <m:sty m:val="p"/>
              </m:rPr>
              <m:t>2</m:t>
            </m:r>
          </m:sub>
        </m:sSub>
      </m:oMath>
      <w:r>
        <w:rPr>
          <w:rFonts w:eastAsia="Georgia" w:cs="Georgia" w:ascii="Georgia" w:hAnsi="Georgia"/>
        </w:rPr>
        <w:t xml:space="preserve">, exprimer le vecteur déplacement </w:t>
      </w:r>
      <m:oMath>
        <m:acc>
          <m:accPr>
            <m:chr m:val="⃗"/>
          </m:accPr>
          <m:e>
            <m:r>
              <m:rPr>
                <m:sty m:val="p"/>
              </m:rPr>
              <m:t>DD</m:t>
            </m:r>
          </m:e>
        </m:acc>
      </m:oMath>
      <w:r>
        <w:rPr>
          <w:rFonts w:eastAsia="Georgia" w:cs="Georgia" w:ascii="Georgia" w:hAnsi="Georgia"/>
        </w:rPr>
        <w:t xml:space="preserve"> correspondant du point D . On s'appuiera sur les résultats établis question (15).</w:t>
      </w:r>
    </w:p>
    <w:p>
      <w:pPr>
        <w:numPr>
          <w:ilvl w:val="0"/>
          <w:numId w:val="8"/>
        </w:numPr>
        <w:spacing w:lineRule="auto"/>
      </w:pPr>
      <w:r>
        <w:rPr>
          <w:rFonts w:eastAsia="Georgia" w:cs="Georgia" w:ascii="Georgia" w:hAnsi="Georgia"/>
        </w:rPr>
        <w:t xml:space="preserve">En considérant maintenant la déformation du domaine GICE sous l'action des contraintes de cisaillement </w:t>
      </w:r>
      <m:oMath>
        <m:r>
          <m:rPr>
            <m:sty m:val="p"/>
          </m:rPr>
          <m:t>±</m:t>
        </m:r>
        <m:sSub>
          <m:sSubPr/>
          <m:e>
            <m:acc>
              <m:accPr>
                <m:chr m:val="⃗"/>
              </m:accPr>
              <m:e>
                <m:r>
                  <m:rPr>
                    <m:sty m:val="i"/>
                  </m:rPr>
                  <m:t>τ</m:t>
                </m:r>
              </m:e>
            </m:acc>
          </m:e>
          <m:sub>
            <m:r>
              <m:rPr>
                <m:sty m:val="p"/>
              </m:rPr>
              <m:t>1</m:t>
            </m:r>
          </m:sub>
        </m:sSub>
      </m:oMath>
      <w:r>
        <w:rPr/>
        <w:t xml:space="preserve"> et </w:t>
      </w:r>
      <m:oMath>
        <m:r>
          <m:rPr>
            <m:sty m:val="p"/>
          </m:rPr>
          <m:t>±</m:t>
        </m:r>
        <m:sSub>
          <m:sSubPr/>
          <m:e>
            <m:acc>
              <m:accPr>
                <m:chr m:val="⃗"/>
              </m:accPr>
              <m:e>
                <m:r>
                  <m:rPr>
                    <m:sty m:val="i"/>
                  </m:rPr>
                  <m:t>τ</m:t>
                </m:r>
              </m:e>
            </m:acc>
          </m:e>
          <m:sub>
            <m:r>
              <m:rPr>
                <m:sty m:val="p"/>
              </m:rPr>
              <m:t>2</m:t>
            </m:r>
          </m:sub>
        </m:sSub>
      </m:oMath>
      <w:r>
        <w:rPr>
          <w:rFonts w:eastAsia="Georgia" w:cs="Georgia" w:ascii="Georgia" w:hAnsi="Georgia"/>
        </w:rPr>
        <w:t xml:space="preserve">, exprimer le déplacement horizontal ( DD ' </w:t>
      </w:r>
      <m:oMath>
        <m:sSub>
          <m:sSubPr/>
          <m:e>
            <m:r>
              <m:rPr>
                <m:sty m:val="p"/>
              </m:rPr>
              <m:t>)</m:t>
            </m:r>
          </m:e>
          <m:sub>
            <m:r>
              <m:rPr>
                <m:sty m:val="i"/>
              </m:rPr>
              <m:t>x</m:t>
            </m:r>
          </m:sub>
        </m:sSub>
      </m:oMath>
      <w:r>
        <w:rPr/>
        <w:t xml:space="preserve"> correspondant du point D .</w:t>
      </w:r>
    </w:p>
    <w:p>
      <w:pPr>
        <w:numPr>
          <w:ilvl w:val="0"/>
          <w:numId w:val="8"/>
        </w:numPr>
        <w:spacing w:lineRule="auto"/>
      </w:pPr>
      <w:r>
        <w:rPr>
          <w:rFonts w:eastAsia="Georgia" w:cs="Georgia" w:ascii="Georgia" w:hAnsi="Georgia"/>
        </w:rPr>
        <w:t xml:space="preserve">Déduire de ces résultats la relation cherchée.</w:t>
      </w:r>
    </w:p>
    <w:p>
      <w:pPr>
        <w:numPr>
          <w:ilvl w:val="0"/>
          <w:numId w:val="8"/>
        </w:numPr>
        <w:spacing w:lineRule="auto"/>
      </w:pPr>
      <w:r>
        <w:rPr>
          <w:rFonts w:eastAsia="Georgia" w:cs="Georgia" w:ascii="Georgia" w:hAnsi="Georgia"/>
        </w:rPr>
        <w:t xml:space="preserve">Certains matériaux, comprimés au delà de leur résistance à la rupture, font apparaître des plans de rupture orientés à </w:t>
      </w:r>
      <m:oMath>
        <m:sSup>
          <m:sSupPr/>
          <m:e>
            <m:r>
              <m:rPr>
                <m:sty m:val="p"/>
              </m:rPr>
              <m:t>45</m:t>
            </m:r>
          </m:e>
          <m:sup>
            <m:r>
              <m:rPr>
                <m:sty m:val="p"/>
              </m:rPr>
              <m:t>∘</m:t>
            </m:r>
          </m:sup>
        </m:sSup>
      </m:oMath>
      <w:r>
        <w:rPr>
          <w:rFonts w:eastAsia="Georgia" w:cs="Georgia" w:ascii="Georgia" w:hAnsi="Georgia"/>
        </w:rPr>
        <w:t xml:space="preserve"> par rapport à la direction de compression. C'est notamment le cas du sable humide. Expliquer qualitativement ce phénomène.</w:t>
      </w:r>
    </w:p>
    <w:p>
      <w:pPr>
        <w:spacing w:line="271" w:before="330" w:lineRule="auto"/>
      </w:pPr>
      <w:r>
        <w:rPr>
          <w:rFonts w:eastAsia="Georgia" w:cs="Georgia" w:ascii="Georgia" w:hAnsi="Georgia"/>
          <w:b/>
          <w:sz w:val="42"/>
        </w:rPr>
        <w:t xml:space="preserve">II Viscoélasticité d'une solution de polymères.</w:t>
      </w:r>
    </w:p>
    <w:p>
      <w:pPr>
        <w:spacing w:after="220" w:lineRule="auto"/>
      </w:pPr>
      <w:r>
        <w:rPr>
          <w:rFonts w:eastAsia="Georgia" w:cs="Georgia" w:ascii="Georgia" w:hAnsi="Georgia"/>
        </w:rPr>
        <w:t xml:space="preserve">Le comportement mécanique d'une solution de polymères est plus riche que celui du milieu élastique étudié dans la première partie. Par exemple, la pectine, polymère végétal présent dans les fruits, donne aux confitures une consistance intermédiaire entre celle d'un liquide et celle d'un gel. Selon sa concentration en polymères, le comportement mécanique d'une solution sera plus proche de celui d'un fluide visqueux ou de celui d'un solide élastique. Nous allons étudier le comportement d'un matériau, dit viscoélastique, intermédiaire entre ces deux cas extrêmes.</w:t>
      </w:r>
      <w:r>
        <w:rPr/>
        <w:br w:type="textWrapping"/>
      </w:r>
      <w:r>
        <w:rPr>
          <w:rFonts w:eastAsia="Georgia" w:cs="Georgia" w:ascii="Georgia" w:hAnsi="Georgia"/>
        </w:rPr>
        <w:t xml:space="preserve">Le modèle viscoélatique de Maxwell comprend un ressort et un amortisseur associés en série (voir figure (8)). Il modélise le comportement dynamique, sous contrainte uniaxiale, d'un domaine élémentaire ( </w:t>
      </w:r>
      <m:oMath>
        <m:r>
          <m:rPr>
            <m:sty m:val="i"/>
          </m:rPr>
          <m:t>a</m:t>
        </m:r>
        <m:r>
          <m:rPr>
            <m:sty m:val="p"/>
          </m:rPr>
          <m:t>×</m:t>
        </m:r>
        <m:r>
          <m:rPr>
            <m:sty m:val="i"/>
          </m:rPr>
          <m:t>a</m:t>
        </m:r>
        <m:r>
          <m:rPr>
            <m:sty m:val="p"/>
          </m:rPr>
          <m:t>×</m:t>
        </m:r>
        <m:r>
          <m:rPr>
            <m:sty m:val="i"/>
          </m:rPr>
          <m:t>a</m:t>
        </m:r>
      </m:oMath>
      <w:r>
        <w:rPr>
          <w:rFonts w:eastAsia="Georgia" w:cs="Georgia" w:ascii="Georgia" w:hAnsi="Georgia"/>
        </w:rPr>
        <w:t xml:space="preserve"> ) de solution de polymères. Toutes les grandeurs s'y rapportant, notées sur la figure (8), sont intensives; contrainte, allongement relatif et caractéristiques du</w:t>
      </w:r>
    </w:p>
    <w:p>
      <w:pPr>
        <w:spacing w:lineRule="auto"/>
        <w:jc w:val="center"/>
      </w:pPr>
      <w:r>
        <w:rPr/>
        <w:drawing>
          <wp:inline distB="0" distL="0" distR="0" distT="0">
            <wp:extent cx="5486400" cy="1091953"/>
            <wp:effectExtent b="0" l="0" r="0" t="0"/>
            <wp:docPr id="8" name="image-d4bd4abbb83df1b3e2b9e24c9a87545371f70ed3.jpg"/>
            <a:graphic>
              <a:graphicData uri="http://schemas.openxmlformats.org/drawingml/2006/picture">
                <pic:pic>
                  <pic:nvPicPr>
                    <pic:cNvPr id="8" name="image-d4bd4abbb83df1b3e2b9e24c9a87545371f70ed3.jpg" descr=""/>
                    <pic:cNvPicPr/>
                  </pic:nvPicPr>
                  <pic:blipFill>
                    <a:blip r:embed="rId12" cstate="print"/>
                    <a:srcRect b="0" l="0" r="0" t="0"/>
                    <a:stretch>
                      <a:fillRect/>
                    </a:stretch>
                  </pic:blipFill>
                  <pic:spPr>
                    <a:xfrm>
                      <a:off x="0" y="0"/>
                      <a:ext cx="5486400" cy="1091953"/>
                    </a:xfrm>
                    <a:prstGeom prst="rect"/>
                  </pic:spPr>
                </pic:pic>
              </a:graphicData>
            </a:graphic>
          </wp:inline>
        </w:drawing>
      </w:r>
    </w:p>
    <w:p>
      <w:pPr>
        <w:spacing w:lineRule="auto"/>
      </w:pPr>
      <w:r>
        <w:rPr>
          <w:rFonts w:eastAsia="Georgia" w:cs="Georgia" w:ascii="Georgia" w:hAnsi="Georgia"/>
        </w:rPr>
        <w:t xml:space="preserve">Figure 8 - Modèle de Maxwell d'un milieu viscoélastique de module d'élasticité </w:t>
      </w:r>
      <m:oMath>
        <m:r>
          <m:rPr>
            <m:sty m:val="i"/>
          </m:rPr>
          <m:t>E</m:t>
        </m:r>
      </m:oMath>
      <w:r>
        <w:rPr>
          <w:rFonts w:eastAsia="Georgia" w:cs="Georgia" w:ascii="Georgia" w:hAnsi="Georgia"/>
        </w:rPr>
        <w:t xml:space="preserve"> et de viscosité </w:t>
      </w:r>
      <m:oMath>
        <m:r>
          <m:rPr>
            <m:sty m:val="i"/>
          </m:rPr>
          <m:t>η</m:t>
        </m:r>
      </m:oMath>
      <w:r>
        <w:rPr/>
        <w:t xml:space="preserve">.</w:t>
      </w:r>
    </w:p>
    <w:p>
      <w:pPr>
        <w:spacing w:after="220" w:lineRule="auto"/>
      </w:pPr>
      <w:r>
        <w:rPr>
          <w:rFonts w:eastAsia="Georgia" w:cs="Georgia" w:ascii="Georgia" w:hAnsi="Georgia"/>
        </w:rPr>
        <w:t xml:space="preserve">ressort (module d'élasticité </w:t>
      </w:r>
      <m:oMath>
        <m:r>
          <m:rPr>
            <m:sty m:val="i"/>
          </m:rPr>
          <m:t>E</m:t>
        </m:r>
      </m:oMath>
      <w:r>
        <w:rPr>
          <w:rFonts w:eastAsia="Georgia" w:cs="Georgia" w:ascii="Georgia" w:hAnsi="Georgia"/>
        </w:rPr>
        <w:t xml:space="preserve"> ) et de l'amortisseur (viscosité </w:t>
      </w:r>
      <m:oMath>
        <m:r>
          <m:rPr>
            <m:sty m:val="i"/>
          </m:rPr>
          <m:t>η</m:t>
        </m:r>
      </m:oMath>
      <w:r>
        <w:rPr>
          <w:rFonts w:eastAsia="Georgia" w:cs="Georgia" w:ascii="Georgia" w:hAnsi="Georgia"/>
        </w:rPr>
        <w:t xml:space="preserve"> ). Le poids et les effets inertiels seront négligés devant les autres efforts.</w:t>
      </w:r>
      <w:r>
        <w:rPr/>
        <w:br w:type="textWrapping"/>
      </w:r>
      <w:r>
        <w:rPr>
          <w:rFonts w:eastAsia="Georgia" w:cs="Georgia" w:ascii="Georgia" w:hAnsi="Georgia"/>
        </w:rPr>
        <w:t xml:space="preserve">L'élément représenté figure (8) est soumis à une contrainte </w:t>
      </w:r>
      <m:oMath>
        <m:acc>
          <m:accPr>
            <m:chr m:val="⃗"/>
          </m:accPr>
          <m:e>
            <m:r>
              <m:rPr>
                <m:sty m:val="i"/>
              </m:rPr>
              <m:t>σ</m:t>
            </m:r>
          </m:e>
        </m:acc>
        <m:r>
          <m:rPr>
            <m:sty m:val="p"/>
          </m:rPr>
          <m:t>=</m:t>
        </m:r>
        <m:r>
          <m:rPr>
            <m:sty m:val="i"/>
          </m:rPr>
          <m:t>σ</m:t>
        </m:r>
        <m:sSub>
          <m:sSubPr/>
          <m:e>
            <m:acc>
              <m:accPr>
                <m:chr m:val="⃗"/>
              </m:accPr>
              <m:e>
                <m:r>
                  <m:rPr>
                    <m:sty m:val="i"/>
                  </m:rPr>
                  <m:t>u</m:t>
                </m:r>
              </m:e>
            </m:acc>
          </m:e>
          <m:sub>
            <m:r>
              <m:rPr>
                <m:sty m:val="i"/>
              </m:rPr>
              <m:t>x</m:t>
            </m:r>
          </m:sub>
        </m:sSub>
      </m:oMath>
      <w:r>
        <w:rPr>
          <w:rFonts w:eastAsia="Georgia" w:cs="Georgia" w:ascii="Georgia" w:hAnsi="Georgia"/>
        </w:rPr>
        <w:t xml:space="preserve"> dont résulte l'élongation relative globale </w:t>
      </w:r>
      <m:oMath>
        <m:r>
          <m:rPr>
            <m:sty m:val="i"/>
          </m:rPr>
          <m:t>ε</m:t>
        </m:r>
        <m:r>
          <m:rPr>
            <m:sty m:val="p"/>
          </m:rPr>
          <m:t>=</m:t>
        </m:r>
        <m:d>
          <m:dPr>
            <m:begChr m:val="("/>
            <m:endChr m:val=")"/>
            <m:ctrlPr>
              <w:rPr>
                <w:rFonts w:ascii="Cambria Math" w:hAnsi="Cambria Math"/>
              </w:rPr>
            </m:ctrlPr>
          </m:dPr>
          <m:e>
            <m:sSup>
              <m:sSupPr/>
              <m:e>
                <m:r>
                  <m:rPr>
                    <m:sty m:val="p"/>
                  </m:rPr>
                  <m:t>BB</m:t>
                </m:r>
              </m:e>
              <m:sup>
                <m:r>
                  <m:rPr>
                    <m:sty m:val="i"/>
                  </m:rPr>
                  <m:t>′</m:t>
                </m:r>
              </m:sup>
            </m:sSup>
          </m:e>
        </m:d>
        <m:r>
          <m:rPr>
            <m:sty m:val="p"/>
          </m:rPr>
          <m:t>/</m:t>
        </m:r>
        <m:r>
          <m:rPr>
            <m:sty m:val="i"/>
          </m:rPr>
          <m:t>a</m:t>
        </m:r>
      </m:oMath>
      <w:r>
        <w:rPr>
          <w:rFonts w:eastAsia="Georgia" w:cs="Georgia" w:ascii="Georgia" w:hAnsi="Georgia"/>
        </w:rPr>
        <w:t xml:space="preserve">, l'élongation relative du ressort </w:t>
      </w:r>
      <m:oMath>
        <m:sSub>
          <m:sSubPr/>
          <m:e>
            <m:r>
              <m:rPr>
                <m:sty m:val="i"/>
              </m:rPr>
              <m:t>ε</m:t>
            </m:r>
          </m:e>
          <m:sub>
            <m:r>
              <m:rPr>
                <m:sty m:val="p"/>
              </m:rPr>
              <m:t>e</m:t>
            </m:r>
          </m:sub>
        </m:sSub>
        <m:r>
          <m:rPr>
            <m:sty m:val="p"/>
          </m:rPr>
          <m:t>=</m:t>
        </m:r>
        <m:d>
          <m:dPr>
            <m:begChr m:val="("/>
            <m:endChr m:val=")"/>
            <m:ctrlPr>
              <w:rPr>
                <w:rFonts w:ascii="Cambria Math" w:hAnsi="Cambria Math"/>
              </w:rPr>
            </m:ctrlPr>
          </m:dPr>
          <m:e>
            <m:sSup>
              <m:sSupPr/>
              <m:e>
                <m:r>
                  <m:rPr>
                    <m:sty m:val="p"/>
                  </m:rPr>
                  <m:t>AA</m:t>
                </m:r>
              </m:e>
              <m:sup>
                <m:r>
                  <m:rPr>
                    <m:sty m:val="i"/>
                  </m:rPr>
                  <m:t>′</m:t>
                </m:r>
              </m:sup>
            </m:sSup>
          </m:e>
        </m:d>
        <m:r>
          <m:rPr>
            <m:sty m:val="p"/>
          </m:rPr>
          <m:t>/</m:t>
        </m:r>
        <m:r>
          <m:rPr>
            <m:sty m:val="i"/>
          </m:rPr>
          <m:t>a</m:t>
        </m:r>
      </m:oMath>
      <w:r>
        <w:rPr>
          <w:rFonts w:eastAsia="Georgia" w:cs="Georgia" w:ascii="Georgia" w:hAnsi="Georgia"/>
        </w:rPr>
        <w:t xml:space="preserve"> et l'élongation relative de l'amortissement </w:t>
      </w:r>
      <m:oMath>
        <m:sSub>
          <m:sSubPr/>
          <m:e>
            <m:r>
              <m:rPr>
                <m:sty m:val="i"/>
              </m:rPr>
              <m:t>ε</m:t>
            </m:r>
          </m:e>
          <m:sub>
            <m:r>
              <m:rPr>
                <m:sty m:val="p"/>
              </m:rPr>
              <m:t>v</m:t>
            </m:r>
          </m:sub>
        </m:sSub>
        <m:r>
          <m:rPr>
            <m:sty m:val="p"/>
          </m:rPr>
          <m:t>=</m:t>
        </m:r>
        <m:d>
          <m:dPr>
            <m:begChr m:val="("/>
            <m:endChr m:val=")"/>
            <m:ctrlPr>
              <w:rPr>
                <w:rFonts w:ascii="Cambria Math" w:hAnsi="Cambria Math"/>
              </w:rPr>
            </m:ctrlPr>
          </m:dPr>
          <m:e>
            <m:sSup>
              <m:sSupPr/>
              <m:e>
                <m:r>
                  <m:rPr>
                    <m:sty m:val="p"/>
                  </m:rPr>
                  <m:t>A</m:t>
                </m:r>
              </m:e>
              <m:sup>
                <m:r>
                  <m:rPr>
                    <m:sty m:val="i"/>
                  </m:rPr>
                  <m:t>′</m:t>
                </m:r>
              </m:sup>
            </m:sSup>
            <m:sSup>
              <m:sSupPr/>
              <m:e>
                <m:r>
                  <m:rPr>
                    <m:sty m:val="p"/>
                  </m:rPr>
                  <m:t>B</m:t>
                </m:r>
              </m:e>
              <m:sup>
                <m:r>
                  <m:rPr>
                    <m:sty m:val="i"/>
                  </m:rPr>
                  <m:t>′</m:t>
                </m:r>
              </m:sup>
            </m:sSup>
            <m:r>
              <m:rPr>
                <m:sty m:val="p"/>
              </m:rPr>
              <m:t>−</m:t>
            </m:r>
            <m:r>
              <m:rPr>
                <m:sty m:val="p"/>
              </m:rPr>
              <m:t>AB</m:t>
            </m:r>
          </m:e>
        </m:d>
        <m:r>
          <m:rPr>
            <m:sty m:val="p"/>
          </m:rPr>
          <m:t>/</m:t>
        </m:r>
        <m:r>
          <m:rPr>
            <m:sty m:val="i"/>
          </m:rPr>
          <m:t>a</m:t>
        </m:r>
      </m:oMath>
      <w:r>
        <w:rPr/>
        <w:t xml:space="preserve">. Nous notons </w:t>
      </w:r>
      <m:oMath>
        <m:sSub>
          <m:sSubPr/>
          <m:e>
            <m:r>
              <m:rPr>
                <m:sty m:val="i"/>
              </m:rPr>
              <m:t>σ</m:t>
            </m:r>
          </m:e>
          <m:sub>
            <m:r>
              <m:rPr>
                <m:sty m:val="p"/>
              </m:rPr>
              <m:t>e</m:t>
            </m:r>
          </m:sub>
        </m:sSub>
      </m:oMath>
      <w:r>
        <w:rPr/>
        <w:t xml:space="preserve"> la contrainte alors subie par le ressort et </w:t>
      </w:r>
      <m:oMath>
        <m:sSub>
          <m:sSubPr/>
          <m:e>
            <m:r>
              <m:rPr>
                <m:sty m:val="i"/>
              </m:rPr>
              <m:t>σ</m:t>
            </m:r>
          </m:e>
          <m:sub>
            <m:r>
              <m:rPr>
                <m:sty m:val="p"/>
              </m:rPr>
              <m:t>v</m:t>
            </m:r>
          </m:sub>
        </m:sSub>
      </m:oMath>
      <w:r>
        <w:rPr/>
        <w:t xml:space="preserve"> celle subie par l'amortisseur. Elles s'expriment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σ</m:t>
                        </m:r>
                      </m:e>
                      <m:sub>
                        <m:r>
                          <m:rPr>
                            <m:sty m:val="p"/>
                          </m:rPr>
                          <m:t>e</m:t>
                        </m:r>
                      </m:sub>
                    </m:sSub>
                    <m:r>
                      <m:rPr>
                        <m:sty m:val="p"/>
                      </m:rPr>
                      <m:t>=</m:t>
                    </m:r>
                    <m:r>
                      <m:rPr>
                        <m:sty m:val="i"/>
                      </m:rPr>
                      <m:t>E</m:t>
                    </m:r>
                    <m:sSub>
                      <m:sSubPr/>
                      <m:e>
                        <m:r>
                          <m:rPr>
                            <m:sty m:val="i"/>
                          </m:rPr>
                          <m:t>ε</m:t>
                        </m:r>
                      </m:e>
                      <m:sub>
                        <m:r>
                          <m:rPr>
                            <m:sty m:val="p"/>
                          </m:rPr>
                          <m:t>e</m:t>
                        </m:r>
                      </m:sub>
                    </m:sSub>
                  </m:e>
                </m:mr>
                <m:mr>
                  <m:e>
                    <m:sSub>
                      <m:sSubPr/>
                      <m:e>
                        <m:r>
                          <m:rPr>
                            <m:sty m:val="i"/>
                          </m:rPr>
                          <m:t>σ</m:t>
                        </m:r>
                      </m:e>
                      <m:sub>
                        <m:r>
                          <m:rPr>
                            <m:sty m:val="p"/>
                          </m:rPr>
                          <m:t>v</m:t>
                        </m:r>
                      </m:sub>
                    </m:sSub>
                    <m:r>
                      <m:rPr>
                        <m:sty m:val="p"/>
                      </m:rPr>
                      <m:t>=</m:t>
                    </m:r>
                    <m:r>
                      <m:rPr>
                        <m:sty m:val="i"/>
                      </m:rPr>
                      <m:t>η</m:t>
                    </m:r>
                    <m:sSub>
                      <m:sSubPr/>
                      <m:e>
                        <m:acc>
                          <m:accPr>
                            <m:chr m:val="˙"/>
                          </m:accPr>
                          <m:e>
                            <m:r>
                              <m:rPr>
                                <m:sty m:val="i"/>
                              </m:rPr>
                              <m:t>ε</m:t>
                            </m:r>
                          </m:e>
                        </m:acc>
                      </m:e>
                      <m:sub>
                        <m:r>
                          <m:rPr>
                            <m:sty m:val="p"/>
                          </m:rPr>
                          <m:t>v</m:t>
                        </m:r>
                      </m:sub>
                    </m:sSub>
                  </m:e>
                </m:mr>
              </m:m>
            </m:e>
          </m:d>
        </m:oMath>
      </m:oMathPara>
    </w:p>
    <w:p>
      <w:pPr>
        <w:spacing w:after="220" w:lineRule="auto"/>
      </w:pPr>
      <w:r>
        <w:rPr>
          <w:rFonts w:eastAsia="Georgia" w:cs="Georgia" w:ascii="Georgia" w:hAnsi="Georgia"/>
        </w:rPr>
        <w:t xml:space="preserve">Ces relations définissent les caractéristiques </w:t>
      </w:r>
      <m:oMath>
        <m:r>
          <m:rPr>
            <m:sty m:val="i"/>
          </m:rPr>
          <m:t>E</m:t>
        </m:r>
      </m:oMath>
      <w:r>
        <w:rPr/>
        <w:t xml:space="preserve"> et </w:t>
      </w:r>
      <m:oMath>
        <m:r>
          <m:rPr>
            <m:sty m:val="i"/>
          </m:rPr>
          <m:t>η</m:t>
        </m:r>
      </m:oMath>
      <w:r>
        <w:rPr/>
        <w:t xml:space="preserve"> (constantes) du milieu. Nous posons </w:t>
      </w:r>
      <m:oMath>
        <m:r>
          <m:rPr>
            <m:sty m:val="i"/>
          </m:rPr>
          <m:t>T</m:t>
        </m:r>
        <m:r>
          <m:rPr>
            <m:sty m:val="p"/>
          </m:rPr>
          <m:t>≡</m:t>
        </m:r>
        <m:r>
          <m:rPr>
            <m:sty m:val="i"/>
          </m:rPr>
          <m:t>η</m:t>
        </m:r>
        <m:r>
          <m:rPr>
            <m:sty m:val="p"/>
          </m:rPr>
          <m:t>/</m:t>
        </m:r>
        <m:r>
          <m:rPr>
            <m:sty m:val="i"/>
          </m:rPr>
          <m:t>E</m:t>
        </m:r>
      </m:oMath>
      <w:r>
        <w:rPr/>
        <w:t xml:space="preserve">.</w:t>
      </w:r>
      <w:r>
        <w:rPr/>
        <w:br w:type="textWrapping"/>
      </w:r>
      <w:r>
        <w:rPr>
          <w:rFonts w:eastAsia="Georgia" w:cs="Georgia" w:ascii="Georgia" w:hAnsi="Georgia"/>
        </w:rPr>
        <w:t xml:space="preserve">L'échantillon à caractériser est placé entre deux plaques parallèles de même surface </w:t>
      </w:r>
      <m:oMath>
        <m:r>
          <m:rPr>
            <m:sty m:val="i"/>
          </m:rPr>
          <m:t>S</m:t>
        </m:r>
      </m:oMath>
      <w:r>
        <w:rPr>
          <w:rFonts w:eastAsia="Georgia" w:cs="Georgia" w:ascii="Georgia" w:hAnsi="Georgia"/>
        </w:rPr>
        <w:t xml:space="preserve"> (surface mouillée par l'échantillon), séparée l'une de l'autre d'une distance </w:t>
      </w:r>
      <m:oMath>
        <m:r>
          <m:rPr>
            <m:sty m:val="i"/>
          </m:rPr>
          <m:t>d</m:t>
        </m:r>
      </m:oMath>
      <w:r>
        <w:rPr>
          <w:rFonts w:eastAsia="Georgia" w:cs="Georgia" w:ascii="Georgia" w:hAnsi="Georgia"/>
        </w:rPr>
        <w:t xml:space="preserve">. L'une est fixe et l'autre peut être mise en mouvement afin de faire varier la distance </w:t>
      </w:r>
      <m:oMath>
        <m:r>
          <m:rPr>
            <m:sty m:val="i"/>
          </m:rPr>
          <m:t>d</m:t>
        </m:r>
      </m:oMath>
      <w:r>
        <w:rPr>
          <w:rFonts w:eastAsia="Georgia" w:cs="Georgia" w:ascii="Georgia" w:hAnsi="Georgia"/>
        </w:rPr>
        <w:t xml:space="preserve"> et soumettre ainsi l'échantillon à une contrainte. Comme dans la modélisation représentée figure (8), l'échantillon se comporte, globalement, comme l'association, en série, d'un ressort de raideur </w:t>
      </w:r>
      <m:oMath>
        <m:r>
          <m:rPr>
            <m:sty m:val="i"/>
          </m:rPr>
          <m:t>k</m:t>
        </m:r>
      </m:oMath>
      <w:r>
        <w:rPr/>
        <w:t xml:space="preserve"> et d'un amortisseur de coefficient </w:t>
      </w:r>
      <m:oMath>
        <m:r>
          <m:rPr>
            <m:sty m:val="i"/>
          </m:rPr>
          <m:t>λ</m:t>
        </m:r>
      </m:oMath>
      <w:r>
        <w:rPr/>
        <w:t xml:space="preserve"> (voir figure (9)). Ce sont les grandeurs </w:t>
      </w:r>
      <m:oMath>
        <m:r>
          <m:rPr>
            <m:sty m:val="i"/>
          </m:rPr>
          <m:t>k</m:t>
        </m:r>
      </m:oMath>
      <w:r>
        <w:rPr/>
        <w:t xml:space="preserve"> et </w:t>
      </w:r>
      <m:oMath>
        <m:r>
          <m:rPr>
            <m:sty m:val="i"/>
          </m:rPr>
          <m:t>λ</m:t>
        </m:r>
      </m:oMath>
      <w:r>
        <w:rPr>
          <w:rFonts w:eastAsia="Georgia" w:cs="Georgia" w:ascii="Georgia" w:hAnsi="Georgia"/>
        </w:rPr>
        <w:t xml:space="preserve"> qui sont mésurées par ce rhéomètre.</w:t>
      </w:r>
    </w:p>
    <w:p>
      <w:pPr>
        <w:spacing w:lineRule="auto"/>
        <w:jc w:val="center"/>
      </w:pPr>
      <w:r>
        <w:rPr/>
        <w:drawing>
          <wp:inline distB="0" distL="0" distR="0" distT="0">
            <wp:extent cx="5486400" cy="2357846"/>
            <wp:effectExtent b="0" l="0" r="0" t="0"/>
            <wp:docPr id="9" name="image-dc43ffc77483ed139df9cf12d000788091a6af57.jpg"/>
            <a:graphic>
              <a:graphicData uri="http://schemas.openxmlformats.org/drawingml/2006/picture">
                <pic:pic>
                  <pic:nvPicPr>
                    <pic:cNvPr id="9" name="image-dc43ffc77483ed139df9cf12d000788091a6af57.jpg" descr=""/>
                    <pic:cNvPicPr/>
                  </pic:nvPicPr>
                  <pic:blipFill>
                    <a:blip r:embed="rId13" cstate="print"/>
                    <a:srcRect b="0" l="0" r="0" t="0"/>
                    <a:stretch>
                      <a:fillRect/>
                    </a:stretch>
                  </pic:blipFill>
                  <pic:spPr>
                    <a:xfrm>
                      <a:off x="0" y="0"/>
                      <a:ext cx="5486400" cy="2357846"/>
                    </a:xfrm>
                    <a:prstGeom prst="rect"/>
                  </pic:spPr>
                </pic:pic>
              </a:graphicData>
            </a:graphic>
          </wp:inline>
        </w:drawing>
      </w:r>
    </w:p>
    <w:p>
      <w:pPr>
        <w:spacing w:lineRule="auto"/>
      </w:pPr>
      <w:r>
        <w:rPr>
          <w:rFonts w:eastAsia="Georgia" w:cs="Georgia" w:ascii="Georgia" w:hAnsi="Georgia"/>
        </w:rPr>
        <w:t xml:space="preserve">Figure 9 -Échantillon viscoélastique (en gris) placé entre les plaques d'un rhéomètre élongationnel ( </w:t>
      </w:r>
      <m:oMath>
        <m:d>
          <m:dPr>
            <m:begChr m:val="|"/>
            <m:endChr m:val="|"/>
            <m:ctrlPr>
              <w:rPr>
                <w:rFonts w:ascii="Cambria Math" w:hAnsi="Cambria Math"/>
              </w:rPr>
            </m:ctrlPr>
          </m:dPr>
          <m:e>
            <m:sSub>
              <m:sSubPr/>
              <m:e>
                <m:r>
                  <m:rPr>
                    <m:sty m:val="i"/>
                  </m:rPr>
                  <m:t>d</m:t>
                </m:r>
              </m:e>
              <m:sub>
                <m:r>
                  <m:rPr>
                    <m:sty m:val="p"/>
                  </m:rPr>
                  <m:t>1</m:t>
                </m:r>
              </m:sub>
            </m:sSub>
          </m:e>
        </m:d>
        <m:r>
          <m:rPr>
            <m:sty m:val="p"/>
          </m:rPr>
          <m:t>≪</m:t>
        </m:r>
        <m:sSub>
          <m:sSubPr/>
          <m:e>
            <m:r>
              <m:rPr>
                <m:sty m:val="i"/>
              </m:rPr>
              <m:t>d</m:t>
            </m:r>
          </m:e>
          <m:sub>
            <m:r>
              <m:rPr>
                <m:sty m:val="p"/>
              </m:rPr>
              <m:t>0</m:t>
            </m:r>
          </m:sub>
        </m:sSub>
      </m:oMath>
      <w:r>
        <w:rPr/>
        <w:t xml:space="preserve"> ).</w:t>
      </w:r>
    </w:p>
    <w:p>
      <w:pPr>
        <w:numPr>
          <w:ilvl w:val="0"/>
          <w:numId w:val="9"/>
        </w:numPr>
        <w:spacing w:lineRule="auto"/>
      </w:pPr>
      <w:r>
        <w:rPr>
          <w:rFonts w:eastAsia="Georgia" w:cs="Georgia" w:ascii="Georgia" w:hAnsi="Georgia"/>
        </w:rPr>
        <w:t xml:space="preserve">Cette modélisation viscoélastique est-elle linéaire?</w:t>
      </w:r>
    </w:p>
    <w:p>
      <w:pPr>
        <w:numPr>
          <w:ilvl w:val="0"/>
          <w:numId w:val="9"/>
        </w:numPr>
        <w:spacing w:lineRule="auto"/>
      </w:pPr>
      <w:r>
        <w:rPr>
          <w:rFonts w:eastAsia="Georgia" w:cs="Georgia" w:ascii="Georgia" w:hAnsi="Georgia"/>
        </w:rPr>
        <w:t xml:space="preserve">Préciser si le modèle de Maxwell est-il plus adapté à la description d'un solide viscoélastique ou à celle d'un fluide viscoélastique.</w:t>
      </w:r>
    </w:p>
    <w:p>
      <w:pPr>
        <w:numPr>
          <w:ilvl w:val="0"/>
          <w:numId w:val="9"/>
        </w:numPr>
        <w:spacing w:lineRule="auto"/>
      </w:pPr>
      <w:r>
        <w:rPr>
          <w:rFonts w:eastAsia="Georgia" w:cs="Georgia" w:ascii="Georgia" w:hAnsi="Georgia"/>
        </w:rPr>
        <w:t xml:space="preserve">Établir le lien entre chacune des caractéristiques </w:t>
      </w:r>
      <m:oMath>
        <m:r>
          <m:rPr>
            <m:sty m:val="i"/>
          </m:rPr>
          <m:t>E</m:t>
        </m:r>
      </m:oMath>
      <w:r>
        <w:rPr/>
        <w:t xml:space="preserve"> et </w:t>
      </w:r>
      <m:oMath>
        <m:r>
          <m:rPr>
            <m:sty m:val="i"/>
          </m:rPr>
          <m:t>η</m:t>
        </m:r>
      </m:oMath>
      <w:r>
        <w:rPr>
          <w:rFonts w:eastAsia="Georgia" w:cs="Georgia" w:ascii="Georgia" w:hAnsi="Georgia"/>
        </w:rPr>
        <w:t xml:space="preserve"> du milieu et les grandeurs mesurées </w:t>
      </w:r>
      <m:oMath>
        <m:r>
          <m:rPr>
            <m:sty m:val="i"/>
          </m:rPr>
          <m:t>k</m:t>
        </m:r>
      </m:oMath>
      <w:r>
        <w:rPr/>
        <w:t xml:space="preserve"> et </w:t>
      </w:r>
      <m:oMath>
        <m:r>
          <m:rPr>
            <m:sty m:val="i"/>
          </m:rPr>
          <m:t>λ</m:t>
        </m:r>
      </m:oMath>
      <w:r>
        <w:rPr>
          <w:rFonts w:eastAsia="Georgia" w:cs="Georgia" w:ascii="Georgia" w:hAnsi="Georgia"/>
        </w:rPr>
        <w:t xml:space="preserve">, ainsi que les paramètres géométriques du rhéomètre.</w:t>
      </w:r>
    </w:p>
    <w:p>
      <w:pPr>
        <w:numPr>
          <w:ilvl w:val="0"/>
          <w:numId w:val="9"/>
        </w:numPr>
        <w:spacing w:lineRule="auto"/>
      </w:pPr>
      <w:r>
        <w:rPr>
          <w:rFonts w:eastAsia="Georgia" w:cs="Georgia" w:ascii="Georgia" w:hAnsi="Georgia"/>
        </w:rPr>
        <w:t xml:space="preserve">Établir l'équation différentielle reliant </w:t>
      </w:r>
      <m:oMath>
        <m:r>
          <m:rPr>
            <m:sty m:val="i"/>
          </m:rPr>
          <m:t>σ</m:t>
        </m:r>
      </m:oMath>
      <w:r>
        <w:rPr/>
        <w:t xml:space="preserve"> et </w:t>
      </w:r>
      <m:oMath>
        <m:r>
          <m:rPr>
            <m:sty m:val="i"/>
          </m:rPr>
          <m:t>ε</m:t>
        </m:r>
      </m:oMath>
      <w:r>
        <w:rPr>
          <w:rFonts w:eastAsia="Georgia" w:cs="Georgia" w:ascii="Georgia" w:hAnsi="Georgia"/>
        </w:rPr>
        <w:t xml:space="preserve"> et dans laquelle on fera apparaître </w:t>
      </w:r>
      <m:oMath>
        <m:r>
          <m:rPr>
            <m:sty m:val="i"/>
          </m:rPr>
          <m:t>E</m:t>
        </m:r>
      </m:oMath>
      <w:r>
        <w:rPr/>
        <w:t xml:space="preserve"> et </w:t>
      </w:r>
      <m:oMath>
        <m:r>
          <m:rPr>
            <m:sty m:val="i"/>
          </m:rPr>
          <m:t>T</m:t>
        </m:r>
      </m:oMath>
      <w:r>
        <w:rPr/>
        <w:t xml:space="preserve">.</w:t>
      </w:r>
    </w:p>
    <w:p>
      <w:pPr>
        <w:numPr>
          <w:ilvl w:val="0"/>
          <w:numId w:val="9"/>
        </w:numPr>
        <w:spacing w:lineRule="auto"/>
      </w:pPr>
      <w:r>
        <w:rPr>
          <w:rFonts w:eastAsia="Georgia" w:cs="Georgia" w:ascii="Georgia" w:hAnsi="Georgia"/>
        </w:rPr>
        <w:t xml:space="preserve">En précisant le raisonnement conduit ainsi que les correspondances établies, proposer un analogue électrique au modèle de Maxwell.</w:t>
      </w:r>
    </w:p>
    <w:p>
      <w:pPr>
        <w:spacing w:after="220" w:lineRule="auto"/>
      </w:pPr>
      <w:r>
        <w:rPr>
          <w:rFonts w:eastAsia="Georgia" w:cs="Georgia" w:ascii="Georgia" w:hAnsi="Georgia"/>
        </w:rPr>
        <w:t xml:space="preserve">Le rhéomètre impose au matériau viscoélastique une déformation oscillante de la forme :</w:t>
      </w:r>
    </w:p>
    <w:p>
      <w:pPr>
        <w:spacing w:after="220" w:lineRule="auto"/>
      </w:pPr>
      <m:oMathPara>
        <m:oMath>
          <m:bar>
            <m:barPr/>
            <m:e>
              <m:r>
                <m:rPr>
                  <m:sty m:val="i"/>
                </m:rPr>
                <m:t>ε</m:t>
              </m:r>
            </m:e>
          </m:bar>
          <m:r>
            <m:rPr>
              <m:sty m:val="p"/>
            </m:rPr>
            <m:t>(</m:t>
          </m:r>
          <m:r>
            <m:rPr>
              <m:sty m:val="i"/>
            </m:rPr>
            <m:t>t</m:t>
          </m:r>
          <m:r>
            <m:rPr>
              <m:sty m:val="p"/>
            </m:rPr>
            <m:t>)</m:t>
          </m:r>
          <m:r>
            <m:rPr>
              <m:sty m:val="p"/>
            </m:rPr>
            <m:t>=</m:t>
          </m:r>
          <m:sSub>
            <m:sSubPr/>
            <m:e>
              <m:r>
                <m:rPr>
                  <m:sty m:val="i"/>
                </m:rPr>
                <m:t>ε</m:t>
              </m:r>
            </m:e>
            <m:sub>
              <m:r>
                <m:rPr>
                  <m:sty m:val="p"/>
                </m:rPr>
                <m:t>0</m:t>
              </m:r>
            </m:sub>
          </m:sSub>
          <m:r>
            <m:rPr>
              <m:sty m:val="p"/>
            </m:rPr>
            <m:t>exp</m:t>
          </m:r>
          <m:r>
            <m:rPr>
              <m:sty m:val="p"/>
            </m:rPr>
            <m:t>⁡</m:t>
          </m:r>
          <m:r>
            <m:rPr>
              <m:sty m:val="p"/>
            </m:rPr>
            <m:t>(</m:t>
          </m:r>
          <m:r>
            <m:rPr>
              <m:sty m:val="i"/>
            </m:rPr>
            <m:t>i</m:t>
          </m:r>
          <m:r>
            <m:rPr>
              <m:sty m:val="i"/>
            </m:rPr>
            <m:t>ω</m:t>
          </m:r>
          <m:r>
            <m:rPr>
              <m:sty m:val="i"/>
            </m:rPr>
            <m:t>t</m:t>
          </m:r>
          <m:r>
            <m:rPr>
              <m:sty m:val="p"/>
            </m:rPr>
            <m:t>)</m:t>
          </m:r>
          <m:r>
            <m:rPr>
              <m:sty m:val="p"/>
            </m:rPr>
            <m:t xml:space="preserve"> </m:t>
          </m:r>
          <m:d>
            <m:dPr>
              <m:begChr m:val="("/>
              <m:endChr m:val=")"/>
              <m:ctrlPr>
                <w:rPr>
                  <w:rFonts w:ascii="Cambria Math" w:hAnsi="Cambria Math"/>
                </w:rPr>
              </m:ctrlPr>
            </m:dPr>
            <m:e>
              <m:sSub>
                <m:sSubPr/>
                <m:e>
                  <m:r>
                    <m:rPr>
                      <m:sty m:val="i"/>
                    </m:rPr>
                    <m:t>ε</m:t>
                  </m:r>
                </m:e>
                <m:sub>
                  <m:r>
                    <m:rPr>
                      <m:sty m:val="p"/>
                    </m:rPr>
                    <m:t>0</m:t>
                  </m:r>
                </m:sub>
              </m:sSub>
              <m:r>
                <m:rPr>
                  <m:sty m:val="p"/>
                </m:rPr>
                <m:t>∈</m:t>
              </m:r>
              <m:sSubSup>
                <m:sSubSupPr/>
                <m:e>
                  <m:r>
                    <m:rPr>
                      <m:scr m:val="double-struck"/>
                    </m:rPr>
                    <m:t>R</m:t>
                  </m:r>
                </m:e>
                <m:sub>
                  <m:r>
                    <m:rPr>
                      <m:sty m:val="p"/>
                    </m:rPr>
                    <m:t>+</m:t>
                  </m:r>
                </m:sub>
                <m:sup>
                  <m:r>
                    <m:rPr>
                      <m:sty m:val="p"/>
                    </m:rPr>
                    <m:t>⋆</m:t>
                  </m:r>
                </m:sup>
              </m:sSubSup>
            </m:e>
          </m:d>
        </m:oMath>
      </m:oMathPara>
    </w:p>
    <w:p>
      <w:pPr>
        <w:spacing w:after="220" w:lineRule="auto"/>
      </w:pPr>
      <w:r>
        <w:rPr>
          <w:rFonts w:eastAsia="Georgia" w:cs="Georgia" w:ascii="Georgia" w:hAnsi="Georgia"/>
        </w:rPr>
        <w:t xml:space="preserve">et l'on recherche alors sa réponse sous la forme :</w:t>
      </w:r>
    </w:p>
    <w:p>
      <w:pPr>
        <w:spacing w:after="220" w:lineRule="auto"/>
      </w:pPr>
      <m:oMathPara>
        <m:oMath>
          <m:bar>
            <m:barPr/>
            <m:e>
              <m:r>
                <m:rPr>
                  <m:sty m:val="i"/>
                </m:rPr>
                <m:t>σ</m:t>
              </m:r>
            </m:e>
          </m:bar>
          <m:r>
            <m:rPr>
              <m:sty m:val="p"/>
            </m:rPr>
            <m:t>(</m:t>
          </m:r>
          <m:r>
            <m:rPr>
              <m:sty m:val="i"/>
            </m:rPr>
            <m:t>t</m:t>
          </m:r>
          <m:r>
            <m:rPr>
              <m:sty m:val="p"/>
            </m:rPr>
            <m:t>)</m:t>
          </m:r>
          <m:r>
            <m:rPr>
              <m:sty m:val="p"/>
            </m:rPr>
            <m:t>=</m:t>
          </m:r>
          <m:bar>
            <m:barPr/>
            <m:e>
              <m:sSub>
                <m:sSubPr/>
                <m:e>
                  <m:r>
                    <m:rPr>
                      <m:sty m:val="i"/>
                    </m:rPr>
                    <m:t>σ</m:t>
                  </m:r>
                </m:e>
                <m:sub>
                  <m:r>
                    <m:rPr>
                      <m:sty m:val="p"/>
                    </m:rPr>
                    <m:t>0</m:t>
                  </m:r>
                </m:sub>
              </m:sSub>
            </m:e>
          </m:bar>
          <m:r>
            <m:rPr>
              <m:sty m:val="p"/>
            </m:rPr>
            <m:t>exp</m:t>
          </m:r>
          <m:r>
            <m:rPr>
              <m:sty m:val="p"/>
            </m:rPr>
            <m:t>⁡</m:t>
          </m:r>
          <m:r>
            <m:rPr>
              <m:sty m:val="p"/>
            </m:rPr>
            <m:t>(</m:t>
          </m:r>
          <m:r>
            <m:rPr>
              <m:sty m:val="i"/>
            </m:rPr>
            <m:t>i</m:t>
          </m:r>
          <m:r>
            <m:rPr>
              <m:sty m:val="i"/>
            </m:rPr>
            <m:t>ω</m:t>
          </m:r>
          <m:r>
            <m:rPr>
              <m:sty m:val="i"/>
            </m:rPr>
            <m:t>t</m:t>
          </m:r>
          <m:r>
            <m:rPr>
              <m:sty m:val="p"/>
            </m:rPr>
            <m:t>)</m:t>
          </m:r>
          <m:r>
            <m:rPr>
              <m:sty m:val="p"/>
            </m:rPr>
            <m:t>=</m:t>
          </m:r>
          <m:bar>
            <m:barPr/>
            <m:e>
              <m:r>
                <m:rPr>
                  <m:sty m:val="i"/>
                </m:rPr>
                <m:t>E</m:t>
              </m:r>
            </m:e>
          </m:bar>
          <m:r>
            <m:rPr>
              <m:sty m:val="p"/>
            </m:rPr>
            <m:t>(</m:t>
          </m:r>
          <m:r>
            <m:rPr>
              <m:sty m:val="i"/>
            </m:rPr>
            <m:t>i</m:t>
          </m:r>
          <m:r>
            <m:rPr>
              <m:sty m:val="i"/>
            </m:rPr>
            <m:t>ω</m:t>
          </m:r>
          <m:r>
            <m:rPr>
              <m:sty m:val="p"/>
            </m:rPr>
            <m:t>)</m:t>
          </m:r>
          <m:bar>
            <m:barPr/>
            <m:e>
              <m:r>
                <m:rPr>
                  <m:sty m:val="i"/>
                </m:rPr>
                <m:t>ε</m:t>
              </m:r>
            </m:e>
          </m:bar>
          <m:r>
            <m:rPr>
              <m:sty m:val="p"/>
            </m:rPr>
            <m:t>(</m:t>
          </m:r>
          <m:r>
            <m:rPr>
              <m:sty m:val="i"/>
            </m:rPr>
            <m:t>t</m:t>
          </m:r>
          <m:r>
            <m:rPr>
              <m:sty m:val="p"/>
            </m:rPr>
            <m:t>)</m:t>
          </m:r>
        </m:oMath>
      </m:oMathPara>
    </w:p>
    <w:p>
      <w:pPr>
        <w:spacing w:after="220" w:lineRule="auto"/>
      </w:pPr>
      <w:r>
        <w:rPr>
          <w:rFonts w:eastAsia="Georgia" w:cs="Georgia" w:ascii="Georgia" w:hAnsi="Georgia"/>
        </w:rPr>
        <w:t xml:space="preserve">Cette relation définit le module d'élasticité complexe </w:t>
      </w:r>
      <m:oMath>
        <m:bar>
          <m:barPr/>
          <m:e>
            <m:r>
              <m:rPr>
                <m:sty m:val="i"/>
              </m:rPr>
              <m:t>E</m:t>
            </m:r>
          </m:e>
        </m:bar>
        <m:r>
          <m:rPr>
            <m:sty m:val="p"/>
          </m:rPr>
          <m:t>=</m:t>
        </m:r>
        <m:sSup>
          <m:sSupPr/>
          <m:e>
            <m:r>
              <m:rPr>
                <m:sty m:val="i"/>
              </m:rPr>
              <m:t>E</m:t>
            </m:r>
          </m:e>
          <m:sup>
            <m:r>
              <m:rPr>
                <m:sty m:val="i"/>
              </m:rPr>
              <m:t>′</m:t>
            </m:r>
          </m:sup>
        </m:sSup>
        <m:r>
          <m:rPr>
            <m:sty m:val="p"/>
          </m:rPr>
          <m:t>+</m:t>
        </m:r>
        <m:r>
          <m:rPr>
            <m:sty m:val="i"/>
          </m:rPr>
          <m:t>i</m:t>
        </m:r>
        <m:sSup>
          <m:sSupPr/>
          <m:e>
            <m:r>
              <m:rPr>
                <m:sty m:val="i"/>
              </m:rPr>
              <m:t>E</m:t>
            </m:r>
          </m:e>
          <m:sup>
            <m:r>
              <m:rPr>
                <m:sty m:val="i"/>
              </m:rPr>
              <m:t>′</m:t>
            </m:r>
            <m:r>
              <m:rPr>
                <m:sty m:val="i"/>
              </m:rPr>
              <m:t>′</m:t>
            </m:r>
          </m:sup>
        </m:sSup>
      </m:oMath>
      <w:r>
        <w:rPr/>
        <w:t xml:space="preserve">.</w:t>
      </w:r>
      <w:r>
        <w:rPr/>
        <w:br w:type="textWrapping"/>
      </w:r>
      <w:r>
        <w:rPr>
          <w:rFonts w:eastAsia="Georgia" w:cs="Georgia" w:ascii="Georgia" w:hAnsi="Georgia"/>
        </w:rPr>
        <w:t xml:space="preserve">30. Déterminer </w:t>
      </w:r>
      <m:oMath>
        <m:bar>
          <m:barPr/>
          <m:e>
            <m:r>
              <m:rPr>
                <m:sty m:val="i"/>
              </m:rPr>
              <m:t>E</m:t>
            </m:r>
          </m:e>
        </m:bar>
      </m:oMath>
      <w:r>
        <w:rPr/>
        <w:t xml:space="preserve"> puis exprimer ses composantes </w:t>
      </w:r>
      <m:oMath>
        <m:sSup>
          <m:sSupPr/>
          <m:e>
            <m:r>
              <m:rPr>
                <m:sty m:val="i"/>
              </m:rPr>
              <m:t>E</m:t>
            </m:r>
          </m:e>
          <m:sup>
            <m:r>
              <m:rPr>
                <m:sty m:val="i"/>
              </m:rPr>
              <m:t>′</m:t>
            </m:r>
          </m:sup>
        </m:sSup>
      </m:oMath>
      <w:r>
        <w:rPr>
          <w:rFonts w:eastAsia="Georgia" w:cs="Georgia" w:ascii="Georgia" w:hAnsi="Georgia"/>
        </w:rPr>
        <w:t xml:space="preserve">, appelée module de conservation, et </w:t>
      </w:r>
      <m:oMath>
        <m:sSup>
          <m:sSupPr/>
          <m:e>
            <m:r>
              <m:rPr>
                <m:sty m:val="i"/>
              </m:rPr>
              <m:t>E</m:t>
            </m:r>
          </m:e>
          <m:sup>
            <m:r>
              <m:rPr>
                <m:sty m:val="i"/>
              </m:rPr>
              <m:t>′</m:t>
            </m:r>
            <m:r>
              <m:rPr>
                <m:sty m:val="i"/>
              </m:rPr>
              <m:t>′</m:t>
            </m:r>
          </m:sup>
        </m:sSup>
      </m:oMath>
      <w:r>
        <w:rPr>
          <w:rFonts w:eastAsia="Georgia" w:cs="Georgia" w:ascii="Georgia" w:hAnsi="Georgia"/>
        </w:rPr>
        <w:t xml:space="preserve"> appelée module de perte. On posera </w:t>
      </w:r>
      <m:oMath>
        <m:r>
          <m:rPr>
            <m:sty m:val="p"/>
          </m:rPr>
          <m:t>Ω</m:t>
        </m:r>
        <m:r>
          <m:rPr>
            <m:sty m:val="p"/>
          </m:rPr>
          <m:t>=</m:t>
        </m:r>
        <m:r>
          <m:rPr>
            <m:sty m:val="i"/>
          </m:rPr>
          <m:t>ω</m:t>
        </m:r>
        <m:r>
          <m:rPr>
            <m:sty m:val="i"/>
          </m:rPr>
          <m:t>T</m:t>
        </m:r>
      </m:oMath>
      <w:r>
        <w:rPr>
          <w:rFonts w:eastAsia="Georgia" w:cs="Georgia" w:ascii="Georgia" w:hAnsi="Georgia"/>
        </w:rPr>
        <w:t xml:space="preserve"> (nombre de Déborah).</w:t>
      </w:r>
      <w:r>
        <w:rPr/>
        <w:br w:type="textWrapping"/>
      </w:r>
      <w:r>
        <w:rPr>
          <w:rFonts w:eastAsia="Georgia" w:cs="Georgia" w:ascii="Georgia" w:hAnsi="Georgia"/>
        </w:rPr>
        <w:t xml:space="preserve">31. Représenter (avec soin), sur un même graphe, les fonctions </w:t>
      </w:r>
      <m:oMath>
        <m:r>
          <m:rPr>
            <m:sty m:val="p"/>
          </m:rPr>
          <m:t>log</m:t>
        </m:r>
        <m:r>
          <m:rPr>
            <m:sty m:val="p"/>
          </m:rPr>
          <m:t>⁡</m:t>
        </m:r>
        <m:d>
          <m:dPr>
            <m:begChr m:val="("/>
            <m:endChr m:val=")"/>
            <m:ctrlPr>
              <w:rPr>
                <w:rFonts w:ascii="Cambria Math" w:hAnsi="Cambria Math"/>
              </w:rPr>
            </m:ctrlPr>
          </m:dPr>
          <m:e>
            <m:sSup>
              <m:sSupPr/>
              <m:e>
                <m:r>
                  <m:rPr>
                    <m:sty m:val="i"/>
                  </m:rPr>
                  <m:t>E</m:t>
                </m:r>
              </m:e>
              <m:sup>
                <m:r>
                  <m:rPr>
                    <m:sty m:val="i"/>
                  </m:rPr>
                  <m:t>′</m:t>
                </m:r>
              </m:sup>
            </m:sSup>
            <m:r>
              <m:rPr>
                <m:sty m:val="p"/>
              </m:rPr>
              <m:t>/</m:t>
            </m:r>
            <m:r>
              <m:rPr>
                <m:sty m:val="i"/>
              </m:rPr>
              <m:t>E</m:t>
            </m:r>
          </m:e>
        </m:d>
      </m:oMath>
      <w:r>
        <w:rPr/>
        <w:t xml:space="preserve"> et </w:t>
      </w:r>
      <m:oMath>
        <m:r>
          <m:rPr>
            <m:sty m:val="p"/>
          </m:rPr>
          <m:t>log</m:t>
        </m:r>
        <m:r>
          <m:rPr>
            <m:sty m:val="p"/>
          </m:rPr>
          <m:t>⁡</m:t>
        </m:r>
        <m:d>
          <m:dPr>
            <m:begChr m:val="("/>
            <m:endChr m:val=")"/>
            <m:ctrlPr>
              <w:rPr>
                <w:rFonts w:ascii="Cambria Math" w:hAnsi="Cambria Math"/>
              </w:rPr>
            </m:ctrlPr>
          </m:dPr>
          <m:e>
            <m:sSup>
              <m:sSupPr/>
              <m:e>
                <m:r>
                  <m:rPr>
                    <m:sty m:val="i"/>
                  </m:rPr>
                  <m:t>E</m:t>
                </m:r>
              </m:e>
              <m:sup>
                <m:r>
                  <m:rPr>
                    <m:sty m:val="i"/>
                  </m:rPr>
                  <m:t>′</m:t>
                </m:r>
                <m:r>
                  <m:rPr>
                    <m:sty m:val="i"/>
                  </m:rPr>
                  <m:t>′</m:t>
                </m:r>
              </m:sup>
            </m:sSup>
            <m:r>
              <m:rPr>
                <m:sty m:val="p"/>
              </m:rPr>
              <m:t>/</m:t>
            </m:r>
            <m:r>
              <m:rPr>
                <m:sty m:val="i"/>
              </m:rPr>
              <m:t>E</m:t>
            </m:r>
          </m:e>
        </m:d>
      </m:oMath>
      <w:r>
        <w:rPr/>
        <w:t xml:space="preserve"> en fonction de </w:t>
      </w:r>
      <m:oMath>
        <m:r>
          <m:rPr>
            <m:sty m:val="p"/>
          </m:rPr>
          <m:t>log</m:t>
        </m:r>
        <m:r>
          <m:rPr>
            <m:sty m:val="p"/>
          </m:rPr>
          <m:t>⁡</m:t>
        </m:r>
        <m:r>
          <m:rPr>
            <m:sty m:val="p"/>
          </m:rPr>
          <m:t>(</m:t>
        </m:r>
        <m:r>
          <m:rPr>
            <m:sty m:val="p"/>
          </m:rPr>
          <m:t>Ω</m:t>
        </m:r>
        <m:r>
          <m:rPr>
            <m:sty m:val="p"/>
          </m:rPr>
          <m:t>)</m:t>
        </m:r>
      </m:oMath>
      <w:r>
        <w:rPr>
          <w:rFonts w:eastAsia="Georgia" w:cs="Georgia" w:ascii="Georgia" w:hAnsi="Georgia"/>
        </w:rPr>
        <w:t xml:space="preserve">. Analyser, à travers ces tracés, le comportement du milieu. On caractérisera la situation telle que </w:t>
      </w:r>
      <m:oMath>
        <m:sSup>
          <m:sSupPr/>
          <m:e>
            <m:r>
              <m:rPr>
                <m:sty m:val="i"/>
              </m:rPr>
              <m:t>E</m:t>
            </m:r>
          </m:e>
          <m:sup>
            <m:r>
              <m:rPr>
                <m:sty m:val="i"/>
              </m:rPr>
              <m:t>′</m:t>
            </m:r>
          </m:sup>
        </m:sSup>
        <m:r>
          <m:rPr>
            <m:sty m:val="p"/>
          </m:rPr>
          <m:t>=</m:t>
        </m:r>
        <m:sSup>
          <m:sSupPr/>
          <m:e>
            <m:r>
              <m:rPr>
                <m:sty m:val="i"/>
              </m:rPr>
              <m:t>E</m:t>
            </m:r>
          </m:e>
          <m:sup>
            <m:r>
              <m:rPr>
                <m:sty m:val="i"/>
              </m:rPr>
              <m:t>′</m:t>
            </m:r>
            <m:r>
              <m:rPr>
                <m:sty m:val="i"/>
              </m:rPr>
              <m:t>′</m:t>
            </m:r>
          </m:sup>
        </m:sSup>
      </m:oMath>
      <w:r>
        <w:rPr/>
        <w:t xml:space="preserve">.</w:t>
      </w:r>
      <w:r>
        <w:rPr/>
        <w:br w:type="textWrapping"/>
      </w:r>
      <w:r>
        <w:rPr/>
        <w:t xml:space="preserve">32. Exprimer la puissance </w:t>
      </w:r>
      <m:oMath>
        <m:sSub>
          <m:sSubPr/>
          <m:e>
            <m:r>
              <m:rPr>
                <m:scr m:val="script"/>
              </m:rPr>
              <m:t>P</m:t>
            </m:r>
          </m:e>
          <m:sub>
            <m:r>
              <m:rPr>
                <m:sty m:val="p"/>
              </m:rPr>
              <m:t>v</m:t>
            </m:r>
          </m:sub>
        </m:sSub>
        <m:r>
          <m:rPr>
            <m:sty m:val="p"/>
          </m:rPr>
          <m:t>(</m:t>
        </m:r>
        <m:r>
          <m:rPr>
            <m:sty m:val="i"/>
          </m:rPr>
          <m:t>t</m:t>
        </m:r>
        <m:r>
          <m:rPr>
            <m:sty m:val="p"/>
          </m:rPr>
          <m:t>)</m:t>
        </m:r>
      </m:oMath>
      <w:r>
        <w:rPr>
          <w:rFonts w:eastAsia="Georgia" w:cs="Georgia" w:ascii="Georgia" w:hAnsi="Georgia"/>
        </w:rPr>
        <w:t xml:space="preserve"> fournie à l'unité de volume du milieu visoélastique, par le rhéomètre.</w:t>
      </w:r>
      <w:r>
        <w:rPr/>
        <w:br w:type="textWrapping"/>
      </w:r>
      <w:r>
        <w:rPr>
          <w:rFonts w:eastAsia="Georgia" w:cs="Georgia" w:ascii="Georgia" w:hAnsi="Georgia"/>
        </w:rPr>
        <w:t xml:space="preserve">33. Établir que la moyenne de cette puissance, sur une période d'oscillation, s'exprime :</w:t>
      </w:r>
    </w:p>
    <w:p>
      <w:pPr>
        <w:spacing w:after="220" w:lineRule="auto"/>
      </w:pPr>
      <m:oMathPara>
        <m:oMath>
          <m:d>
            <m:dPr>
              <m:begChr m:val="⟨"/>
              <m:endChr m:val="⟩"/>
              <m:ctrlPr>
                <w:rPr>
                  <w:rFonts w:ascii="Cambria Math" w:hAnsi="Cambria Math"/>
                </w:rPr>
              </m:ctrlPr>
            </m:dPr>
            <m:e>
              <m:sSub>
                <m:sSubPr/>
                <m:e>
                  <m:r>
                    <m:rPr>
                      <m:scr m:val="script"/>
                    </m:rPr>
                    <m:t>P</m:t>
                  </m:r>
                </m:e>
                <m:sub>
                  <m:r>
                    <m:rPr>
                      <m:sty m:val="p"/>
                    </m:rPr>
                    <m:t>v</m:t>
                  </m:r>
                </m:sub>
              </m:sSub>
            </m:e>
          </m:d>
          <m:r>
            <m:rPr>
              <m:sty m:val="p"/>
            </m:rPr>
            <m:t>=</m:t>
          </m:r>
          <m:f>
            <m:fPr>
              <m:ctrlPr>
                <w:rPr>
                  <w:rFonts w:ascii="Cambria Math" w:hAnsi="Cambria Math"/>
                </w:rPr>
              </m:ctrlPr>
            </m:fPr>
            <m:num>
              <m:r>
                <m:rPr>
                  <m:sty m:val="p"/>
                </m:rPr>
                <m:t>1</m:t>
              </m:r>
            </m:num>
            <m:den>
              <m:r>
                <m:rPr>
                  <m:sty m:val="p"/>
                </m:rPr>
                <m:t>2</m:t>
              </m:r>
            </m:den>
          </m:f>
          <m:r>
            <m:rPr>
              <m:sty m:val="i"/>
            </m:rPr>
            <m:t>ω</m:t>
          </m:r>
          <m:sSup>
            <m:sSupPr/>
            <m:e>
              <m:r>
                <m:rPr>
                  <m:sty m:val="i"/>
                </m:rPr>
                <m:t>E</m:t>
              </m:r>
            </m:e>
            <m:sup>
              <m:r>
                <m:rPr>
                  <m:sty m:val="i"/>
                </m:rPr>
                <m:t>′</m:t>
              </m:r>
              <m:r>
                <m:rPr>
                  <m:sty m:val="i"/>
                </m:rPr>
                <m:t>′</m:t>
              </m:r>
            </m:sup>
          </m:sSup>
          <m:sSubSup>
            <m:sSubSupPr/>
            <m:e>
              <m:r>
                <m:rPr>
                  <m:sty m:val="i"/>
                </m:rPr>
                <m:t>ε</m:t>
              </m:r>
            </m:e>
            <m:sub>
              <m:r>
                <m:rPr>
                  <m:sty m:val="p"/>
                </m:rPr>
                <m:t>0</m:t>
              </m:r>
            </m:sub>
            <m:sup>
              <m:r>
                <m:rPr>
                  <m:sty m:val="p"/>
                </m:rPr>
                <m:t>2</m:t>
              </m:r>
            </m:sup>
          </m:sSubSup>
        </m:oMath>
      </m:oMathPara>
    </w:p>
    <w:p>
      <w:pPr>
        <w:spacing w:after="220" w:lineRule="auto"/>
      </w:pPr>
      <w:r>
        <w:rPr>
          <w:rFonts w:eastAsia="Georgia" w:cs="Georgia" w:ascii="Georgia" w:hAnsi="Georgia"/>
        </w:rPr>
        <w:t xml:space="preserve">Commenter ce résultat et justifier le nom donné au module </w:t>
      </w:r>
      <m:oMath>
        <m:sSup>
          <m:sSupPr/>
          <m:e>
            <m:r>
              <m:rPr>
                <m:sty m:val="i"/>
              </m:rPr>
              <m:t>E</m:t>
            </m:r>
          </m:e>
          <m:sup>
            <m:r>
              <m:rPr>
                <m:sty m:val="i"/>
              </m:rPr>
              <m:t>′</m:t>
            </m:r>
            <m:r>
              <m:rPr>
                <m:sty m:val="i"/>
              </m:rPr>
              <m:t>′</m:t>
            </m:r>
          </m:sup>
        </m:sSup>
      </m:oMath>
      <w:r>
        <w:rPr/>
        <w:t xml:space="preserve">.</w:t>
      </w:r>
      <w:r>
        <w:rPr/>
        <w:br w:type="textWrapping"/>
      </w:r>
      <w:r>
        <w:rPr>
          <w:rFonts w:eastAsia="Georgia" w:cs="Georgia" w:ascii="Georgia" w:hAnsi="Georgia"/>
        </w:rPr>
        <w:t xml:space="preserve">La figure (10) présente le résultat de la mesure des modules </w:t>
      </w:r>
      <m:oMath>
        <m:sSup>
          <m:sSupPr/>
          <m:e>
            <m:r>
              <m:rPr>
                <m:sty m:val="i"/>
              </m:rPr>
              <m:t>E</m:t>
            </m:r>
          </m:e>
          <m:sup>
            <m:r>
              <m:rPr>
                <m:sty m:val="i"/>
              </m:rPr>
              <m:t>′</m:t>
            </m:r>
          </m:sup>
        </m:sSup>
      </m:oMath>
      <w:r>
        <w:rPr/>
        <w:t xml:space="preserve"> et </w:t>
      </w:r>
      <m:oMath>
        <m:sSup>
          <m:sSupPr/>
          <m:e>
            <m:r>
              <m:rPr>
                <m:sty m:val="i"/>
              </m:rPr>
              <m:t>E</m:t>
            </m:r>
          </m:e>
          <m:sup>
            <m:r>
              <m:rPr>
                <m:sty m:val="i"/>
              </m:rPr>
              <m:t>′</m:t>
            </m:r>
            <m:r>
              <m:rPr>
                <m:sty m:val="i"/>
              </m:rPr>
              <m:t>′</m:t>
            </m:r>
          </m:sup>
        </m:sSup>
      </m:oMath>
      <w:r>
        <w:rPr/>
        <w:t xml:space="preserve">, en fonction de la pulsation </w:t>
      </w:r>
      <m:oMath>
        <m:r>
          <m:rPr>
            <m:sty m:val="i"/>
          </m:rPr>
          <m:t>ω</m:t>
        </m:r>
      </m:oMath>
      <w:r>
        <w:rPr>
          <w:rFonts w:eastAsia="Georgia" w:cs="Georgia" w:ascii="Georgia" w:hAnsi="Georgia"/>
        </w:rPr>
        <w:t xml:space="preserve">, effectuée à l'aide d'un rhéomètre à excitation harmonique, pour une solution de polymères dits vivants (une solution de miscelles géantes).</w:t>
      </w:r>
    </w:p>
    <w:p>
      <w:pPr>
        <w:spacing w:lineRule="auto"/>
        <w:jc w:val="center"/>
      </w:pPr>
      <w:r>
        <w:rPr/>
        <w:drawing>
          <wp:inline distB="0" distL="0" distR="0" distT="0">
            <wp:extent cx="5486400" cy="4195482"/>
            <wp:effectExtent b="0" l="0" r="0" t="0"/>
            <wp:docPr id="10" name="image-463c9576df509a900c4179762000ca3a3ba2a71a.jpg"/>
            <a:graphic>
              <a:graphicData uri="http://schemas.openxmlformats.org/drawingml/2006/picture">
                <pic:pic>
                  <pic:nvPicPr>
                    <pic:cNvPr id="10" name="image-463c9576df509a900c4179762000ca3a3ba2a71a.jpg" descr=""/>
                    <pic:cNvPicPr/>
                  </pic:nvPicPr>
                  <pic:blipFill>
                    <a:blip r:embed="rId14" cstate="print"/>
                    <a:srcRect b="0" l="0" r="0" t="0"/>
                    <a:stretch>
                      <a:fillRect/>
                    </a:stretch>
                  </pic:blipFill>
                  <pic:spPr>
                    <a:xfrm>
                      <a:off x="0" y="0"/>
                      <a:ext cx="5486400" cy="4195482"/>
                    </a:xfrm>
                    <a:prstGeom prst="rect"/>
                  </pic:spPr>
                </pic:pic>
              </a:graphicData>
            </a:graphic>
          </wp:inline>
        </w:drawing>
      </w:r>
    </w:p>
    <w:p>
      <w:pPr>
        <w:spacing w:lineRule="auto"/>
      </w:pPr>
      <w:r>
        <w:rPr>
          <w:rFonts w:eastAsia="Georgia" w:cs="Georgia" w:ascii="Georgia" w:hAnsi="Georgia"/>
        </w:rPr>
        <w:t xml:space="preserve">Figure 10 - Dépendance des modules </w:t>
      </w:r>
      <m:oMath>
        <m:sSup>
          <m:sSupPr/>
          <m:e>
            <m:r>
              <m:rPr>
                <m:sty m:val="i"/>
              </m:rPr>
              <m:t>E</m:t>
            </m:r>
          </m:e>
          <m:sup>
            <m:r>
              <m:rPr>
                <m:sty m:val="i"/>
              </m:rPr>
              <m:t>′</m:t>
            </m:r>
          </m:sup>
        </m:sSup>
      </m:oMath>
      <w:r>
        <w:rPr/>
        <w:t xml:space="preserve"> et </w:t>
      </w:r>
      <m:oMath>
        <m:sSup>
          <m:sSupPr/>
          <m:e>
            <m:r>
              <m:rPr>
                <m:sty m:val="i"/>
              </m:rPr>
              <m:t>E</m:t>
            </m:r>
          </m:e>
          <m:sup>
            <m:r>
              <m:rPr>
                <m:sty m:val="i"/>
              </m:rPr>
              <m:t>′</m:t>
            </m:r>
            <m:r>
              <m:rPr>
                <m:sty m:val="i"/>
              </m:rPr>
              <m:t>′</m:t>
            </m:r>
          </m:sup>
        </m:sSup>
      </m:oMath>
      <w:r>
        <w:rPr/>
        <w:t xml:space="preserve">, avec </w:t>
      </w:r>
      <m:oMath>
        <m:r>
          <m:rPr>
            <m:sty m:val="i"/>
          </m:rPr>
          <m:t>ω</m:t>
        </m:r>
      </m:oMath>
      <w:r>
        <w:rPr>
          <w:rFonts w:eastAsia="Georgia" w:cs="Georgia" w:ascii="Georgia" w:hAnsi="Georgia"/>
        </w:rPr>
        <w:t xml:space="preserve">, d'une solution de polymères vivants (en coordonnées </w:t>
      </w:r>
      <m:oMath>
        <m:r>
          <m:rPr>
            <m:sty m:val="p"/>
          </m:rPr>
          <m:t>log</m:t>
        </m:r>
        <m:r>
          <m:rPr>
            <m:sty m:val="p"/>
          </m:rPr>
          <m:t>−</m:t>
        </m:r>
        <m:r>
          <m:rPr>
            <m:sty m:val="p"/>
          </m:rPr>
          <m:t>log</m:t>
        </m:r>
      </m:oMath>
      <w:r>
        <w:rPr/>
        <w:t xml:space="preserve"> ).</w:t>
      </w:r>
    </w:p>
    <w:p>
      <w:pPr>
        <w:numPr>
          <w:ilvl w:val="0"/>
          <w:numId w:val="10"/>
        </w:numPr>
        <w:spacing w:lineRule="auto"/>
      </w:pPr>
      <w:r>
        <w:rPr>
          <w:rFonts w:eastAsia="Georgia" w:cs="Georgia" w:ascii="Georgia" w:hAnsi="Georgia"/>
        </w:rPr>
        <w:t xml:space="preserve">Associer chacune de ces évolutions au module qu'elle repésente. Analyser la fidélité de la modélisation de ce milieu par le modèle de Maxwell.</w:t>
      </w:r>
    </w:p>
    <w:p>
      <w:pPr>
        <w:numPr>
          <w:ilvl w:val="0"/>
          <w:numId w:val="10"/>
        </w:numPr>
        <w:spacing w:lineRule="auto"/>
      </w:pPr>
      <w:r>
        <w:rPr>
          <w:rFonts w:eastAsia="Georgia" w:cs="Georgia" w:ascii="Georgia" w:hAnsi="Georgia"/>
        </w:rPr>
        <w:t xml:space="preserve">Déduire de la figure (10) la valeur numérique de chacune des constantes </w:t>
      </w:r>
      <m:oMath>
        <m:r>
          <m:rPr>
            <m:sty m:val="i"/>
          </m:rPr>
          <m:t>E</m:t>
        </m:r>
      </m:oMath>
      <w:r>
        <w:rPr/>
        <w:t xml:space="preserve"> et </w:t>
      </w:r>
      <m:oMath>
        <m:r>
          <m:rPr>
            <m:sty m:val="i"/>
          </m:rPr>
          <m:t>η</m:t>
        </m:r>
      </m:oMath>
      <w:r>
        <w:rPr/>
        <w:t xml:space="preserve">.</w:t>
      </w:r>
    </w:p>
    <w:p>
      <w:pPr>
        <w:numPr>
          <w:ilvl w:val="0"/>
          <w:numId w:val="10"/>
        </w:numPr>
        <w:spacing w:lineRule="auto"/>
      </w:pPr>
      <w:r>
        <w:rPr>
          <w:rFonts w:eastAsia="Georgia" w:cs="Georgia" w:ascii="Georgia" w:hAnsi="Georgia"/>
        </w:rPr>
        <w:t xml:space="preserve">Dans son principe, le rhéomètre représenté figure (9) impose un déplacement (choisi, ici, oscillant) à une surface en contact avec le milieu à caractériser et mesure la force qu'il doit alors lui appliquer pour assurer ce déplacement. En pratique, la force qui est mesurée est la somme de la force viscolélastique agissant sur la surface et de la force d'origine inertielle due à la mise en mouvement de l'ensemble de l'équipage mobile dont est solidaire la surface. Cette dernière est déterminée par étalonnage (sans échantillon), puis soustraite afin de donner accès à la force viscolélastique. Cette correction n'étant jamais parfaite, indiquer sur quelle composante, </w:t>
      </w:r>
      <m:oMath>
        <m:sSup>
          <m:sSupPr/>
          <m:e>
            <m:r>
              <m:rPr>
                <m:sty m:val="i"/>
              </m:rPr>
              <m:t>E</m:t>
            </m:r>
          </m:e>
          <m:sup>
            <m:r>
              <m:rPr>
                <m:sty m:val="i"/>
              </m:rPr>
              <m:t>′</m:t>
            </m:r>
          </m:sup>
        </m:sSup>
      </m:oMath>
      <w:r>
        <w:rPr/>
        <w:t xml:space="preserve"> ou </w:t>
      </w:r>
      <m:oMath>
        <m:sSup>
          <m:sSupPr/>
          <m:e>
            <m:r>
              <m:rPr>
                <m:sty m:val="i"/>
              </m:rPr>
              <m:t>E</m:t>
            </m:r>
          </m:e>
          <m:sup>
            <m:r>
              <m:rPr>
                <m:sty m:val="i"/>
              </m:rPr>
              <m:t>′</m:t>
            </m:r>
            <m:r>
              <m:rPr>
                <m:sty m:val="i"/>
              </m:rPr>
              <m:t>′</m:t>
            </m:r>
          </m:sup>
        </m:sSup>
      </m:oMath>
      <w:r>
        <w:rPr>
          <w:rFonts w:eastAsia="Georgia" w:cs="Georgia" w:ascii="Georgia" w:hAnsi="Georgia"/>
        </w:rPr>
        <w:t xml:space="preserve">, ce défaut de mesure se fait alors ressentir (une argumentation est attendue).</w:t>
      </w:r>
    </w:p>
    <w:p>
      <w:pPr>
        <w:numPr>
          <w:ilvl w:val="0"/>
          <w:numId w:val="10"/>
        </w:numPr>
        <w:spacing w:lineRule="auto"/>
      </w:pPr>
      <w:r>
        <w:rPr>
          <w:rFonts w:eastAsia="Georgia" w:cs="Georgia" w:ascii="Georgia" w:hAnsi="Georgia"/>
        </w:rPr>
        <w:t xml:space="preserve">Le rhémoètre impose maintenant un échelon de déformation au milieu. L'élongation relative </w:t>
      </w:r>
      <m:oMath>
        <m:r>
          <m:rPr>
            <m:sty m:val="i"/>
          </m:rPr>
          <m:t>ε</m:t>
        </m:r>
      </m:oMath>
      <w:r>
        <w:rPr>
          <w:rFonts w:eastAsia="Georgia" w:cs="Georgia" w:ascii="Georgia" w:hAnsi="Georgia"/>
        </w:rPr>
        <w:t xml:space="preserve"> (voir figure (8)) passant alors brutalement de 0 à </w:t>
      </w:r>
      <m:oMath>
        <m:sSub>
          <m:sSubPr/>
          <m:e>
            <m:r>
              <m:rPr>
                <m:sty m:val="i"/>
              </m:rPr>
              <m:t>ε</m:t>
            </m:r>
          </m:e>
          <m:sub>
            <m:r>
              <m:rPr>
                <m:sty m:val="p"/>
              </m:rPr>
              <m:t>1</m:t>
            </m:r>
          </m:sub>
        </m:sSub>
      </m:oMath>
      <w:r>
        <w:rPr>
          <w:rFonts w:eastAsia="Georgia" w:cs="Georgia" w:ascii="Georgia" w:hAnsi="Georgia"/>
        </w:rPr>
        <w:t xml:space="preserve"> (supposée positive). Représenter qualitativement l'évolution, avec le temps </w:t>
      </w:r>
      <m:oMath>
        <m:r>
          <m:rPr>
            <m:sty m:val="i"/>
          </m:rPr>
          <m:t>t</m:t>
        </m:r>
      </m:oMath>
      <w:r>
        <w:rPr/>
        <w:t xml:space="preserve">, de la contrainte </w:t>
      </w:r>
      <m:oMath>
        <m:r>
          <m:rPr>
            <m:sty m:val="i"/>
          </m:rPr>
          <m:t>σ</m:t>
        </m:r>
      </m:oMath>
      <w:r>
        <w:rPr>
          <w:rFonts w:eastAsia="Georgia" w:cs="Georgia" w:ascii="Georgia" w:hAnsi="Georgia"/>
        </w:rPr>
        <w:t xml:space="preserve"> et préciser sa valeur maximale </w:t>
      </w:r>
      <m:oMath>
        <m:sSub>
          <m:sSubPr/>
          <m:e>
            <m:r>
              <m:rPr>
                <m:sty m:val="i"/>
              </m:rPr>
              <m:t>σ</m:t>
            </m:r>
          </m:e>
          <m:sub>
            <m:r>
              <m:rPr>
                <m:sty m:val="p"/>
              </m:rPr>
              <m:t>M</m:t>
            </m:r>
          </m:sub>
        </m:sSub>
      </m:oMath>
      <w:r>
        <w:rPr>
          <w:rFonts w:eastAsia="Georgia" w:cs="Georgia" w:ascii="Georgia" w:hAnsi="Georgia"/>
        </w:rPr>
        <w:t xml:space="preserve">. Indiquer comment accéder, à partir de cette évolution, à la constante </w:t>
      </w:r>
      <m:oMath>
        <m:r>
          <m:rPr>
            <m:sty m:val="i"/>
          </m:rPr>
          <m:t>T</m:t>
        </m:r>
      </m:oMath>
      <w:r>
        <w:rPr/>
        <w:t xml:space="preserve">.</w:t>
      </w:r>
    </w:p>
    <w:p>
      <w:pPr>
        <w:numPr>
          <w:ilvl w:val="0"/>
          <w:numId w:val="10"/>
        </w:numPr>
        <w:spacing w:lineRule="auto"/>
      </w:pPr>
      <w:r>
        <w:rPr>
          <w:rFonts w:eastAsia="Georgia" w:cs="Georgia" w:ascii="Georgia" w:hAnsi="Georgia"/>
        </w:rPr>
        <w:t xml:space="preserve">Certains matériaux d'apparence malléable, après avoir été posés sur une table s'étalent lentement sous l'action de la pesanteur alors que lancés contre le sol ils rebondissent comme une balle, voire se brisent. Expliquer qualitativement ce phénomène.</w:t>
      </w:r>
    </w:p>
    <w:p>
      <w:pPr>
        <w:spacing w:line="271" w:before="330" w:lineRule="auto"/>
      </w:pPr>
      <w:r>
        <w:rPr>
          <w:rFonts w:eastAsia="Georgia" w:cs="Georgia" w:ascii="Georgia" w:hAnsi="Georgia"/>
          <w:b/>
          <w:sz w:val="42"/>
        </w:rPr>
        <w:t xml:space="preserve">Partie Chimie Élaboration de polymères pour les cellules photovoltaïques</w:t>
      </w:r>
    </w:p>
    <w:p>
      <w:pPr>
        <w:spacing w:after="220" w:lineRule="auto"/>
      </w:pPr>
      <w:r>
        <w:rPr>
          <w:rFonts w:eastAsia="Georgia" w:cs="Georgia" w:ascii="Georgia" w:hAnsi="Georgia"/>
        </w:rPr>
        <w:t xml:space="preserve">Les polymères se retrouvent dans de nombreux domaines : industrie textile, automobile, agroalimentaire, énergie... Ils peuvent être naturels ou synthétiques. Nous nous intéresserons ici aux polymères conducteurs. Ils sont notamment utilisés dans les batteries Li-ion et dans les cellules photovoltaïques pour améliorer la circulation des électrons. Ce sujet aborde la synthèse d'un polymère permettant d'améliorer la sécurité dans les cellules photovoltaïques en remplaçant la dissolution des liquides électrolytiques actuels dans les solvants organiques par l'utilisation de polymères chargés. Un exemple de conception de cellule à pigment photosensible (dye-sensitized solar cell : DSSC) est proposé ainsi que les résultats obtenus pour le polymère synthétisé.</w:t>
      </w:r>
    </w:p>
    <w:p>
      <w:pPr>
        <w:spacing w:line="271" w:before="330" w:lineRule="auto"/>
      </w:pPr>
      <w:r>
        <w:rPr>
          <w:rFonts w:eastAsia="Georgia" w:cs="Georgia" w:ascii="Georgia" w:hAnsi="Georgia"/>
          <w:b/>
          <w:sz w:val="42"/>
        </w:rPr>
        <w:t xml:space="preserve">I Élaboration de la matrice de la cellule photovoltaïque.</w:t>
      </w:r>
    </w:p>
    <w:p>
      <w:pPr>
        <w:spacing w:line="271" w:before="330" w:lineRule="auto"/>
      </w:pPr>
      <w:r>
        <w:rPr>
          <w:rFonts w:eastAsia="Georgia" w:cs="Georgia" w:ascii="Georgia" w:hAnsi="Georgia"/>
          <w:b/>
          <w:sz w:val="42"/>
        </w:rPr>
        <w:t xml:space="preserve">I.A Synthèse du monomère.</w:t>
      </w:r>
    </w:p>
    <w:p>
      <w:pPr>
        <w:spacing w:after="220" w:lineRule="auto"/>
      </w:pPr>
      <w:r>
        <w:rPr>
          <w:rFonts w:eastAsia="Georgia" w:cs="Georgia" w:ascii="Georgia" w:hAnsi="Georgia"/>
        </w:rPr>
        <w:t xml:space="preserve">L'obtention du précurseur 3 se déroule en deux étapes à partir de l'imidazole 1, selon le schéma réactionnel donné sur la figure (1).</w:t>
      </w:r>
    </w:p>
    <w:p>
      <w:pPr>
        <w:spacing w:lineRule="auto"/>
        <w:jc w:val="center"/>
      </w:pPr>
      <w:r>
        <w:rPr/>
        <w:drawing>
          <wp:inline distB="0" distL="0" distR="0" distT="0">
            <wp:extent cx="5486400" cy="1061156"/>
            <wp:effectExtent b="0" l="0" r="0" t="0"/>
            <wp:docPr id="11" name="image-ff9ba32ad827972aa079b7031aac4a6a0e23dc3b.jpg"/>
            <a:graphic>
              <a:graphicData uri="http://schemas.openxmlformats.org/drawingml/2006/picture">
                <pic:pic>
                  <pic:nvPicPr>
                    <pic:cNvPr id="11" name="image-ff9ba32ad827972aa079b7031aac4a6a0e23dc3b.jpg" descr=""/>
                    <pic:cNvPicPr/>
                  </pic:nvPicPr>
                  <pic:blipFill>
                    <a:blip r:embed="rId15" cstate="print"/>
                    <a:srcRect b="0" l="0" r="0" t="0"/>
                    <a:stretch>
                      <a:fillRect/>
                    </a:stretch>
                  </pic:blipFill>
                  <pic:spPr>
                    <a:xfrm>
                      <a:off x="0" y="0"/>
                      <a:ext cx="5486400" cy="1061156"/>
                    </a:xfrm>
                    <a:prstGeom prst="rect"/>
                  </pic:spPr>
                </pic:pic>
              </a:graphicData>
            </a:graphic>
          </wp:inline>
        </w:drawing>
      </w:r>
    </w:p>
    <w:p>
      <w:pPr>
        <w:spacing w:lineRule="auto"/>
      </w:pPr>
      <w:r>
        <w:rPr>
          <w:rFonts w:eastAsia="Georgia" w:cs="Georgia" w:ascii="Georgia" w:hAnsi="Georgia"/>
        </w:rPr>
        <w:t xml:space="preserve">Figure 1 - Synthèse du monomère cationique 3.</w:t>
      </w:r>
    </w:p>
    <w:p>
      <w:pPr>
        <w:spacing w:after="220" w:lineRule="auto"/>
      </w:pPr>
      <w:r>
        <w:rPr>
          <w:rFonts w:eastAsia="Georgia" w:cs="Georgia" w:ascii="Georgia" w:hAnsi="Georgia"/>
        </w:rPr>
        <w:t xml:space="preserve">La première étape met en jeu la formation de l'intermédiaire 1', de formule brute </w:t>
      </w:r>
      <m:oMath>
        <m:sSub>
          <m:sSubPr/>
          <m:e>
            <m:r>
              <m:rPr>
                <m:sty m:val="p"/>
              </m:rPr>
              <m:t>C</m:t>
            </m:r>
          </m:e>
          <m:sub>
            <m:r>
              <m:rPr>
                <m:sty m:val="p"/>
              </m:rPr>
              <m:t>5</m:t>
            </m:r>
          </m:sub>
        </m:sSub>
        <m:sSub>
          <m:sSubPr/>
          <m:e>
            <m:r>
              <m:rPr>
                <m:sty m:val="p"/>
              </m:rPr>
              <m:t>H</m:t>
            </m:r>
          </m:e>
          <m:sub>
            <m:r>
              <m:rPr>
                <m:sty m:val="p"/>
              </m:rPr>
              <m:t>7</m:t>
            </m:r>
          </m:sub>
        </m:sSub>
        <m:sSub>
          <m:sSubPr/>
          <m:e>
            <m:r>
              <m:rPr>
                <m:sty m:val="p"/>
              </m:rPr>
              <m:t>ClN</m:t>
            </m:r>
          </m:e>
          <m:sub>
            <m:r>
              <m:rPr>
                <m:sty m:val="p"/>
              </m:rPr>
              <m:t>2</m:t>
            </m:r>
          </m:sub>
        </m:sSub>
      </m:oMath>
      <w:r>
        <w:rPr/>
        <w:t xml:space="preserve">. Les signaux </w:t>
      </w:r>
      <m:oMath>
        <m:sSup>
          <m:sSupPr/>
          <m:e>
            <m:r>
              <m:t xml:space="preserve"> </m:t>
            </m:r>
          </m:e>
          <m:sup>
            <m:r>
              <m:rPr>
                <m:sty m:val="p"/>
              </m:rPr>
              <m:t>1</m:t>
            </m:r>
          </m:sup>
        </m:sSup>
        <m:r>
          <m:rPr>
            <m:sty m:val="p"/>
          </m:rPr>
          <m:t>H</m:t>
        </m:r>
        <m:r>
          <m:rPr>
            <m:sty m:val="p"/>
          </m:rPr>
          <m:t>−</m:t>
        </m:r>
        <m:r>
          <m:rPr>
            <m:sty m:val="p"/>
          </m:rPr>
          <m:t>RMN</m:t>
        </m:r>
      </m:oMath>
      <w:r>
        <w:rPr/>
        <w:t xml:space="preserve"> ( 400 </w:t>
      </w:r>
      <m:oMath>
        <m:r>
          <m:rPr>
            <m:sty m:val="p"/>
          </m:rPr>
          <m:t>MHz</m:t>
        </m:r>
        <m:r>
          <m:rPr>
            <m:sty m:val="p"/>
          </m:rPr>
          <m:t>,</m:t>
        </m:r>
        <m:sSub>
          <m:sSubPr/>
          <m:e>
            <m:r>
              <m:rPr>
                <m:sty m:val="p"/>
              </m:rPr>
              <m:t>D</m:t>
            </m:r>
          </m:e>
          <m:sub>
            <m:r>
              <m:rPr>
                <m:sty m:val="p"/>
              </m:rPr>
              <m:t>2</m:t>
            </m:r>
          </m:sub>
        </m:sSub>
        <m:r>
          <m:rPr>
            <m:sty m:val="p"/>
          </m:rPr>
          <m:t>O</m:t>
        </m:r>
      </m:oMath>
      <w:r>
        <w:rPr>
          <w:rFonts w:eastAsia="Georgia" w:cs="Georgia" w:ascii="Georgia" w:hAnsi="Georgia"/>
        </w:rPr>
        <w:t xml:space="preserve"> ) associés au produit </w:t>
      </w:r>
      <m:oMath>
        <m:r>
          <m:rPr>
            <m:sty m:val="b"/>
          </m:rPr>
          <m:t>3</m:t>
        </m:r>
      </m:oMath>
      <w:r>
        <w:rPr>
          <w:rFonts w:eastAsia="Georgia" w:cs="Georgia" w:ascii="Georgia" w:hAnsi="Georgia"/>
        </w:rPr>
        <w:t xml:space="preserve"> sont donnés dans le tableau (1).</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Déplacement chimique </w:t>
            </w:r>
            <m:oMath>
              <m:r>
                <m:rPr>
                  <m:sty m:val="i"/>
                </m:rPr>
                <m:t>δ</m:t>
              </m:r>
              <m:r>
                <m:rPr>
                  <m:sty m:val="p"/>
                </m:rPr>
                <m:t>(</m:t>
              </m:r>
              <m:r>
                <m:rPr>
                  <m:sty m:val="p"/>
                </m:rPr>
                <m:t>ppm</m:t>
              </m:r>
              <m:r>
                <m:rPr>
                  <m:sty m:val="p"/>
                </m:rPr>
                <m:t>)</m:t>
              </m:r>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Multiplicité</w:t>
            </w:r>
          </w:p>
        </w:tc>
        <w:tc>
          <w:tcPr>
            <w:tcBorders>
              <w:top w:val="single" w:sz="8" w:space="0" w:color="000000"/>
              <w:bottom w:val="single" w:sz="8" w:space="0" w:color="000000"/>
              <w:right w:val="single" w:sz="8" w:space="0" w:color="000000"/>
            </w:tcBorders>
            <w:vAlign w:val="center"/>
          </w:tcPr>
          <w:p>
            <w:pPr>
              <w:spacing w:lineRule="auto"/>
              <w:jc w:val="left"/>
            </w:pPr>
            <w:r>
              <w:rPr/>
              <w:t xml:space="preserve">Constante de couplage (Hz)</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Intégration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0,99</w:t>
            </w:r>
          </w:p>
        </w:tc>
        <w:tc>
          <w:tcPr>
            <w:tcBorders>
              <w:bottom w:val="single" w:sz="8" w:space="0" w:color="000000"/>
              <w:right w:val="single" w:sz="8" w:space="0" w:color="000000"/>
            </w:tcBorders>
            <w:vAlign w:val="center"/>
          </w:tcPr>
          <w:p>
            <w:pPr>
              <w:spacing w:lineRule="auto"/>
              <w:jc w:val="left"/>
            </w:pPr>
            <w:r>
              <w:rPr/>
              <w:t xml:space="preserve">triplet</w:t>
            </w:r>
          </w:p>
        </w:tc>
        <w:tc>
          <w:tcPr>
            <w:tcBorders>
              <w:bottom w:val="single" w:sz="8" w:space="0" w:color="000000"/>
              <w:right w:val="single" w:sz="8" w:space="0" w:color="000000"/>
            </w:tcBorders>
            <w:vAlign w:val="center"/>
          </w:tcPr>
          <w:p>
            <w:pPr>
              <w:spacing w:lineRule="auto"/>
              <w:jc w:val="left"/>
            </w:pPr>
            <w:r>
              <w:rPr/>
              <w:t xml:space="preserve">7,4</w:t>
            </w:r>
          </w:p>
        </w:tc>
        <w:tc>
          <w:tcPr>
            <w:tcBorders>
              <w:bottom w:val="single" w:sz="8" w:space="0" w:color="000000"/>
              <w:right w:val="single" w:sz="8" w:space="0" w:color="000000"/>
            </w:tcBorders>
            <w:vAlign w:val="center"/>
          </w:tcPr>
          <w:p>
            <w:pPr>
              <w:spacing w:lineRule="auto"/>
              <w:jc w:val="left"/>
            </w:pPr>
            <w:r>
              <w:rPr/>
              <w:t xml:space="preserve">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1,39</w:t>
            </w:r>
          </w:p>
        </w:tc>
        <w:tc>
          <w:tcPr>
            <w:tcBorders>
              <w:bottom w:val="single" w:sz="8" w:space="0" w:color="000000"/>
              <w:right w:val="single" w:sz="8" w:space="0" w:color="000000"/>
            </w:tcBorders>
            <w:vAlign w:val="center"/>
          </w:tcPr>
          <w:p>
            <w:pPr>
              <w:spacing w:lineRule="auto"/>
              <w:jc w:val="left"/>
            </w:pPr>
            <w:r>
              <w:rPr/>
              <w:t xml:space="preserve">sextuplet</w:t>
            </w:r>
          </w:p>
        </w:tc>
        <w:tc>
          <w:tcPr>
            <w:tcBorders>
              <w:bottom w:val="single" w:sz="8" w:space="0" w:color="000000"/>
              <w:right w:val="single" w:sz="8" w:space="0" w:color="000000"/>
            </w:tcBorders>
            <w:vAlign w:val="center"/>
          </w:tcPr>
          <w:p>
            <w:pPr>
              <w:spacing w:lineRule="auto"/>
              <w:jc w:val="left"/>
            </w:pPr>
            <w:r>
              <w:rPr/>
              <w:t xml:space="preserve">7,4</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1,95</w:t>
            </w:r>
          </w:p>
        </w:tc>
        <w:tc>
          <w:tcPr>
            <w:tcBorders>
              <w:bottom w:val="single" w:sz="8" w:space="0" w:color="000000"/>
              <w:right w:val="single" w:sz="8" w:space="0" w:color="000000"/>
            </w:tcBorders>
            <w:vAlign w:val="center"/>
          </w:tcPr>
          <w:p>
            <w:pPr>
              <w:spacing w:lineRule="auto"/>
              <w:jc w:val="left"/>
            </w:pPr>
            <w:r>
              <w:rPr/>
              <w:t xml:space="preserve">quintuplet</w:t>
            </w:r>
          </w:p>
        </w:tc>
        <w:tc>
          <w:tcPr>
            <w:tcBorders>
              <w:bottom w:val="single" w:sz="8" w:space="0" w:color="000000"/>
              <w:right w:val="single" w:sz="8" w:space="0" w:color="000000"/>
            </w:tcBorders>
            <w:vAlign w:val="center"/>
          </w:tcPr>
          <w:p>
            <w:pPr>
              <w:spacing w:lineRule="auto"/>
              <w:jc w:val="left"/>
            </w:pPr>
            <w:r>
              <w:rPr/>
              <w:t xml:space="preserve">7,4</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4,32</w:t>
            </w:r>
          </w:p>
        </w:tc>
        <w:tc>
          <w:tcPr>
            <w:tcBorders>
              <w:bottom w:val="single" w:sz="8" w:space="0" w:color="000000"/>
              <w:right w:val="single" w:sz="8" w:space="0" w:color="000000"/>
            </w:tcBorders>
            <w:vAlign w:val="center"/>
          </w:tcPr>
          <w:p>
            <w:pPr>
              <w:spacing w:lineRule="auto"/>
              <w:jc w:val="left"/>
            </w:pPr>
            <w:r>
              <w:rPr/>
              <w:t xml:space="preserve">triplet</w:t>
            </w:r>
          </w:p>
        </w:tc>
        <w:tc>
          <w:tcPr>
            <w:tcBorders>
              <w:bottom w:val="single" w:sz="8" w:space="0" w:color="000000"/>
              <w:right w:val="single" w:sz="8" w:space="0" w:color="000000"/>
            </w:tcBorders>
            <w:vAlign w:val="center"/>
          </w:tcPr>
          <w:p>
            <w:pPr>
              <w:spacing w:lineRule="auto"/>
              <w:jc w:val="left"/>
            </w:pPr>
            <w:r>
              <w:rPr/>
              <w:t xml:space="preserve">7,2</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5,50</w:t>
            </w:r>
          </w:p>
        </w:tc>
        <w:tc>
          <w:tcPr>
            <w:tcBorders>
              <w:bottom w:val="single" w:sz="8" w:space="0" w:color="000000"/>
              <w:right w:val="single" w:sz="8" w:space="0" w:color="000000"/>
            </w:tcBorders>
            <w:vAlign w:val="center"/>
          </w:tcPr>
          <w:p>
            <w:pPr>
              <w:spacing w:lineRule="auto"/>
              <w:jc w:val="left"/>
            </w:pPr>
            <w:r>
              <w:rPr/>
              <w:t xml:space="preserve">doublet de doublet</w:t>
            </w:r>
          </w:p>
        </w:tc>
        <w:tc>
          <w:tcPr>
            <w:tcBorders>
              <w:bottom w:val="single" w:sz="8" w:space="0" w:color="000000"/>
              <w:right w:val="single" w:sz="8" w:space="0" w:color="000000"/>
            </w:tcBorders>
            <w:vAlign w:val="center"/>
          </w:tcPr>
          <w:p>
            <w:pPr>
              <w:spacing w:lineRule="auto"/>
              <w:jc w:val="left"/>
            </w:pPr>
            <w:r>
              <w:rPr/>
              <w:t xml:space="preserve">2,8 et 8,8</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5,87</w:t>
            </w:r>
          </w:p>
        </w:tc>
        <w:tc>
          <w:tcPr>
            <w:tcBorders>
              <w:bottom w:val="single" w:sz="8" w:space="0" w:color="000000"/>
              <w:right w:val="single" w:sz="8" w:space="0" w:color="000000"/>
            </w:tcBorders>
            <w:vAlign w:val="center"/>
          </w:tcPr>
          <w:p>
            <w:pPr>
              <w:spacing w:lineRule="auto"/>
              <w:jc w:val="left"/>
            </w:pPr>
            <w:r>
              <w:rPr/>
              <w:t xml:space="preserve">doublet de doublet</w:t>
            </w:r>
          </w:p>
        </w:tc>
        <w:tc>
          <w:tcPr>
            <w:tcBorders>
              <w:bottom w:val="single" w:sz="8" w:space="0" w:color="000000"/>
              <w:right w:val="single" w:sz="8" w:space="0" w:color="000000"/>
            </w:tcBorders>
            <w:vAlign w:val="center"/>
          </w:tcPr>
          <w:p>
            <w:pPr>
              <w:spacing w:lineRule="auto"/>
              <w:jc w:val="left"/>
            </w:pPr>
            <w:r>
              <w:rPr/>
              <w:t xml:space="preserve">2,6 et 15,4</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7,23</w:t>
            </w:r>
          </w:p>
        </w:tc>
        <w:tc>
          <w:tcPr>
            <w:tcBorders>
              <w:bottom w:val="single" w:sz="8" w:space="0" w:color="000000"/>
              <w:right w:val="single" w:sz="8" w:space="0" w:color="000000"/>
            </w:tcBorders>
            <w:vAlign w:val="center"/>
          </w:tcPr>
          <w:p>
            <w:pPr>
              <w:spacing w:lineRule="auto"/>
              <w:jc w:val="left"/>
            </w:pPr>
            <w:r>
              <w:rPr/>
              <w:t xml:space="preserve">doublet de doublet</w:t>
            </w:r>
          </w:p>
        </w:tc>
        <w:tc>
          <w:tcPr>
            <w:tcBorders>
              <w:bottom w:val="single" w:sz="8" w:space="0" w:color="000000"/>
              <w:right w:val="single" w:sz="8" w:space="0" w:color="000000"/>
            </w:tcBorders>
            <w:vAlign w:val="center"/>
          </w:tcPr>
          <w:p>
            <w:pPr>
              <w:spacing w:lineRule="auto"/>
              <w:jc w:val="left"/>
            </w:pPr>
            <w:r>
              <w:rPr/>
              <w:t xml:space="preserve">8,8 et 15,7</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7,67</w:t>
            </w:r>
          </w:p>
        </w:tc>
        <w:tc>
          <w:tcPr>
            <w:tcBorders>
              <w:bottom w:val="single" w:sz="8" w:space="0" w:color="000000"/>
              <w:right w:val="single" w:sz="8" w:space="0" w:color="000000"/>
            </w:tcBorders>
            <w:vAlign w:val="center"/>
          </w:tcPr>
          <w:p>
            <w:pPr>
              <w:spacing w:lineRule="auto"/>
              <w:jc w:val="left"/>
            </w:pPr>
            <w:r>
              <w:rPr/>
              <w:t xml:space="preserve">singulet</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7,85</w:t>
            </w:r>
          </w:p>
        </w:tc>
        <w:tc>
          <w:tcPr>
            <w:tcBorders>
              <w:bottom w:val="single" w:sz="8" w:space="0" w:color="000000"/>
              <w:right w:val="single" w:sz="8" w:space="0" w:color="000000"/>
            </w:tcBorders>
            <w:vAlign w:val="center"/>
          </w:tcPr>
          <w:p>
            <w:pPr>
              <w:spacing w:lineRule="auto"/>
              <w:jc w:val="left"/>
            </w:pPr>
            <w:r>
              <w:rPr/>
              <w:t xml:space="preserve">singulet</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9,13</w:t>
            </w:r>
          </w:p>
        </w:tc>
        <w:tc>
          <w:tcPr>
            <w:tcBorders>
              <w:bottom w:val="single" w:sz="8" w:space="0" w:color="000000"/>
              <w:right w:val="single" w:sz="8" w:space="0" w:color="000000"/>
            </w:tcBorders>
            <w:vAlign w:val="center"/>
          </w:tcPr>
          <w:p>
            <w:pPr>
              <w:spacing w:lineRule="auto"/>
              <w:jc w:val="left"/>
            </w:pPr>
            <w:r>
              <w:rPr/>
              <w:t xml:space="preserve">singulet</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1</w:t>
            </w:r>
          </w:p>
        </w:tc>
      </w:tr>
    </w:tbl>
    <w:p>
      <w:pPr>
        <w:spacing w:lineRule="auto"/>
      </w:pPr>
    </w:p>
    <w:p>
      <w:pPr>
        <w:spacing w:lineRule="auto"/>
      </w:pPr>
      <w:r>
        <w:rPr>
          <w:rFonts w:eastAsia="Georgia" w:cs="Georgia" w:ascii="Georgia" w:hAnsi="Georgia"/>
        </w:rPr>
        <w:t xml:space="preserve">Tableau 1 - Caractérisation </w:t>
      </w:r>
      <m:oMath>
        <m:sSup>
          <m:sSupPr/>
          <m:e>
            <m:r>
              <m:t xml:space="preserve"> </m:t>
            </m:r>
          </m:e>
          <m:sup>
            <m:r>
              <m:rPr>
                <m:sty m:val="p"/>
              </m:rPr>
              <m:t>1</m:t>
            </m:r>
          </m:sup>
        </m:sSup>
        <m:r>
          <m:rPr>
            <m:sty m:val="p"/>
          </m:rPr>
          <m:t>H</m:t>
        </m:r>
        <m:r>
          <m:rPr>
            <m:sty m:val="p"/>
          </m:rPr>
          <m:t>−</m:t>
        </m:r>
        <m:r>
          <m:rPr>
            <m:sty m:val="p"/>
          </m:rPr>
          <m:t>RMN</m:t>
        </m:r>
      </m:oMath>
      <w:r>
        <w:rPr>
          <w:rFonts w:eastAsia="Georgia" w:cs="Georgia" w:ascii="Georgia" w:hAnsi="Georgia"/>
        </w:rPr>
        <w:t xml:space="preserve"> du composé </w:t>
      </w:r>
      <m:oMath>
        <m:r>
          <m:rPr>
            <m:sty m:val="b"/>
          </m:rPr>
          <m:t>3</m:t>
        </m:r>
        <m:d>
          <m:dPr>
            <m:begChr m:val="("/>
            <m:endChr m:val=")"/>
            <m:ctrlPr>
              <w:rPr>
                <w:rFonts w:ascii="Cambria Math" w:hAnsi="Cambria Math"/>
              </w:rPr>
            </m:ctrlPr>
          </m:dPr>
          <m:e>
            <m:r>
              <m:rPr>
                <m:sty m:val="p"/>
              </m:rPr>
              <m:t>400</m:t>
            </m:r>
            <m:r>
              <m:rPr>
                <m:sty m:val="p"/>
              </m:rPr>
              <m:t>MHz</m:t>
            </m:r>
            <m:r>
              <m:rPr>
                <m:sty m:val="p"/>
              </m:rPr>
              <m:t>,</m:t>
            </m:r>
            <m:sSub>
              <m:sSubPr/>
              <m:e>
                <m:r>
                  <m:rPr>
                    <m:sty m:val="p"/>
                  </m:rPr>
                  <m:t>D</m:t>
                </m:r>
              </m:e>
              <m:sub>
                <m:r>
                  <m:rPr>
                    <m:sty m:val="p"/>
                  </m:rPr>
                  <m:t>2</m:t>
                </m:r>
              </m:sub>
            </m:sSub>
            <m:r>
              <m:rPr>
                <m:sty m:val="p"/>
              </m:rPr>
              <m:t>O</m:t>
            </m:r>
          </m:e>
        </m:d>
      </m:oMath>
      <w:r>
        <w:rPr/>
        <w:t xml:space="preserve">.</w:t>
      </w:r>
    </w:p>
    <w:p>
      <w:pPr>
        <w:numPr>
          <w:ilvl w:val="0"/>
          <w:numId w:val="11"/>
        </w:numPr>
        <w:spacing w:lineRule="auto"/>
      </w:pPr>
      <w:r>
        <w:rPr>
          <w:rFonts w:eastAsia="Georgia" w:cs="Georgia" w:ascii="Georgia" w:hAnsi="Georgia"/>
        </w:rPr>
        <w:t xml:space="preserve">Donner la structure de l'intermédiaire 1'.</w:t>
      </w:r>
    </w:p>
    <w:p>
      <w:pPr>
        <w:numPr>
          <w:ilvl w:val="0"/>
          <w:numId w:val="11"/>
        </w:numPr>
        <w:spacing w:lineRule="auto"/>
      </w:pPr>
      <w:r>
        <w:rPr>
          <w:rFonts w:eastAsia="Georgia" w:cs="Georgia" w:ascii="Georgia" w:hAnsi="Georgia"/>
        </w:rPr>
        <w:t xml:space="preserve">Indiquer le proton le plus acide dans la molécule d'imidazole 1 en justifiant.</w:t>
      </w:r>
    </w:p>
    <w:p>
      <w:pPr>
        <w:numPr>
          <w:ilvl w:val="0"/>
          <w:numId w:val="11"/>
        </w:numPr>
        <w:spacing w:lineRule="auto"/>
      </w:pPr>
      <w:r>
        <w:rPr>
          <w:rFonts w:eastAsia="Georgia" w:cs="Georgia" w:ascii="Georgia" w:hAnsi="Georgia"/>
        </w:rPr>
        <w:t xml:space="preserve">Proposer un mécanisme réactionnel permettant d'obtenir l'intermédiaire </w:t>
      </w:r>
      <m:oMath>
        <m:r>
          <m:rPr>
            <m:sty m:val="b"/>
          </m:rPr>
          <m:t>2</m:t>
        </m:r>
      </m:oMath>
      <w:r>
        <w:rPr>
          <w:rFonts w:eastAsia="Georgia" w:cs="Georgia" w:ascii="Georgia" w:hAnsi="Georgia"/>
        </w:rPr>
        <w:t xml:space="preserve"> à partir du composé 1. Identifier chacune des étapes du mécanisme.</w:t>
      </w:r>
    </w:p>
    <w:p>
      <w:pPr>
        <w:numPr>
          <w:ilvl w:val="0"/>
          <w:numId w:val="11"/>
        </w:numPr>
        <w:spacing w:lineRule="auto"/>
      </w:pPr>
      <w:r>
        <w:rPr>
          <w:rFonts w:eastAsia="Georgia" w:cs="Georgia" w:ascii="Georgia" w:hAnsi="Georgia"/>
        </w:rPr>
        <w:t xml:space="preserve">Commenter le rôle du 1,2-dichloroéthane, de l'éthanol et de l'hydroxyde de potassium.</w:t>
      </w:r>
    </w:p>
    <w:p>
      <w:pPr>
        <w:numPr>
          <w:ilvl w:val="0"/>
          <w:numId w:val="11"/>
        </w:numPr>
        <w:spacing w:lineRule="auto"/>
      </w:pPr>
      <w:r>
        <w:rPr>
          <w:rFonts w:eastAsia="Georgia" w:cs="Georgia" w:ascii="Georgia" w:hAnsi="Georgia"/>
        </w:rPr>
        <w:t xml:space="preserve">Donner la structure du composé 3. Préciser quel est l'anion </w:t>
      </w:r>
      <m:oMath>
        <m:sSup>
          <m:sSupPr/>
          <m:e>
            <m:r>
              <m:rPr>
                <m:sty m:val="i"/>
              </m:rPr>
              <m:t>A</m:t>
            </m:r>
          </m:e>
          <m:sup>
            <m:r>
              <m:rPr>
                <m:sty m:val="p"/>
              </m:rPr>
              <m:t>−</m:t>
            </m:r>
          </m:sup>
        </m:sSup>
      </m:oMath>
      <w:r>
        <w:rPr>
          <w:rFonts w:eastAsia="Georgia" w:cs="Georgia" w:ascii="Georgia" w:hAnsi="Georgia"/>
        </w:rPr>
        <w:t xml:space="preserve">associé au cation 3.</w:t>
      </w:r>
    </w:p>
    <w:p>
      <w:pPr>
        <w:numPr>
          <w:ilvl w:val="0"/>
          <w:numId w:val="11"/>
        </w:numPr>
        <w:spacing w:lineRule="auto"/>
      </w:pPr>
      <w:r>
        <w:rPr>
          <w:rFonts w:eastAsia="Georgia" w:cs="Georgia" w:ascii="Georgia" w:hAnsi="Georgia"/>
        </w:rPr>
        <w:t xml:space="preserve">Proposer un mécanisme menant au cation 3 à partir du produit 2 .</w:t>
      </w:r>
    </w:p>
    <w:p>
      <w:pPr>
        <w:numPr>
          <w:ilvl w:val="0"/>
          <w:numId w:val="11"/>
        </w:numPr>
        <w:spacing w:lineRule="auto"/>
      </w:pPr>
      <w:r>
        <w:rPr>
          <w:rFonts w:eastAsia="Georgia" w:cs="Georgia" w:ascii="Georgia" w:hAnsi="Georgia"/>
        </w:rPr>
        <w:t xml:space="preserve">Attribuer les différents signaux observés en RMN du proton correspondant à </w:t>
      </w:r>
      <m:oMath>
        <m:r>
          <m:rPr>
            <m:sty m:val="b"/>
          </m:rPr>
          <m:t>3</m:t>
        </m:r>
      </m:oMath>
      <w:r>
        <w:rPr>
          <w:rFonts w:eastAsia="Georgia" w:cs="Georgia" w:ascii="Georgia" w:hAnsi="Georgia"/>
        </w:rPr>
        <w:t xml:space="preserve"> (tableau (1)) en justifiant leurs intégrations et leurs multiplicités. On donnera une représentation topologique de la molécule faisant apparaître de manière explicite les atomes d'hydrogène.</w:t>
      </w:r>
    </w:p>
    <w:p>
      <w:pPr>
        <w:spacing w:line="271" w:before="330" w:lineRule="auto"/>
      </w:pPr>
      <w:r>
        <w:rPr>
          <w:rFonts w:eastAsia="Georgia" w:cs="Georgia" w:ascii="Georgia" w:hAnsi="Georgia"/>
          <w:b/>
          <w:sz w:val="42"/>
        </w:rPr>
        <w:t xml:space="preserve">I.B Synthèse du polymère.</w:t>
      </w:r>
    </w:p>
    <w:p>
      <w:pPr>
        <w:spacing w:after="220" w:lineRule="auto"/>
      </w:pPr>
      <w:r>
        <w:rPr>
          <w:rFonts w:eastAsia="Georgia" w:cs="Georgia" w:ascii="Georgia" w:hAnsi="Georgia"/>
        </w:rPr>
        <w:t xml:space="preserve">Le composé 3, utilisé comme monomère, est ensuite mis à réagir sous atmosphère de diazote dans de l'éthanol à </w:t>
      </w:r>
      <m:oMath>
        <m:sSup>
          <m:sSupPr/>
          <m:e>
            <m:r>
              <m:rPr>
                <m:sty m:val="p"/>
              </m:rPr>
              <m:t>60</m:t>
            </m:r>
          </m:e>
          <m:sup>
            <m:r>
              <m:rPr>
                <m:sty m:val="p"/>
              </m:rPr>
              <m:t>∘</m:t>
            </m:r>
          </m:sup>
        </m:sSup>
        <m:r>
          <m:rPr>
            <m:sty m:val="p"/>
          </m:rPr>
          <m:t>C</m:t>
        </m:r>
      </m:oMath>
      <w:r>
        <w:rPr>
          <w:rFonts w:eastAsia="Georgia" w:cs="Georgia" w:ascii="Georgia" w:hAnsi="Georgia"/>
        </w:rPr>
        <w:t xml:space="preserve">. La réaction de polymérisation est déclenchée par ajout d'azoisobutyronitrile, noté AIBN. Il s'agit d'un amorceur de polymé- risation. Seuls les résultats issus de cette polymérisation seront étudiés ici. La synthèse du polymère ciblé est décrite sur la figure (2) : le bis(trifluorométhanesulfonyl)amidure de formule </w:t>
      </w:r>
      <m:oMath>
        <m:sSup>
          <m:sSupPr/>
          <m:e>
            <m:d>
              <m:dPr>
                <m:begChr m:val="["/>
                <m:endChr m:val="]"/>
                <m:ctrlPr>
                  <w:rPr>
                    <w:rFonts w:ascii="Cambria Math" w:hAnsi="Cambria Math"/>
                  </w:rPr>
                </m:ctrlPr>
              </m:dPr>
              <m:e>
                <m:r>
                  <m:rPr>
                    <m:sty m:val="p"/>
                  </m:rPr>
                  <m:t>N</m:t>
                </m:r>
                <m:sSub>
                  <m:sSubPr/>
                  <m:e>
                    <m:d>
                      <m:dPr>
                        <m:begChr m:val="("/>
                        <m:endChr m:val=")"/>
                        <m:ctrlPr>
                          <w:rPr>
                            <w:rFonts w:ascii="Cambria Math" w:hAnsi="Cambria Math"/>
                          </w:rPr>
                        </m:ctrlPr>
                      </m:dPr>
                      <m:e>
                        <m:sSub>
                          <m:sSubPr/>
                          <m:e>
                            <m:r>
                              <m:rPr>
                                <m:sty m:val="p"/>
                              </m:rPr>
                              <m:t>SO</m:t>
                            </m:r>
                          </m:e>
                          <m:sub>
                            <m:r>
                              <m:rPr>
                                <m:sty m:val="p"/>
                              </m:rPr>
                              <m:t>2</m:t>
                            </m:r>
                          </m:sub>
                        </m:sSub>
                        <m:sSub>
                          <m:sSubPr/>
                          <m:e>
                            <m:r>
                              <m:rPr>
                                <m:sty m:val="p"/>
                              </m:rPr>
                              <m:t>CF</m:t>
                            </m:r>
                          </m:e>
                          <m:sub>
                            <m:r>
                              <m:rPr>
                                <m:sty m:val="p"/>
                              </m:rPr>
                              <m:t>3</m:t>
                            </m:r>
                          </m:sub>
                        </m:sSub>
                      </m:e>
                    </m:d>
                  </m:e>
                  <m:sub>
                    <m:r>
                      <m:rPr>
                        <m:sty m:val="p"/>
                      </m:rPr>
                      <m:t>2</m:t>
                    </m:r>
                  </m:sub>
                </m:sSub>
              </m:e>
            </m:d>
          </m:e>
          <m:sup>
            <m:r>
              <m:rPr>
                <m:sty m:val="p"/>
              </m:rPr>
              <m:t>−</m:t>
            </m:r>
          </m:sup>
        </m:sSup>
      </m:oMath>
      <w:r>
        <w:rPr>
          <w:rFonts w:eastAsia="Georgia" w:cs="Georgia" w:ascii="Georgia" w:hAnsi="Georgia"/>
        </w:rPr>
        <w:t xml:space="preserve">est noté TFSI </w:t>
      </w:r>
      <m:oMath>
        <m:sSup>
          <m:sSupPr/>
          <m:e>
            <m:r>
              <m:t xml:space="preserve"> </m:t>
            </m:r>
          </m:e>
          <m:sup>
            <m:r>
              <m:rPr>
                <m:sty m:val="p"/>
              </m:rPr>
              <m:t>−</m:t>
            </m:r>
          </m:sup>
        </m:sSup>
      </m:oMath>
      <w:r>
        <w:rPr/>
        <w:t xml:space="preserve">.</w:t>
      </w:r>
    </w:p>
    <w:p>
      <w:pPr>
        <w:spacing w:lineRule="auto"/>
        <w:jc w:val="center"/>
      </w:pPr>
      <w:r>
        <w:rPr/>
        <w:drawing>
          <wp:inline distB="0" distL="0" distR="0" distT="0">
            <wp:extent cx="5486400" cy="1132906"/>
            <wp:effectExtent b="0" l="0" r="0" t="0"/>
            <wp:docPr id="12" name="image-f350736c34fd5329545ad7642ca21c2bb4e2a0c4.jpg"/>
            <a:graphic>
              <a:graphicData uri="http://schemas.openxmlformats.org/drawingml/2006/picture">
                <pic:pic>
                  <pic:nvPicPr>
                    <pic:cNvPr id="12" name="image-f350736c34fd5329545ad7642ca21c2bb4e2a0c4.jpg" descr=""/>
                    <pic:cNvPicPr/>
                  </pic:nvPicPr>
                  <pic:blipFill>
                    <a:blip r:embed="rId16" cstate="print"/>
                    <a:srcRect b="0" l="0" r="0" t="0"/>
                    <a:stretch>
                      <a:fillRect/>
                    </a:stretch>
                  </pic:blipFill>
                  <pic:spPr>
                    <a:xfrm>
                      <a:off x="0" y="0"/>
                      <a:ext cx="5486400" cy="1132906"/>
                    </a:xfrm>
                    <a:prstGeom prst="rect"/>
                  </pic:spPr>
                </pic:pic>
              </a:graphicData>
            </a:graphic>
          </wp:inline>
        </w:drawing>
      </w:r>
    </w:p>
    <w:p>
      <w:pPr>
        <w:spacing w:lineRule="auto"/>
      </w:pPr>
      <w:r>
        <w:rPr>
          <w:rFonts w:eastAsia="Georgia" w:cs="Georgia" w:ascii="Georgia" w:hAnsi="Georgia"/>
        </w:rPr>
        <w:t xml:space="preserve">Figure 2 - Synthèse du polymère.</w:t>
      </w:r>
    </w:p>
    <w:p>
      <w:pPr>
        <w:spacing w:after="220" w:lineRule="auto"/>
      </w:pPr>
      <w:r>
        <w:rPr>
          <w:rFonts w:eastAsia="Georgia" w:cs="Georgia" w:ascii="Georgia" w:hAnsi="Georgia"/>
        </w:rPr>
        <w:t xml:space="preserve">Pour suivre les évolutions entre le monomère </w:t>
      </w:r>
      <m:oMath>
        <m:r>
          <m:rPr>
            <m:sty m:val="b"/>
          </m:rPr>
          <m:t>3</m:t>
        </m:r>
      </m:oMath>
      <w:r>
        <w:rPr>
          <w:rFonts w:eastAsia="Georgia" w:cs="Georgia" w:ascii="Georgia" w:hAnsi="Georgia"/>
        </w:rPr>
        <w:t xml:space="preserve">, le polymère poly- </w:t>
      </w:r>
      <m:oMath>
        <m:r>
          <m:rPr>
            <m:sty m:val="b"/>
          </m:rPr>
          <m:t>3</m:t>
        </m:r>
      </m:oMath>
      <w:r>
        <w:rPr>
          <w:rFonts w:eastAsia="Georgia" w:cs="Georgia" w:ascii="Georgia" w:hAnsi="Georgia"/>
        </w:rPr>
        <w:t xml:space="preserve">;A et le polymère poly- </w:t>
      </w:r>
      <m:oMath>
        <m:r>
          <m:rPr>
            <m:sty m:val="b"/>
          </m:rPr>
          <m:t>3</m:t>
        </m:r>
      </m:oMath>
      <w:r>
        <w:rPr>
          <w:rFonts w:eastAsia="Georgia" w:cs="Georgia" w:ascii="Georgia" w:hAnsi="Georgia"/>
        </w:rPr>
        <w:t xml:space="preserve">;TFSI, la spectroscopie infrarouge a été utilisée. Les spectres sont reportés sur la figure (3).</w:t>
      </w:r>
    </w:p>
    <w:p>
      <w:pPr>
        <w:spacing w:lineRule="auto"/>
        <w:jc w:val="center"/>
      </w:pPr>
      <w:r>
        <w:rPr/>
        <w:drawing>
          <wp:inline distB="0" distL="0" distR="0" distT="0">
            <wp:extent cx="5486400" cy="4294414"/>
            <wp:effectExtent b="0" l="0" r="0" t="0"/>
            <wp:docPr id="13" name="image-a71b798e3e725795de95633c14fdb59cf1e5b0b8.jpg"/>
            <a:graphic>
              <a:graphicData uri="http://schemas.openxmlformats.org/drawingml/2006/picture">
                <pic:pic>
                  <pic:nvPicPr>
                    <pic:cNvPr id="13" name="image-a71b798e3e725795de95633c14fdb59cf1e5b0b8.jpg" descr=""/>
                    <pic:cNvPicPr/>
                  </pic:nvPicPr>
                  <pic:blipFill>
                    <a:blip r:embed="rId17" cstate="print"/>
                    <a:srcRect b="0" l="0" r="0" t="0"/>
                    <a:stretch>
                      <a:fillRect/>
                    </a:stretch>
                  </pic:blipFill>
                  <pic:spPr>
                    <a:xfrm>
                      <a:off x="0" y="0"/>
                      <a:ext cx="5486400" cy="4294414"/>
                    </a:xfrm>
                    <a:prstGeom prst="rect"/>
                  </pic:spPr>
                </pic:pic>
              </a:graphicData>
            </a:graphic>
          </wp:inline>
        </w:drawing>
      </w:r>
    </w:p>
    <w:p>
      <w:pPr>
        <w:spacing w:lineRule="auto"/>
      </w:pPr>
      <w:r>
        <w:rPr>
          <w:rFonts w:eastAsia="Georgia" w:cs="Georgia" w:ascii="Georgia" w:hAnsi="Georgia"/>
        </w:rPr>
        <w:t xml:space="preserve">Figure 3 - Spectres infrarouge du monomère (a), poly-3;A (b) et du poly-3;TFSI (c).</w:t>
      </w:r>
    </w:p>
    <w:p>
      <w:pPr>
        <w:numPr>
          <w:ilvl w:val="0"/>
          <w:numId w:val="12"/>
        </w:numPr>
        <w:spacing w:lineRule="auto"/>
      </w:pPr>
      <w:r>
        <w:rPr>
          <w:rFonts w:eastAsia="Georgia" w:cs="Georgia" w:ascii="Georgia" w:hAnsi="Georgia"/>
        </w:rPr>
        <w:t xml:space="preserve">Quel est l'intérêt de se placer sous atmosphère de diazote?</w:t>
      </w:r>
    </w:p>
    <w:p>
      <w:pPr>
        <w:numPr>
          <w:ilvl w:val="0"/>
          <w:numId w:val="12"/>
        </w:numPr>
        <w:spacing w:lineRule="auto"/>
      </w:pPr>
      <w:r>
        <w:rPr/>
        <w:t xml:space="preserve">Donner une structure de Lewis pour l'anion </w:t>
      </w:r>
      <m:oMath>
        <m:sSup>
          <m:sSupPr/>
          <m:e>
            <m:r>
              <m:rPr>
                <m:sty m:val="p"/>
              </m:rPr>
              <m:t>TFSI</m:t>
            </m:r>
          </m:e>
          <m:sup>
            <m:r>
              <m:rPr>
                <m:sty m:val="p"/>
              </m:rPr>
              <m:t>−</m:t>
            </m:r>
          </m:sup>
        </m:sSup>
      </m:oMath>
      <w:r>
        <w:rPr/>
        <w:t xml:space="preserve">.</w:t>
      </w:r>
    </w:p>
    <w:p>
      <w:pPr>
        <w:numPr>
          <w:ilvl w:val="0"/>
          <w:numId w:val="12"/>
        </w:numPr>
        <w:spacing w:lineRule="auto"/>
      </w:pPr>
      <w:r>
        <w:rPr>
          <w:rFonts w:eastAsia="Georgia" w:cs="Georgia" w:ascii="Georgia" w:hAnsi="Georgia"/>
        </w:rPr>
        <w:t xml:space="preserve">Représenter le motif du polymère poly- </w:t>
      </w:r>
      <m:oMath>
        <m:r>
          <m:rPr>
            <m:sty m:val="b"/>
          </m:rPr>
          <m:t>3</m:t>
        </m:r>
        <m:r>
          <m:rPr>
            <m:sty m:val="p"/>
          </m:rPr>
          <m:t>;</m:t>
        </m:r>
      </m:oMath>
      <w:r>
        <w:rPr/>
        <w:t xml:space="preserve"> TFSI.</w:t>
      </w:r>
    </w:p>
    <w:p>
      <w:pPr>
        <w:numPr>
          <w:ilvl w:val="0"/>
          <w:numId w:val="12"/>
        </w:numPr>
        <w:spacing w:lineRule="auto"/>
      </w:pPr>
      <w:r>
        <w:rPr>
          <w:rFonts w:eastAsia="Georgia" w:cs="Georgia" w:ascii="Georgia" w:hAnsi="Georgia"/>
        </w:rPr>
        <w:t xml:space="preserve">Montrer que l'étude des données infra-rouge sont cohérentes avec l'obtention des polymères poly- </w:t>
      </w:r>
      <m:oMath>
        <m:r>
          <m:rPr>
            <m:sty m:val="b"/>
          </m:rPr>
          <m:t>3</m:t>
        </m:r>
        <m:r>
          <m:rPr>
            <m:sty m:val="p"/>
          </m:rPr>
          <m:t>;</m:t>
        </m:r>
        <m:r>
          <m:rPr>
            <m:sty m:val="p"/>
          </m:rPr>
          <m:t>A</m:t>
        </m:r>
      </m:oMath>
      <w:r>
        <w:rPr/>
        <w:t xml:space="preserve"> et poly- </w:t>
      </w:r>
      <m:oMath>
        <m:r>
          <m:rPr>
            <m:sty m:val="b"/>
          </m:rPr>
          <m:t>3</m:t>
        </m:r>
        <m:r>
          <m:rPr>
            <m:sty m:val="p"/>
          </m:rPr>
          <m:t>;</m:t>
        </m:r>
        <m:r>
          <m:rPr>
            <m:sty m:val="p"/>
          </m:rPr>
          <m:t>TFSI</m:t>
        </m:r>
      </m:oMath>
      <w:r>
        <w:rPr/>
        <w:t xml:space="preserve">.</w:t>
      </w:r>
    </w:p>
    <w:p>
      <w:pPr>
        <w:numPr>
          <w:ilvl w:val="0"/>
          <w:numId w:val="12"/>
        </w:numPr>
        <w:spacing w:lineRule="auto"/>
      </w:pPr>
      <w:r>
        <w:rPr>
          <w:rFonts w:eastAsia="Georgia" w:cs="Georgia" w:ascii="Georgia" w:hAnsi="Georgia"/>
        </w:rPr>
        <w:t xml:space="preserve">À quelle(s) espèce(s) peut-on attribuer le signal situé vers </w:t>
      </w:r>
      <m:oMath>
        <m:r>
          <m:rPr>
            <m:sty m:val="p"/>
          </m:rPr>
          <m:t>3500</m:t>
        </m:r>
        <m:sSup>
          <m:sSupPr/>
          <m:e>
            <m:r>
              <m:rPr>
                <m:nor/>
              </m:rPr>
              <m:t xml:space="preserve"> </m:t>
            </m:r>
            <m:r>
              <m:rPr>
                <m:sty m:val="p"/>
              </m:rPr>
              <m:t>cm</m:t>
            </m:r>
          </m:e>
          <m:sup>
            <m:r>
              <m:rPr>
                <m:sty m:val="p"/>
              </m:rPr>
              <m:t>−</m:t>
            </m:r>
            <m:r>
              <m:rPr>
                <m:sty m:val="p"/>
              </m:rPr>
              <m:t>1</m:t>
            </m:r>
          </m:sup>
        </m:sSup>
      </m:oMath>
      <w:r>
        <w:rPr/>
        <w:t xml:space="preserve"> ?</w:t>
      </w:r>
    </w:p>
    <w:p>
      <w:pPr>
        <w:spacing w:line="271" w:before="330" w:lineRule="auto"/>
      </w:pPr>
      <w:r>
        <w:rPr>
          <w:rFonts w:eastAsia="Georgia" w:cs="Georgia" w:ascii="Georgia" w:hAnsi="Georgia"/>
          <w:b/>
          <w:sz w:val="42"/>
        </w:rPr>
        <w:t xml:space="preserve">II Préparation des cellules et principe de fonctionnement.</w:t>
      </w:r>
    </w:p>
    <w:p>
      <w:pPr>
        <w:spacing w:after="220" w:lineRule="auto"/>
      </w:pPr>
      <w:r>
        <w:rPr>
          <w:rFonts w:eastAsia="Georgia" w:cs="Georgia" w:ascii="Georgia" w:hAnsi="Georgia"/>
        </w:rPr>
        <w:t xml:space="preserve">Une description schématique de la cellule photovoltaïque étudiée est proposée sur la figure (4). Les cellules photovoltaïques DSSC sont composées d'une électrode d'oxyde de titane ( </w:t>
      </w:r>
      <m:oMath>
        <m:sSub>
          <m:sSubPr/>
          <m:e>
            <m:r>
              <m:rPr>
                <m:sty m:val="p"/>
              </m:rPr>
              <m:t>TiO</m:t>
            </m:r>
          </m:e>
          <m:sub>
            <m:r>
              <m:rPr>
                <m:sty m:val="p"/>
              </m:rPr>
              <m:t>2</m:t>
            </m:r>
          </m:sub>
        </m:sSub>
      </m:oMath>
      <w:r>
        <w:rPr>
          <w:rFonts w:eastAsia="Georgia" w:cs="Georgia" w:ascii="Georgia" w:hAnsi="Georgia"/>
        </w:rPr>
        <w:t xml:space="preserve"> ) qui a été associée à un complexe de ruthénium : on parle de dopage de l'électrode d'oxyde de titane. Le complexe est ici le cis-bis(isothiocyanato)bis( 2,2 '-bipyridyl-, 4,4 'dicarboxylato) ruthénium(II) et sera noté [ </w:t>
      </w:r>
      <m:oMath>
        <m:sSup>
          <m:sSupPr/>
          <m:e>
            <m:r>
              <m:rPr>
                <m:sty m:val="p"/>
              </m:rPr>
              <m:t>Ru</m:t>
            </m:r>
          </m:e>
          <m:sup>
            <m:r>
              <m:rPr>
                <m:sty m:val="p"/>
              </m:rPr>
              <m:t>II</m:t>
            </m:r>
          </m:sup>
        </m:sSup>
      </m:oMath>
      <w:r>
        <w:rPr>
          <w:rFonts w:eastAsia="Georgia" w:cs="Georgia" w:ascii="Georgia" w:hAnsi="Georgia"/>
        </w:rPr>
        <w:t xml:space="preserve"> ]. Ce complexe permet la photo-activation, c'est-à-dire la production d'électrons au sein de l'électrode d'oxyde de titane lorsque la cellule est soumise à un rayonnement. Une autre électrode d'oxyde de titane joue le rôle de contre-électrode. Entre ces deux électrodes un couple d'oxydo-réducteur (ici </w:t>
      </w:r>
      <m:oMath>
        <m:sSub>
          <m:sSubPr/>
          <m:e>
            <m:r>
              <m:rPr>
                <m:sty m:val="p"/>
              </m:rPr>
              <m:t>I</m:t>
            </m:r>
          </m:e>
          <m:sub>
            <m:r>
              <m:rPr>
                <m:sty m:val="p"/>
              </m:rPr>
              <m:t>3</m:t>
            </m:r>
          </m:sub>
        </m:sSub>
        <m:sSup>
          <m:sSupPr/>
          <m:e>
            <m:r>
              <m:t xml:space="preserve"> </m:t>
            </m:r>
          </m:e>
          <m:sup>
            <m:r>
              <m:rPr>
                <m:sty m:val="p"/>
              </m:rPr>
              <m:t>−</m:t>
            </m:r>
          </m:sup>
        </m:sSup>
        <m:r>
          <m:rPr>
            <m:sty m:val="p"/>
          </m:rPr>
          <m:t>/</m:t>
        </m:r>
        <m:sSup>
          <m:sSupPr/>
          <m:e>
            <m:r>
              <m:rPr>
                <m:sty m:val="p"/>
              </m:rPr>
              <m:t>I</m:t>
            </m:r>
          </m:e>
          <m:sup>
            <m:r>
              <m:rPr>
                <m:sty m:val="p"/>
              </m:rPr>
              <m:t>−</m:t>
            </m:r>
          </m:sup>
        </m:sSup>
      </m:oMath>
      <w:r>
        <w:rPr>
          <w:rFonts w:eastAsia="Georgia" w:cs="Georgia" w:ascii="Georgia" w:hAnsi="Georgia"/>
        </w:rPr>
        <w:t xml:space="preserve">) permet d'assurer la ré-oxydation du complexe. La forme oxydée de ce couple est réduite à la contre-électrode. La nature exacte du gel-électrolyte utilisé sera étudiée dans la partie (III).</w:t>
      </w:r>
    </w:p>
    <w:p>
      <w:pPr>
        <w:spacing w:lineRule="auto"/>
        <w:jc w:val="center"/>
      </w:pPr>
      <w:r>
        <w:rPr/>
        <w:drawing>
          <wp:inline distB="0" distL="0" distR="0" distT="0">
            <wp:extent cx="5486400" cy="2457871"/>
            <wp:effectExtent b="0" l="0" r="0" t="0"/>
            <wp:docPr id="14" name="image-5e3897e5aefc98f12871243b1d2ed1122a2dd1af.jpg"/>
            <a:graphic>
              <a:graphicData uri="http://schemas.openxmlformats.org/drawingml/2006/picture">
                <pic:pic>
                  <pic:nvPicPr>
                    <pic:cNvPr id="14" name="image-5e3897e5aefc98f12871243b1d2ed1122a2dd1af.jpg" descr=""/>
                    <pic:cNvPicPr/>
                  </pic:nvPicPr>
                  <pic:blipFill>
                    <a:blip r:embed="rId18" cstate="print"/>
                    <a:srcRect b="0" l="0" r="0" t="0"/>
                    <a:stretch>
                      <a:fillRect/>
                    </a:stretch>
                  </pic:blipFill>
                  <pic:spPr>
                    <a:xfrm>
                      <a:off x="0" y="0"/>
                      <a:ext cx="5486400" cy="2457871"/>
                    </a:xfrm>
                    <a:prstGeom prst="rect"/>
                  </pic:spPr>
                </pic:pic>
              </a:graphicData>
            </a:graphic>
          </wp:inline>
        </w:drawing>
      </w:r>
    </w:p>
    <w:p>
      <w:pPr>
        <w:spacing w:lineRule="auto"/>
      </w:pPr>
      <w:r>
        <w:rPr>
          <w:rFonts w:eastAsia="Georgia" w:cs="Georgia" w:ascii="Georgia" w:hAnsi="Georgia"/>
        </w:rPr>
        <w:t xml:space="preserve">Figure 4 - Représentation schématique d'une cellule photovoltaïque DSSC.</w:t>
      </w:r>
    </w:p>
    <w:p>
      <w:pPr>
        <w:spacing w:line="271" w:before="330" w:lineRule="auto"/>
      </w:pPr>
      <w:r>
        <w:rPr>
          <w:rFonts w:eastAsia="Georgia" w:cs="Georgia" w:ascii="Georgia" w:hAnsi="Georgia"/>
          <w:b/>
          <w:sz w:val="42"/>
        </w:rPr>
        <w:t xml:space="preserve">II.A Les électrodes de </w:t>
      </w:r>
      <m:oMath>
        <m:sSub>
          <m:sSubPr>
            <m:ctrlPr>
              <w:rPr>
                <w:rFonts w:ascii="Cambria Math" w:hAnsi="Cambria Math"/>
                <w:sz w:val="42"/>
              </w:rPr>
            </m:ctrlPr>
          </m:sSubPr>
          <m:e>
            <m:r>
              <m:rPr>
                <m:sty m:val="b"/>
              </m:rPr>
              <w:rPr>
                <w:sz w:val="42"/>
              </w:rPr>
              <m:t>T</m:t>
            </m:r>
            <m:r>
              <m:rPr>
                <m:sty m:val="b"/>
              </m:rPr>
              <w:rPr>
                <w:sz w:val="42"/>
              </w:rPr>
              <m:t>i</m:t>
            </m:r>
            <m:r>
              <m:rPr>
                <m:sty m:val="b"/>
              </m:rPr>
              <w:rPr>
                <w:sz w:val="42"/>
              </w:rPr>
              <m:t>O</m:t>
            </m:r>
          </m:e>
          <m:sub>
            <m:r>
              <m:rPr>
                <m:sty m:val="b"/>
              </m:rPr>
              <w:rPr>
                <w:sz w:val="42"/>
              </w:rPr>
              <m:t>2</m:t>
            </m:r>
          </m:sub>
        </m:sSub>
      </m:oMath>
      <w:r>
        <w:rPr>
          <w:b/>
          <w:sz w:val="42"/>
        </w:rPr>
        <w:t xml:space="preserve">.</w:t>
      </w:r>
    </w:p>
    <w:p>
      <w:pPr>
        <w:spacing w:after="220" w:lineRule="auto"/>
      </w:pPr>
      <w:r>
        <w:rPr>
          <w:rFonts w:eastAsia="Georgia" w:cs="Georgia" w:ascii="Georgia" w:hAnsi="Georgia"/>
        </w:rPr>
        <w:t xml:space="preserve">Le dioxyde de titane peut se trouver sous différentes formes allotropiques. La forme étudiée ici est la forme rutile. Elle est décrite par une maille dont les paramètres sont </w:t>
      </w:r>
      <m:oMath>
        <m:r>
          <m:rPr>
            <m:sty m:val="i"/>
          </m:rPr>
          <m:t>a</m:t>
        </m:r>
        <m:r>
          <m:rPr>
            <m:sty m:val="p"/>
          </m:rPr>
          <m:t>=</m:t>
        </m:r>
        <m:r>
          <m:rPr>
            <m:sty m:val="i"/>
          </m:rPr>
          <m:t>b</m:t>
        </m:r>
        <m:r>
          <m:rPr>
            <m:sty m:val="p"/>
          </m:rPr>
          <m:t>=</m:t>
        </m:r>
        <m:r>
          <m:rPr>
            <m:sty m:val="p"/>
          </m:rPr>
          <m:t>450</m:t>
        </m:r>
        <m:r>
          <m:rPr>
            <m:sty m:val="p"/>
          </m:rPr>
          <m:t>pm</m:t>
        </m:r>
      </m:oMath>
      <w:r>
        <w:rPr/>
        <w:t xml:space="preserve"> et </w:t>
      </w:r>
      <m:oMath>
        <m:r>
          <m:rPr>
            <m:sty m:val="i"/>
          </m:rPr>
          <m:t>c</m:t>
        </m:r>
        <m:r>
          <m:rPr>
            <m:sty m:val="p"/>
          </m:rPr>
          <m:t>=</m:t>
        </m:r>
        <m:r>
          <m:rPr>
            <m:sty m:val="p"/>
          </m:rPr>
          <m:t>300</m:t>
        </m:r>
        <m:r>
          <m:rPr>
            <m:sty m:val="p"/>
          </m:rPr>
          <m:t>pm</m:t>
        </m:r>
      </m:oMath>
      <w:r>
        <w:rPr>
          <w:rFonts w:eastAsia="Georgia" w:cs="Georgia" w:ascii="Georgia" w:hAnsi="Georgia"/>
        </w:rPr>
        <w:t xml:space="preserve"> et tous les angles sont droits. Les atomes de titane occupent une maille dite centrée, dont une représentation est donnée sur la figure (5). Les atomes d'oxygène de la maille ont les coordonnées </w:t>
      </w:r>
      <m:oMath>
        <m:r>
          <m:rPr>
            <m:sty m:val="p"/>
          </m:rPr>
          <m:t>(</m:t>
        </m:r>
        <m:r>
          <m:rPr>
            <m:sty m:val="i"/>
          </m:rPr>
          <m:t>x</m:t>
        </m:r>
        <m:r>
          <m:rPr>
            <m:sty m:val="p"/>
          </m:rPr>
          <m:t>;</m:t>
        </m:r>
        <m:r>
          <m:rPr>
            <m:sty m:val="i"/>
          </m:rPr>
          <m:t>y</m:t>
        </m:r>
        <m:r>
          <m:rPr>
            <m:sty m:val="p"/>
          </m:rPr>
          <m:t>;</m:t>
        </m:r>
        <m:r>
          <m:rPr>
            <m:sty m:val="i"/>
          </m:rPr>
          <m:t>z</m:t>
        </m:r>
        <m:r>
          <m:rPr>
            <m:sty m:val="p"/>
          </m:rPr>
          <m:t>)</m:t>
        </m:r>
      </m:oMath>
      <w:r>
        <w:rPr/>
        <w:t xml:space="preserve"> suivantes : ( 0,</w:t>
      </w:r>
      <m:oMath>
        <m:r>
          <m:rPr>
            <m:sty m:val="p"/>
          </m:rPr>
          <m:t>3</m:t>
        </m:r>
        <m:r>
          <m:rPr>
            <m:sty m:val="p"/>
          </m:rPr>
          <m:t>;</m:t>
        </m:r>
        <m:r>
          <m:rPr>
            <m:sty m:val="p"/>
          </m:rPr>
          <m:t>0</m:t>
        </m:r>
        <m:r>
          <m:rPr>
            <m:sty m:val="p"/>
          </m:rPr>
          <m:t>,</m:t>
        </m:r>
        <m:r>
          <m:rPr>
            <m:sty m:val="p"/>
          </m:rPr>
          <m:t>3</m:t>
        </m:r>
        <m:r>
          <m:rPr>
            <m:sty m:val="p"/>
          </m:rPr>
          <m:t>;</m:t>
        </m:r>
        <m:r>
          <m:rPr>
            <m:sty m:val="p"/>
          </m:rPr>
          <m:t>0</m:t>
        </m:r>
      </m:oMath>
      <w:r>
        <w:rPr/>
        <w:t xml:space="preserve"> ) ( 0,</w:t>
      </w:r>
      <m:oMath>
        <m:r>
          <m:rPr>
            <m:sty m:val="p"/>
          </m:rPr>
          <m:t>7</m:t>
        </m:r>
        <m:r>
          <m:rPr>
            <m:sty m:val="p"/>
          </m:rPr>
          <m:t>;</m:t>
        </m:r>
        <m:r>
          <m:rPr>
            <m:sty m:val="p"/>
          </m:rPr>
          <m:t>0</m:t>
        </m:r>
        <m:r>
          <m:rPr>
            <m:sty m:val="p"/>
          </m:rPr>
          <m:t>,</m:t>
        </m:r>
        <m:r>
          <m:rPr>
            <m:sty m:val="p"/>
          </m:rPr>
          <m:t>7</m:t>
        </m:r>
        <m:r>
          <m:rPr>
            <m:sty m:val="p"/>
          </m:rPr>
          <m:t>;</m:t>
        </m:r>
        <m:r>
          <m:rPr>
            <m:sty m:val="p"/>
          </m:rPr>
          <m:t>0</m:t>
        </m:r>
      </m:oMath>
      <w:r>
        <w:rPr/>
        <w:t xml:space="preserve"> ) ( 0,</w:t>
      </w:r>
      <m:oMath>
        <m:r>
          <m:rPr>
            <m:sty m:val="p"/>
          </m:rPr>
          <m:t>8</m:t>
        </m:r>
        <m:r>
          <m:rPr>
            <m:sty m:val="p"/>
          </m:rPr>
          <m:t>;</m:t>
        </m:r>
        <m:r>
          <m:rPr>
            <m:sty m:val="p"/>
          </m:rPr>
          <m:t>0</m:t>
        </m:r>
        <m:r>
          <m:rPr>
            <m:sty m:val="p"/>
          </m:rPr>
          <m:t>,</m:t>
        </m:r>
        <m:r>
          <m:rPr>
            <m:sty m:val="p"/>
          </m:rPr>
          <m:t>2</m:t>
        </m:r>
        <m:r>
          <m:rPr>
            <m:sty m:val="p"/>
          </m:rPr>
          <m:t>;</m:t>
        </m:r>
        <m:r>
          <m:rPr>
            <m:sty m:val="p"/>
          </m:rPr>
          <m:t>0</m:t>
        </m:r>
        <m:r>
          <m:rPr>
            <m:sty m:val="p"/>
          </m:rPr>
          <m:t>,</m:t>
        </m:r>
        <m:r>
          <m:rPr>
            <m:sty m:val="p"/>
          </m:rPr>
          <m:t>5</m:t>
        </m:r>
      </m:oMath>
      <w:r>
        <w:rPr/>
        <w:t xml:space="preserve"> ) ( 0,</w:t>
      </w:r>
      <m:oMath>
        <m:r>
          <m:rPr>
            <m:sty m:val="p"/>
          </m:rPr>
          <m:t>2</m:t>
        </m:r>
        <m:r>
          <m:rPr>
            <m:sty m:val="p"/>
          </m:rPr>
          <m:t>;</m:t>
        </m:r>
        <m:r>
          <m:rPr>
            <m:sty m:val="p"/>
          </m:rPr>
          <m:t>0</m:t>
        </m:r>
        <m:r>
          <m:rPr>
            <m:sty m:val="p"/>
          </m:rPr>
          <m:t>,</m:t>
        </m:r>
        <m:r>
          <m:rPr>
            <m:sty m:val="p"/>
          </m:rPr>
          <m:t>8</m:t>
        </m:r>
        <m:r>
          <m:rPr>
            <m:sty m:val="p"/>
          </m:rPr>
          <m:t>;</m:t>
        </m:r>
        <m:r>
          <m:rPr>
            <m:sty m:val="p"/>
          </m:rPr>
          <m:t>0</m:t>
        </m:r>
        <m:r>
          <m:rPr>
            <m:sty m:val="p"/>
          </m:rPr>
          <m:t>,</m:t>
        </m:r>
        <m:r>
          <m:rPr>
            <m:sty m:val="p"/>
          </m:rPr>
          <m:t>5</m:t>
        </m:r>
      </m:oMath>
      <w:r>
        <w:rPr/>
        <w:t xml:space="preserve"> ) ( 0,</w:t>
      </w:r>
      <m:oMath>
        <m:r>
          <m:rPr>
            <m:sty m:val="p"/>
          </m:rPr>
          <m:t>3</m:t>
        </m:r>
        <m:r>
          <m:rPr>
            <m:sty m:val="p"/>
          </m:rPr>
          <m:t>;</m:t>
        </m:r>
        <m:r>
          <m:rPr>
            <m:sty m:val="p"/>
          </m:rPr>
          <m:t>0</m:t>
        </m:r>
        <m:r>
          <m:rPr>
            <m:sty m:val="p"/>
          </m:rPr>
          <m:t>,</m:t>
        </m:r>
        <m:r>
          <m:rPr>
            <m:sty m:val="p"/>
          </m:rPr>
          <m:t>3</m:t>
        </m:r>
        <m:r>
          <m:rPr>
            <m:sty m:val="p"/>
          </m:rPr>
          <m:t>;</m:t>
        </m:r>
        <m:r>
          <m:rPr>
            <m:sty m:val="p"/>
          </m:rPr>
          <m:t>1</m:t>
        </m:r>
      </m:oMath>
      <w:r>
        <w:rPr/>
        <w:t xml:space="preserve"> ) ( 0,</w:t>
      </w:r>
      <m:oMath>
        <m:r>
          <m:rPr>
            <m:sty m:val="p"/>
          </m:rPr>
          <m:t>7</m:t>
        </m:r>
        <m:r>
          <m:rPr>
            <m:sty m:val="p"/>
          </m:rPr>
          <m:t>;</m:t>
        </m:r>
        <m:r>
          <m:rPr>
            <m:sty m:val="p"/>
          </m:rPr>
          <m:t>0</m:t>
        </m:r>
        <m:r>
          <m:rPr>
            <m:sty m:val="p"/>
          </m:rPr>
          <m:t>,</m:t>
        </m:r>
        <m:r>
          <m:rPr>
            <m:sty m:val="p"/>
          </m:rPr>
          <m:t>7</m:t>
        </m:r>
        <m:r>
          <m:rPr>
            <m:sty m:val="p"/>
          </m:rPr>
          <m:t>;</m:t>
        </m:r>
        <m:r>
          <m:rPr>
            <m:sty m:val="p"/>
          </m:rPr>
          <m:t>1</m:t>
        </m:r>
      </m:oMath>
      <w:r>
        <w:rPr/>
        <w:t xml:space="preserve"> ).</w:t>
      </w:r>
    </w:p>
    <w:p>
      <w:pPr>
        <w:spacing w:lineRule="auto"/>
        <w:jc w:val="center"/>
      </w:pPr>
      <w:r>
        <w:rPr/>
        <w:drawing>
          <wp:inline distB="0" distL="0" distR="0" distT="0">
            <wp:extent cx="5391150" cy="2324100"/>
            <wp:effectExtent b="0" l="0" r="0" t="0"/>
            <wp:docPr id="15" name="image-eec03b03c00942b14eb390604fbef369622b7141.jpg"/>
            <a:graphic>
              <a:graphicData uri="http://schemas.openxmlformats.org/drawingml/2006/picture">
                <pic:pic>
                  <pic:nvPicPr>
                    <pic:cNvPr id="15" name="image-eec03b03c00942b14eb390604fbef369622b7141.jpg" descr=""/>
                    <pic:cNvPicPr/>
                  </pic:nvPicPr>
                  <pic:blipFill>
                    <a:blip r:embed="rId19" cstate="print"/>
                    <a:srcRect b="0" l="0" r="0" t="0"/>
                    <a:stretch>
                      <a:fillRect/>
                    </a:stretch>
                  </pic:blipFill>
                  <pic:spPr>
                    <a:xfrm>
                      <a:off x="0" y="0"/>
                      <a:ext cx="5391150" cy="2324100"/>
                    </a:xfrm>
                    <a:prstGeom prst="rect"/>
                  </pic:spPr>
                </pic:pic>
              </a:graphicData>
            </a:graphic>
          </wp:inline>
        </w:drawing>
      </w:r>
    </w:p>
    <w:p>
      <w:pPr>
        <w:spacing w:lineRule="auto"/>
      </w:pPr>
      <w:r>
        <w:rPr>
          <w:rFonts w:eastAsia="Georgia" w:cs="Georgia" w:ascii="Georgia" w:hAnsi="Georgia"/>
        </w:rPr>
        <w:t xml:space="preserve">Figure 5 - Représentation schématique de la maille centrée : les atomes de titane sont représentés en noir.</w:t>
      </w:r>
    </w:p>
    <w:p>
      <w:pPr>
        <w:numPr>
          <w:ilvl w:val="0"/>
          <w:numId w:val="13"/>
        </w:numPr>
        <w:spacing w:lineRule="auto"/>
      </w:pPr>
      <w:r>
        <w:rPr>
          <w:rFonts w:eastAsia="Georgia" w:cs="Georgia" w:ascii="Georgia" w:hAnsi="Georgia"/>
        </w:rPr>
        <w:t xml:space="preserve">Reprendre le schéma de la figure (5) en complétant la maille rutile.</w:t>
      </w:r>
    </w:p>
    <w:p>
      <w:pPr>
        <w:numPr>
          <w:ilvl w:val="0"/>
          <w:numId w:val="13"/>
        </w:numPr>
        <w:spacing w:lineRule="auto"/>
      </w:pPr>
      <w:r>
        <w:rPr/>
        <w:t xml:space="preserve">Donner le nombre de motifs par maille et la coordinence </w:t>
      </w:r>
      <m:oMath>
        <m:r>
          <m:rPr>
            <m:sty m:val="p"/>
          </m:rPr>
          <m:t>Ti</m:t>
        </m:r>
        <m:r>
          <m:rPr>
            <m:sty m:val="p"/>
          </m:rPr>
          <m:t>/</m:t>
        </m:r>
        <m:r>
          <m:rPr>
            <m:sty m:val="p"/>
          </m:rPr>
          <m:t>O</m:t>
        </m:r>
      </m:oMath>
      <w:r>
        <w:rPr/>
        <w:t xml:space="preserve"> et </w:t>
      </w:r>
      <m:oMath>
        <m:r>
          <m:rPr>
            <m:sty m:val="p"/>
          </m:rPr>
          <m:t>O</m:t>
        </m:r>
        <m:r>
          <m:rPr>
            <m:sty m:val="p"/>
          </m:rPr>
          <m:t>/</m:t>
        </m:r>
        <m:r>
          <m:rPr>
            <m:sty m:val="p"/>
          </m:rPr>
          <m:t>Ti</m:t>
        </m:r>
      </m:oMath>
      <w:r>
        <w:rPr/>
        <w:t xml:space="preserve">.</w:t>
      </w:r>
    </w:p>
    <w:p>
      <w:pPr>
        <w:numPr>
          <w:ilvl w:val="0"/>
          <w:numId w:val="13"/>
        </w:numPr>
        <w:spacing w:lineRule="auto"/>
      </w:pPr>
      <w:r>
        <w:rPr>
          <w:rFonts w:eastAsia="Georgia" w:cs="Georgia" w:ascii="Georgia" w:hAnsi="Georgia"/>
        </w:rPr>
        <w:t xml:space="preserve">Calculer la masse volumique de l'oxyde de titane, et la comparer à la valeur expérimentale fournie en annexe.</w:t>
      </w:r>
    </w:p>
    <w:p>
      <w:pPr>
        <w:spacing w:line="271" w:before="330" w:lineRule="auto"/>
      </w:pPr>
      <w:r>
        <w:rPr>
          <w:rFonts w:eastAsia="Georgia" w:cs="Georgia" w:ascii="Georgia" w:hAnsi="Georgia"/>
          <w:b/>
          <w:sz w:val="42"/>
        </w:rPr>
        <w:t xml:space="preserve">II.B Le complexe de ruthénium.</w:t>
      </w:r>
    </w:p>
    <w:p>
      <w:pPr>
        <w:spacing w:after="220" w:lineRule="auto"/>
      </w:pPr>
      <w:r>
        <w:rPr>
          <w:rFonts w:eastAsia="Georgia" w:cs="Georgia" w:ascii="Georgia" w:hAnsi="Georgia"/>
        </w:rPr>
        <w:t xml:space="preserve">Le complexe de ruthénium est la molécule clé dans les cellules DSSC puisqu'il permet d'absorber le rayonnement solaire. L'absorption permet la formation d'une espèce intermédiaire </w:t>
      </w:r>
      <m:oMath>
        <m:sSup>
          <m:sSupPr/>
          <m:e>
            <m:d>
              <m:dPr>
                <m:begChr m:val="["/>
                <m:endChr m:val="]"/>
                <m:ctrlPr>
                  <w:rPr>
                    <w:rFonts w:ascii="Cambria Math" w:hAnsi="Cambria Math"/>
                  </w:rPr>
                </m:ctrlPr>
              </m:dPr>
              <m:e>
                <m:sSup>
                  <m:sSupPr/>
                  <m:e>
                    <m:r>
                      <m:rPr>
                        <m:sty m:val="p"/>
                      </m:rPr>
                      <m:t>Ru</m:t>
                    </m:r>
                  </m:e>
                  <m:sup>
                    <m:r>
                      <m:rPr>
                        <m:sty m:val="p"/>
                      </m:rPr>
                      <m:t>II</m:t>
                    </m:r>
                  </m:sup>
                </m:sSup>
              </m:e>
            </m:d>
          </m:e>
          <m:sup>
            <m:r>
              <m:rPr>
                <m:sty m:val="p"/>
              </m:rPr>
              <m:t>∗</m:t>
            </m:r>
          </m:sup>
        </m:sSup>
      </m:oMath>
      <w:r>
        <w:rPr>
          <w:rFonts w:eastAsia="Georgia" w:cs="Georgia" w:ascii="Georgia" w:hAnsi="Georgia"/>
        </w:rPr>
        <w:t xml:space="preserve">. Cette espèce cède alors un électron à l'électrode de </w:t>
      </w:r>
      <m:oMath>
        <m:sSub>
          <m:sSubPr/>
          <m:e>
            <m:r>
              <m:rPr>
                <m:sty m:val="p"/>
              </m:rPr>
              <m:t>TiO</m:t>
            </m:r>
          </m:e>
          <m:sub>
            <m:r>
              <m:rPr>
                <m:sty m:val="p"/>
              </m:rPr>
              <m:t>2</m:t>
            </m:r>
          </m:sub>
        </m:sSub>
      </m:oMath>
      <w:r>
        <w:rPr>
          <w:rFonts w:eastAsia="Georgia" w:cs="Georgia" w:ascii="Georgia" w:hAnsi="Georgia"/>
        </w:rPr>
        <w:t xml:space="preserve"> pour former l'espèce </w:t>
      </w:r>
      <m:oMath>
        <m:d>
          <m:dPr>
            <m:begChr m:val="["/>
            <m:endChr m:val="]"/>
            <m:ctrlPr>
              <w:rPr>
                <w:rFonts w:ascii="Cambria Math" w:hAnsi="Cambria Math"/>
              </w:rPr>
            </m:ctrlPr>
          </m:dPr>
          <m:e>
            <m:sSup>
              <m:sSupPr/>
              <m:e>
                <m:r>
                  <m:rPr>
                    <m:sty m:val="p"/>
                  </m:rPr>
                  <m:t>Ru</m:t>
                </m:r>
              </m:e>
              <m:sup>
                <m:r>
                  <m:rPr>
                    <m:sty m:val="p"/>
                  </m:rPr>
                  <m:t>III</m:t>
                </m:r>
              </m:sup>
            </m:sSup>
          </m:e>
        </m:d>
      </m:oMath>
      <w:r>
        <w:rPr/>
        <w:t xml:space="preserve">. L'absorption du complexe [ </w:t>
      </w:r>
      <m:oMath>
        <m:sSup>
          <m:sSupPr/>
          <m:e>
            <m:r>
              <m:rPr>
                <m:sty m:val="p"/>
              </m:rPr>
              <m:t>Ru</m:t>
            </m:r>
          </m:e>
          <m:sup>
            <m:r>
              <m:rPr>
                <m:sty m:val="p"/>
              </m:rPr>
              <m:t>II</m:t>
            </m:r>
          </m:sup>
        </m:sSup>
      </m:oMath>
      <w:r>
        <w:rPr/>
        <w:t xml:space="preserve"> ] ainsi que l'oxydation de ce dernier font l'objet de cette partie.</w:t>
      </w:r>
      <w:r>
        <w:rPr/>
        <w:br w:type="textWrapping"/>
      </w:r>
      <w:r>
        <w:rPr>
          <w:rFonts w:eastAsia="Georgia" w:cs="Georgia" w:ascii="Georgia" w:hAnsi="Georgia"/>
        </w:rPr>
        <w:t xml:space="preserve">16. Donner l'environnement géométrique autour de l'atome de ruthénium.</w:t>
      </w:r>
      <w:r>
        <w:rPr/>
        <w:br w:type="textWrapping"/>
      </w:r>
      <w:r>
        <w:rPr>
          <w:rFonts w:eastAsia="Georgia" w:cs="Georgia" w:ascii="Georgia" w:hAnsi="Georgia"/>
        </w:rPr>
        <w:t xml:space="preserve">17. Préciser la nature du recouvrement ( </w:t>
      </w:r>
      <m:oMath>
        <m:r>
          <m:rPr>
            <m:sty m:val="i"/>
          </m:rPr>
          <m:t>σ</m:t>
        </m:r>
      </m:oMath>
      <w:r>
        <w:rPr/>
        <w:t xml:space="preserve"> ou </w:t>
      </w:r>
      <m:oMath>
        <m:r>
          <m:rPr>
            <m:sty m:val="i"/>
          </m:rPr>
          <m:t>π</m:t>
        </m:r>
      </m:oMath>
      <w:r>
        <w:rPr>
          <w:rFonts w:eastAsia="Georgia" w:cs="Georgia" w:ascii="Georgia" w:hAnsi="Georgia"/>
        </w:rPr>
        <w:t xml:space="preserve"> ) des orbitales frontières en vous aidant du diagramme d'orbitales moléculaires donné sur la figure (9) en annexe.</w:t>
      </w:r>
      <w:r>
        <w:rPr/>
        <w:br w:type="textWrapping"/>
      </w:r>
      <w:r>
        <w:rPr>
          <w:rFonts w:eastAsia="Georgia" w:cs="Georgia" w:ascii="Georgia" w:hAnsi="Georgia"/>
        </w:rPr>
        <w:t xml:space="preserve">18. En supposant que l'absorption est la conséquence de la transition entre l'orbitale frontière la plus haute occupée et l'orbitale frontière la plus basse vacante, estimer la longueur d'onde de l'absorption.</w:t>
      </w:r>
      <w:r>
        <w:rPr/>
        <w:br w:type="textWrapping"/>
      </w:r>
      <w:r>
        <w:rPr>
          <w:rFonts w:eastAsia="Georgia" w:cs="Georgia" w:ascii="Georgia" w:hAnsi="Georgia"/>
        </w:rPr>
        <w:t xml:space="preserve">19. Comparer cette valeur à la longueur d'onde du maximum de la bande d'absorption du complexe sur le spectre de la figure (6). Commenter le résultat obtenu.</w:t>
      </w:r>
      <w:r>
        <w:rPr/>
        <w:br w:type="textWrapping"/>
      </w:r>
      <w:r>
        <w:rPr>
          <w:rFonts w:eastAsia="Georgia" w:cs="Georgia" w:ascii="Georgia" w:hAnsi="Georgia"/>
        </w:rPr>
        <w:t xml:space="preserve">20. Proposer une méthode pour déterminer quel est l'atome du ligand isocyanate coordinant le ruthénium.</w:t>
      </w:r>
    </w:p>
    <w:p>
      <w:pPr>
        <w:spacing w:after="220" w:lineRule="auto"/>
      </w:pPr>
      <w:r>
        <w:rPr>
          <w:rFonts w:eastAsia="Georgia" w:cs="Georgia" w:ascii="Georgia" w:hAnsi="Georgia"/>
        </w:rPr>
        <w:t xml:space="preserve">Pour étudier l'oxydation et le transfert d'électron, une étude cinétique a été effectuée par radiolyse. Cette technique et le contexte de cette étude sont présentés dans le document 4 .</w:t>
      </w:r>
      <w:r>
        <w:rPr/>
        <w:br w:type="textWrapping"/>
      </w:r>
      <w:r>
        <w:rPr>
          <w:rFonts w:eastAsia="Georgia" w:cs="Georgia" w:ascii="Georgia" w:hAnsi="Georgia"/>
        </w:rPr>
        <w:t xml:space="preserve">21. Décrire la méthode utilisée pour déterminer l’ordre partiel par rapport à la molécule </w:t>
      </w:r>
      <m:oMath>
        <m:sSubSup>
          <m:sSubSupPr/>
          <m:e>
            <m:r>
              <m:rPr>
                <m:sty m:val="p"/>
              </m:rPr>
              <m:t>Br</m:t>
            </m:r>
          </m:e>
          <m:sub>
            <m:r>
              <m:rPr>
                <m:sty m:val="p"/>
              </m:rPr>
              <m:t>2</m:t>
            </m:r>
          </m:sub>
          <m:sup>
            <m:r>
              <m:rPr>
                <m:sty m:val="p"/>
              </m:rPr>
              <m:t>−</m:t>
            </m:r>
            <m:r>
              <m:rPr>
                <m:sty m:val="p"/>
              </m:rPr>
              <m:t>∙</m:t>
            </m:r>
          </m:sup>
        </m:sSubSup>
      </m:oMath>
      <w:r>
        <w:rPr>
          <w:rFonts w:eastAsia="Georgia" w:cs="Georgia" w:ascii="Georgia" w:hAnsi="Georgia"/>
        </w:rPr>
        <w:t xml:space="preserve"> pour la réaction d'oxydation du ruthénium.</w:t>
      </w:r>
      <w:r>
        <w:rPr/>
        <w:br w:type="textWrapping"/>
      </w:r>
      <w:r>
        <w:rPr>
          <w:rFonts w:eastAsia="Georgia" w:cs="Georgia" w:ascii="Georgia" w:hAnsi="Georgia"/>
        </w:rPr>
        <w:t xml:space="preserve">22. Relier la différence d'absorption </w:t>
      </w:r>
      <m:oMath>
        <m:r>
          <m:rPr>
            <m:sty m:val="p"/>
          </m:rPr>
          <m:t>Δ</m:t>
        </m:r>
        <m:r>
          <m:rPr>
            <m:sty m:val="i"/>
          </m:rPr>
          <m:t>A</m:t>
        </m:r>
      </m:oMath>
      <w:r>
        <w:rPr>
          <w:rFonts w:eastAsia="Georgia" w:cs="Georgia" w:ascii="Georgia" w:hAnsi="Georgia"/>
        </w:rPr>
        <w:t xml:space="preserve"> à la concentration en </w:t>
      </w:r>
      <m:oMath>
        <m:sSubSup>
          <m:sSubSupPr/>
          <m:e>
            <m:r>
              <m:rPr>
                <m:sty m:val="p"/>
              </m:rPr>
              <m:t>Br</m:t>
            </m:r>
          </m:e>
          <m:sub>
            <m:r>
              <m:rPr>
                <m:sty m:val="p"/>
              </m:rPr>
              <m:t>2</m:t>
            </m:r>
          </m:sub>
          <m:sup>
            <m:r>
              <m:rPr>
                <m:sty m:val="p"/>
              </m:rPr>
              <m:t>−</m:t>
            </m:r>
            <m:r>
              <m:rPr>
                <m:sty m:val="p"/>
              </m:rPr>
              <m:t>∙</m:t>
            </m:r>
          </m:sup>
        </m:sSubSup>
      </m:oMath>
      <w:r>
        <w:rPr>
          <w:rFonts w:eastAsia="Georgia" w:cs="Georgia" w:ascii="Georgia" w:hAnsi="Georgia"/>
        </w:rPr>
        <w:t xml:space="preserve">. En vous aidant du document 4 , justifier que l'ordre partiel associé à cette espèce vaut 1 .</w:t>
      </w:r>
      <w:r>
        <w:rPr/>
        <w:br w:type="textWrapping"/>
      </w:r>
      <w:r>
        <w:rPr>
          <w:rFonts w:eastAsia="Georgia" w:cs="Georgia" w:ascii="Georgia" w:hAnsi="Georgia"/>
        </w:rPr>
        <w:t xml:space="preserve">23. Calculer la constante observée à l'aide de la courbe tracée donnée dans le document 4 .</w:t>
      </w:r>
      <w:r>
        <w:rPr/>
        <w:br w:type="textWrapping"/>
      </w:r>
      <w:r>
        <w:rPr>
          <w:rFonts w:eastAsia="Georgia" w:cs="Georgia" w:ascii="Georgia" w:hAnsi="Georgia"/>
        </w:rPr>
        <w:t xml:space="preserve">24. Remonter à la constante cinétique. Comparer à la valeur donnée dans l'énoncé.</w:t>
      </w:r>
      <w:r>
        <w:rPr/>
        <w:br w:type="textWrapping"/>
      </w:r>
      <w:r>
        <w:rPr>
          <w:rFonts w:eastAsia="Georgia" w:cs="Georgia" w:ascii="Georgia" w:hAnsi="Georgia"/>
        </w:rPr>
        <w:t xml:space="preserve">25. Proposer une méthode (différente de celle utilisée ici) pour déterminer l'ordre partiel par rapport au complexe </w:t>
      </w:r>
      <m:oMath>
        <m:d>
          <m:dPr>
            <m:begChr m:val="["/>
            <m:endChr m:val="]"/>
            <m:ctrlPr>
              <w:rPr>
                <w:rFonts w:ascii="Cambria Math" w:hAnsi="Cambria Math"/>
              </w:rPr>
            </m:ctrlPr>
          </m:dPr>
          <m:e>
            <m:r>
              <m:rPr>
                <m:sty m:val="i"/>
              </m:rPr>
              <m:t>R</m:t>
            </m:r>
            <m:sSup>
              <m:sSupPr/>
              <m:e>
                <m:r>
                  <m:rPr>
                    <m:sty m:val="i"/>
                  </m:rPr>
                  <m:t>u</m:t>
                </m:r>
              </m:e>
              <m:sup>
                <m:r>
                  <m:rPr>
                    <m:sty m:val="i"/>
                  </m:rPr>
                  <m:t>I</m:t>
                </m:r>
                <m:r>
                  <m:rPr>
                    <m:sty m:val="i"/>
                  </m:rPr>
                  <m:t>I</m:t>
                </m:r>
              </m:sup>
            </m:sSup>
          </m:e>
        </m:d>
      </m:oMath>
      <w:r>
        <w:rPr/>
        <w:t xml:space="preserve">.</w:t>
      </w:r>
    </w:p>
    <w:p>
      <w:pPr>
        <w:spacing w:line="271" w:before="330" w:lineRule="auto"/>
      </w:pPr>
      <w:r>
        <w:rPr>
          <w:b/>
          <w:sz w:val="42"/>
        </w:rPr>
        <w:t xml:space="preserve">II.C Le fonctionnement de la cellule.</w:t>
      </w:r>
    </w:p>
    <w:p>
      <w:pPr>
        <w:numPr>
          <w:ilvl w:val="0"/>
          <w:numId w:val="14"/>
        </w:numPr>
        <w:spacing w:lineRule="auto"/>
      </w:pPr>
      <w:r>
        <w:rPr>
          <w:rFonts w:eastAsia="Georgia" w:cs="Georgia" w:ascii="Georgia" w:hAnsi="Georgia"/>
        </w:rPr>
        <w:t xml:space="preserve">Préciser les espèces oxydo-réductrices qui correspondent aux termes «Espèce 1 » et «Espèce 2 » sur la figure (4).</w:t>
      </w:r>
    </w:p>
    <w:p>
      <w:pPr>
        <w:numPr>
          <w:ilvl w:val="0"/>
          <w:numId w:val="14"/>
        </w:numPr>
        <w:spacing w:lineRule="auto"/>
      </w:pPr>
      <w:r>
        <w:rPr>
          <w:rFonts w:eastAsia="Georgia" w:cs="Georgia" w:ascii="Georgia" w:hAnsi="Georgia"/>
        </w:rPr>
        <w:t xml:space="preserve">En représentant schématiquement les éléments suivants (électrodes, complexes </w:t>
      </w:r>
      <m:oMath>
        <m:d>
          <m:dPr>
            <m:begChr m:val="["/>
            <m:endChr m:val="]"/>
            <m:ctrlPr>
              <w:rPr>
                <w:rFonts w:ascii="Cambria Math" w:hAnsi="Cambria Math"/>
              </w:rPr>
            </m:ctrlPr>
          </m:dPr>
          <m:e>
            <m:r>
              <m:rPr>
                <m:sty m:val="i"/>
              </m:rPr>
              <m:t>R</m:t>
            </m:r>
            <m:sSup>
              <m:sSupPr/>
              <m:e>
                <m:r>
                  <m:rPr>
                    <m:sty m:val="i"/>
                  </m:rPr>
                  <m:t>u</m:t>
                </m:r>
              </m:e>
              <m:sup>
                <m:r>
                  <m:rPr>
                    <m:sty m:val="p"/>
                  </m:rPr>
                  <m:t>II</m:t>
                </m:r>
              </m:sup>
            </m:sSup>
          </m:e>
        </m:d>
      </m:oMath>
      <w:r>
        <w:rPr/>
        <w:t xml:space="preserve"> et </w:t>
      </w:r>
      <m:oMath>
        <m:d>
          <m:dPr>
            <m:begChr m:val="["/>
            <m:endChr m:val="]"/>
            <m:ctrlPr>
              <w:rPr>
                <w:rFonts w:ascii="Cambria Math" w:hAnsi="Cambria Math"/>
              </w:rPr>
            </m:ctrlPr>
          </m:dPr>
          <m:e>
            <m:r>
              <m:rPr>
                <m:sty m:val="i"/>
              </m:rPr>
              <m:t>R</m:t>
            </m:r>
            <m:sSup>
              <m:sSupPr/>
              <m:e>
                <m:r>
                  <m:rPr>
                    <m:sty m:val="i"/>
                  </m:rPr>
                  <m:t>u</m:t>
                </m:r>
              </m:e>
              <m:sup>
                <m:r>
                  <m:rPr>
                    <m:sty m:val="p"/>
                  </m:rPr>
                  <m:t>III</m:t>
                </m:r>
              </m:sup>
            </m:sSup>
          </m:e>
        </m:d>
      </m:oMath>
      <w:r>
        <w:rPr>
          <w:rFonts w:eastAsia="Georgia" w:cs="Georgia" w:ascii="Georgia" w:hAnsi="Georgia"/>
        </w:rPr>
        <w:t xml:space="preserve">, les espèces oxydoréductrices Espèce 1 et Espèce 2, et le moteur) décrire le sens de circulation des électrons. Attribuer pour chacune des électrodes A et B leur nature anodique ou cathodique, indiquer les polarités aux électrodes et aux bornes du moteur (associés aux numéros </w:t>
      </w:r>
      <m:oMath>
        <m:r>
          <m:rPr>
            <m:sty m:val="p"/>
          </m:rPr>
          <m:t>1</m:t>
        </m:r>
        <m:r>
          <m:rPr>
            <m:sty m:val="p"/>
          </m:rPr>
          <m:t>,</m:t>
        </m:r>
        <m:r>
          <m:rPr>
            <m:sty m:val="p"/>
          </m:rPr>
          <m:t>2</m:t>
        </m:r>
        <m:r>
          <m:rPr>
            <m:sty m:val="p"/>
          </m:rPr>
          <m:t>,</m:t>
        </m:r>
        <m:r>
          <m:rPr>
            <m:sty m:val="p"/>
          </m:rPr>
          <m:t>3</m:t>
        </m:r>
      </m:oMath>
      <w:r>
        <w:rPr/>
        <w:t xml:space="preserve"> et 4 sur la figure (4)).</w:t>
      </w:r>
    </w:p>
    <w:p>
      <w:pPr>
        <w:numPr>
          <w:ilvl w:val="0"/>
          <w:numId w:val="14"/>
        </w:numPr>
        <w:spacing w:lineRule="auto"/>
      </w:pPr>
      <w:r>
        <w:rPr>
          <w:rFonts w:eastAsia="Georgia" w:cs="Georgia" w:ascii="Georgia" w:hAnsi="Georgia"/>
        </w:rPr>
        <w:t xml:space="preserve">Préciser le rôle du liquide électrolytique.</w:t>
      </w:r>
    </w:p>
    <w:p>
      <w:pPr>
        <w:numPr>
          <w:ilvl w:val="0"/>
          <w:numId w:val="14"/>
        </w:numPr>
        <w:spacing w:lineRule="auto"/>
      </w:pPr>
      <w:r>
        <w:rPr>
          <w:rFonts w:eastAsia="Georgia" w:cs="Georgia" w:ascii="Georgia" w:hAnsi="Georgia"/>
        </w:rPr>
        <w:t xml:space="preserve">Donner les problèmes d'utilisation associés à l'utilisation des carbonates.</w:t>
      </w:r>
    </w:p>
    <w:p>
      <w:pPr>
        <w:numPr>
          <w:ilvl w:val="0"/>
          <w:numId w:val="14"/>
        </w:numPr>
        <w:spacing w:lineRule="auto"/>
      </w:pPr>
      <w:r>
        <w:rPr>
          <w:rFonts w:eastAsia="Georgia" w:cs="Georgia" w:ascii="Georgia" w:hAnsi="Georgia"/>
        </w:rPr>
        <w:t xml:space="preserve">Donner le(s) avantage(s) apporté(s) par l'utilisation d'un polymère dans ces systèmes électrochimiques.</w:t>
      </w:r>
    </w:p>
    <w:p>
      <w:pPr>
        <w:numPr>
          <w:ilvl w:val="0"/>
          <w:numId w:val="14"/>
        </w:numPr>
        <w:spacing w:lineRule="auto"/>
      </w:pPr>
      <w:r>
        <w:rPr>
          <w:rFonts w:eastAsia="Georgia" w:cs="Georgia" w:ascii="Georgia" w:hAnsi="Georgia"/>
        </w:rPr>
        <w:t xml:space="preserve">En comparant le spectre d'absorption UV-visible du complexe et celui du rayonnement solaire sur la figure (6), proposer une méthode permettant d'améliorer, du point de vue de l'absorption, la conversion de l'énergie solaire en énergie électrique dans ces cellules.</w:t>
      </w:r>
    </w:p>
    <w:p>
      <w:pPr>
        <w:spacing w:lineRule="auto"/>
        <w:jc w:val="center"/>
      </w:pPr>
      <w:r>
        <w:rPr/>
        <w:drawing>
          <wp:inline distB="0" distL="0" distR="0" distT="0">
            <wp:extent cx="5486400" cy="2016063"/>
            <wp:effectExtent b="0" l="0" r="0" t="0"/>
            <wp:docPr id="16" name="image-2be73bcd6e258b88516ba6fb60c1ef4601b1b999.jpg"/>
            <a:graphic>
              <a:graphicData uri="http://schemas.openxmlformats.org/drawingml/2006/picture">
                <pic:pic>
                  <pic:nvPicPr>
                    <pic:cNvPr id="16" name="image-2be73bcd6e258b88516ba6fb60c1ef4601b1b999.jpg" descr=""/>
                    <pic:cNvPicPr/>
                  </pic:nvPicPr>
                  <pic:blipFill>
                    <a:blip r:embed="rId20" cstate="print"/>
                    <a:srcRect b="0" l="0" r="0" t="0"/>
                    <a:stretch>
                      <a:fillRect/>
                    </a:stretch>
                  </pic:blipFill>
                  <pic:spPr>
                    <a:xfrm>
                      <a:off x="0" y="0"/>
                      <a:ext cx="5486400" cy="2016063"/>
                    </a:xfrm>
                    <a:prstGeom prst="rect"/>
                  </pic:spPr>
                </pic:pic>
              </a:graphicData>
            </a:graphic>
          </wp:inline>
        </w:drawing>
      </w:r>
    </w:p>
    <w:p>
      <w:pPr>
        <w:spacing w:lineRule="auto"/>
      </w:pPr>
      <w:r>
        <w:rPr>
          <w:rFonts w:eastAsia="Georgia" w:cs="Georgia" w:ascii="Georgia" w:hAnsi="Georgia"/>
        </w:rPr>
        <w:t xml:space="preserve">Figure 6 - Spectre électromagnétique de la lumière solaire (gauche), spectre d'absorption du complexe de ruthénium (droite).</w:t>
      </w:r>
    </w:p>
    <w:p>
      <w:pPr>
        <w:spacing w:line="271" w:before="330" w:lineRule="auto"/>
      </w:pPr>
      <w:r>
        <w:rPr>
          <w:rFonts w:eastAsia="Georgia" w:cs="Georgia" w:ascii="Georgia" w:hAnsi="Georgia"/>
          <w:b/>
          <w:sz w:val="42"/>
        </w:rPr>
        <w:t xml:space="preserve">III Résultats des tests des cellules photovoltaïques et caractérisation de la performance.</w:t>
      </w:r>
    </w:p>
    <w:p>
      <w:pPr>
        <w:spacing w:after="220" w:lineRule="auto"/>
      </w:pPr>
      <w:r>
        <w:rPr>
          <w:rFonts w:eastAsia="Georgia" w:cs="Georgia" w:ascii="Georgia" w:hAnsi="Georgia"/>
        </w:rPr>
        <w:t xml:space="preserve">Les cellules peuvent être utilisées directement avec un liquide électrolyte dont la composition est : </w:t>
      </w:r>
      <m:oMath>
        <m:r>
          <m:rPr>
            <m:sty m:val="p"/>
          </m:rPr>
          <m:t>0</m:t>
        </m:r>
        <m:r>
          <m:rPr>
            <m:sty m:val="p"/>
          </m:rPr>
          <m:t>,</m:t>
        </m:r>
        <m:r>
          <m:rPr>
            <m:sty m:val="p"/>
          </m:rPr>
          <m:t>1</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de </w:t>
      </w:r>
      <m:oMath>
        <m:sSub>
          <m:sSubPr/>
          <m:e>
            <m:r>
              <m:rPr>
                <m:sty m:val="p"/>
              </m:rPr>
              <m:t>I</m:t>
            </m:r>
          </m:e>
          <m:sub>
            <m:r>
              <m:rPr>
                <m:sty m:val="p"/>
              </m:rPr>
              <m:t>2</m:t>
            </m:r>
          </m:sub>
        </m:sSub>
        <m:r>
          <m:rPr>
            <m:sty m:val="p"/>
          </m:rPr>
          <m:t>,</m:t>
        </m:r>
        <m:r>
          <m:rPr>
            <m:sty m:val="p"/>
          </m:rPr>
          <m:t>0</m:t>
        </m:r>
        <m:r>
          <m:rPr>
            <m:sty m:val="p"/>
          </m:rPr>
          <m:t>,</m:t>
        </m:r>
        <m:r>
          <m:rPr>
            <m:sty m:val="p"/>
          </m:rPr>
          <m:t>1</m:t>
        </m:r>
        <m:r>
          <m:rPr>
            <m:sty m:val="p"/>
          </m:rPr>
          <m:t>mol</m:t>
        </m:r>
        <m:r>
          <m:rPr>
            <m:sty m:val="p"/>
          </m:rPr>
          <m:t>⋅</m:t>
        </m:r>
        <m:sSup>
          <m:sSupPr/>
          <m:e>
            <m:r>
              <m:rPr>
                <m:sty m:val="p"/>
              </m:rPr>
              <m:t>L</m:t>
            </m:r>
          </m:e>
          <m:sup>
            <m:r>
              <m:rPr>
                <m:sty m:val="p"/>
              </m:rPr>
              <m:t>−</m:t>
            </m:r>
            <m:r>
              <m:rPr>
                <m:sty m:val="p"/>
              </m:rPr>
              <m:t>1</m:t>
            </m:r>
          </m:sup>
        </m:sSup>
      </m:oMath>
      <w:r>
        <w:rPr/>
        <w:t xml:space="preserve"> de LiI , </w:t>
      </w:r>
      <m:oMath>
        <m:r>
          <m:rPr>
            <m:sty m:val="p"/>
          </m:rPr>
          <m:t>0</m:t>
        </m:r>
        <m:r>
          <m:rPr>
            <m:sty m:val="p"/>
          </m:rPr>
          <m:t>,</m:t>
        </m:r>
        <m:r>
          <m:rPr>
            <m:sty m:val="p"/>
          </m:rPr>
          <m:t>5</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de 4-tert-butylpyridine (TBP) et un mélange d'iodure de 1-propyl-3-méthylimidazolium (PMII) et de 1-éthyl-3-méthyl-imidazolium-bis((trifluorométhyl)sulfonyl)imide (EMITFSI) ( </w:t>
      </w:r>
      <m:oMath>
        <m:r>
          <m:rPr>
            <m:sty m:val="p"/>
          </m:rPr>
          <m:t>13</m:t>
        </m:r>
        <m:r>
          <m:rPr>
            <m:sty m:val="p"/>
          </m:rPr>
          <m:t>:</m:t>
        </m:r>
        <m:r>
          <m:rPr>
            <m:sty m:val="p"/>
          </m:rPr>
          <m:t>7</m:t>
        </m:r>
      </m:oMath>
      <w:r>
        <w:rPr>
          <w:rFonts w:eastAsia="Georgia" w:cs="Georgia" w:ascii="Georgia" w:hAnsi="Georgia"/>
        </w:rPr>
        <w:t xml:space="preserve"> ). Dans trois autres cas, le liquide électrolytique est dissous dans différents polymères : un dit de première génération poly-StAN, le polymère poly- </w:t>
      </w:r>
      <m:oMath>
        <m:r>
          <m:rPr>
            <m:sty m:val="b"/>
          </m:rPr>
          <m:t>3</m:t>
        </m:r>
      </m:oMath>
      <w:r>
        <w:rPr>
          <w:rFonts w:eastAsia="Georgia" w:cs="Georgia" w:ascii="Georgia" w:hAnsi="Georgia"/>
        </w:rPr>
        <w:t xml:space="preserve">;A ou le polymère poly- </w:t>
      </w:r>
      <m:oMath>
        <m:r>
          <m:rPr>
            <m:sty m:val="b"/>
          </m:rPr>
          <m:t>3</m:t>
        </m:r>
      </m:oMath>
      <w:r>
        <w:rPr/>
        <w:t xml:space="preserve">;TFSI.</w:t>
      </w:r>
    </w:p>
    <w:p>
      <w:pPr>
        <w:spacing w:lineRule="auto"/>
        <w:jc w:val="center"/>
      </w:pPr>
      <w:r>
        <w:rPr/>
        <w:drawing>
          <wp:inline distB="0" distL="0" distR="0" distT="0">
            <wp:extent cx="5038725" cy="4772025"/>
            <wp:effectExtent b="0" l="0" r="0" t="0"/>
            <wp:docPr id="17" name="image-2c6a4ec0e1e7a1abf0dc39e943f92bccb106175d.jpg"/>
            <a:graphic>
              <a:graphicData uri="http://schemas.openxmlformats.org/drawingml/2006/picture">
                <pic:pic>
                  <pic:nvPicPr>
                    <pic:cNvPr id="17" name="image-2c6a4ec0e1e7a1abf0dc39e943f92bccb106175d.jpg" descr=""/>
                    <pic:cNvPicPr/>
                  </pic:nvPicPr>
                  <pic:blipFill>
                    <a:blip r:embed="rId21" cstate="print"/>
                    <a:srcRect b="0" l="0" r="0" t="0"/>
                    <a:stretch>
                      <a:fillRect/>
                    </a:stretch>
                  </pic:blipFill>
                  <pic:spPr>
                    <a:xfrm>
                      <a:off x="0" y="0"/>
                      <a:ext cx="5038725" cy="4772025"/>
                    </a:xfrm>
                    <a:prstGeom prst="rect"/>
                  </pic:spPr>
                </pic:pic>
              </a:graphicData>
            </a:graphic>
          </wp:inline>
        </w:drawing>
      </w:r>
    </w:p>
    <w:p>
      <w:pPr>
        <w:spacing w:lineRule="auto"/>
      </w:pPr>
      <w:r>
        <w:rPr>
          <w:rFonts w:eastAsia="Georgia" w:cs="Georgia" w:ascii="Georgia" w:hAnsi="Georgia"/>
        </w:rPr>
        <w:t xml:space="preserve">Figure 7 - Photographies des polymères après formulation : poly-StAN (A), poly- </w:t>
      </w:r>
      <m:oMath>
        <m:r>
          <m:rPr>
            <m:sty m:val="b"/>
          </m:rPr>
          <m:t>3</m:t>
        </m:r>
      </m:oMath>
      <w:r>
        <w:rPr/>
        <w:t xml:space="preserve">;A (B) et poly- </w:t>
      </w:r>
      <m:oMath>
        <m:r>
          <m:rPr>
            <m:sty m:val="b"/>
          </m:rPr>
          <m:t>3</m:t>
        </m:r>
      </m:oMath>
      <w:r>
        <w:rPr/>
        <w:t xml:space="preserve">;TFSI (C).</w:t>
      </w:r>
    </w:p>
    <w:p>
      <w:pPr>
        <w:numPr>
          <w:ilvl w:val="0"/>
          <w:numId w:val="15"/>
        </w:numPr>
        <w:spacing w:lineRule="auto"/>
      </w:pPr>
      <w:r>
        <w:rPr>
          <w:rFonts w:eastAsia="Georgia" w:cs="Georgia" w:ascii="Georgia" w:hAnsi="Georgia"/>
        </w:rPr>
        <w:t xml:space="preserve">Au vu de la figure (7), justifier l'utilisation du terme «cellule à pigment photosensible quasi solide (quasi-solid-state dye-sensitized solar cell) </w:t>
      </w:r>
      <m:oMath>
        <m:r>
          <m:rPr>
            <m:sty m:val="p"/>
          </m:rPr>
          <m:t>&gt;</m:t>
        </m:r>
      </m:oMath>
      <w:r>
        <w:rPr>
          <w:rFonts w:eastAsia="Georgia" w:cs="Georgia" w:ascii="Georgia" w:hAnsi="Georgia"/>
        </w:rPr>
        <w:t xml:space="preserve"> pour décrire la cellule photovoltaïque.</w:t>
      </w:r>
      <w:r>
        <w:rPr/>
        <w:br w:type="textWrapping"/>
      </w:r>
      <w:r>
        <w:rPr>
          <w:rFonts w:eastAsia="Georgia" w:cs="Georgia" w:ascii="Georgia" w:hAnsi="Georgia"/>
        </w:rPr>
        <w:t xml:space="preserve">Une fois les cellules préparées, on place les cellules sous un rayonnement équivalent à 1,5 fois le rayonnement solaire. Les résultats obtenus sont donnés sur la figure (8).</w:t>
      </w:r>
    </w:p>
    <w:p>
      <w:pPr>
        <w:spacing w:lineRule="auto"/>
        <w:jc w:val="center"/>
      </w:pPr>
      <w:r>
        <w:rPr/>
        <w:drawing>
          <wp:inline distB="0" distL="0" distR="0" distT="0">
            <wp:extent cx="5486400" cy="2056396"/>
            <wp:effectExtent b="0" l="0" r="0" t="0"/>
            <wp:docPr id="18" name="image-afe9cf4ca6c7d8c4e4f620a43e7d87e539f3629f.jpg"/>
            <a:graphic>
              <a:graphicData uri="http://schemas.openxmlformats.org/drawingml/2006/picture">
                <pic:pic>
                  <pic:nvPicPr>
                    <pic:cNvPr id="18" name="image-afe9cf4ca6c7d8c4e4f620a43e7d87e539f3629f.jpg" descr=""/>
                    <pic:cNvPicPr/>
                  </pic:nvPicPr>
                  <pic:blipFill>
                    <a:blip r:embed="rId22" cstate="print"/>
                    <a:srcRect b="0" l="0" r="0" t="0"/>
                    <a:stretch>
                      <a:fillRect/>
                    </a:stretch>
                  </pic:blipFill>
                  <pic:spPr>
                    <a:xfrm>
                      <a:off x="0" y="0"/>
                      <a:ext cx="5486400" cy="2056396"/>
                    </a:xfrm>
                    <a:prstGeom prst="rect"/>
                  </pic:spPr>
                </pic:pic>
              </a:graphicData>
            </a:graphic>
          </wp:inline>
        </w:drawing>
      </w:r>
    </w:p>
    <w:p>
      <w:pPr>
        <w:spacing w:lineRule="auto"/>
      </w:pPr>
      <w:r>
        <w:rPr>
          <w:rFonts w:eastAsia="Georgia" w:cs="Georgia" w:ascii="Georgia" w:hAnsi="Georgia"/>
        </w:rPr>
        <w:t xml:space="preserve">Figure 8 - Courbes courant surfacique-potentiel (à gauche) et évolution temporelle de l'efficacité de conversion d'énergie (à droite) pour les différents électrolytes.</w:t>
      </w:r>
    </w:p>
    <w:p>
      <w:pPr>
        <w:spacing w:after="220" w:lineRule="auto"/>
      </w:pPr>
      <w:r>
        <w:rPr>
          <w:rFonts w:eastAsia="Georgia" w:cs="Georgia" w:ascii="Georgia" w:hAnsi="Georgia"/>
        </w:rPr>
        <w:t xml:space="preserve">Les caractéristiques des différents électrolytes sont données dans le tableau (2).</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Électrolyte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Viscosité </w:t>
            </w:r>
            <m:oMath>
              <m:r>
                <m:rPr>
                  <m:sty m:val="p"/>
                </m:rPr>
                <m:t>(</m:t>
              </m:r>
              <m:r>
                <m:rPr>
                  <m:sty m:val="p"/>
                </m:rPr>
                <m:t>mPa</m:t>
              </m:r>
              <m:r>
                <m:rPr>
                  <m:sty m:val="p"/>
                </m:rPr>
                <m:t>⋅</m:t>
              </m:r>
              <m:r>
                <m:rPr>
                  <m:sty m:val="p"/>
                </m:rPr>
                <m:t>s</m:t>
              </m:r>
              <m:r>
                <m:rPr>
                  <m:sty m:val="p"/>
                </m:rPr>
                <m:t>)</m:t>
              </m:r>
            </m:oMath>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Conductivité </w:t>
            </w:r>
            <m:oMath>
              <m:d>
                <m:dPr>
                  <m:begChr m:val="("/>
                  <m:endChr m:val=")"/>
                  <m:ctrlPr>
                    <w:rPr>
                      <w:rFonts w:ascii="Cambria Math" w:hAnsi="Cambria Math"/>
                    </w:rPr>
                  </m:ctrlPr>
                </m:dPr>
                <m:e>
                  <m:sSup>
                    <m:sSupPr/>
                    <m:e>
                      <m:r>
                        <m:rPr>
                          <m:sty m:val="p"/>
                        </m:rPr>
                        <m:t>10</m:t>
                      </m:r>
                    </m:e>
                    <m:sup>
                      <m:r>
                        <m:rPr>
                          <m:sty m:val="p"/>
                        </m:rPr>
                        <m:t>−</m:t>
                      </m:r>
                      <m:r>
                        <m:rPr>
                          <m:sty m:val="p"/>
                        </m:rPr>
                        <m:t>4</m:t>
                      </m:r>
                    </m:sup>
                  </m:sSup>
                  <m:r>
                    <m:rPr>
                      <m:nor/>
                    </m:rPr>
                    <m:t xml:space="preserve"> </m:t>
                  </m:r>
                  <m:r>
                    <m:rPr>
                      <m:sty m:val="p"/>
                    </m:rPr>
                    <m:t>S</m:t>
                  </m:r>
                  <m:r>
                    <m:rPr>
                      <m:sty m:val="p"/>
                    </m:rPr>
                    <m:t>⋅</m:t>
                  </m:r>
                  <m:sSup>
                    <m:sSupPr/>
                    <m:e>
                      <m:r>
                        <m:rPr>
                          <m:nor/>
                        </m:rPr>
                        <m:t xml:space="preserve"> </m:t>
                      </m:r>
                      <m:r>
                        <m:rPr>
                          <m:sty m:val="p"/>
                        </m:rPr>
                        <m:t>cm</m:t>
                      </m:r>
                    </m:e>
                    <m:sup>
                      <m:r>
                        <m:rPr>
                          <m:sty m:val="p"/>
                        </m:rPr>
                        <m:t>−</m:t>
                      </m:r>
                      <m:r>
                        <m:rPr>
                          <m:sty m:val="p"/>
                        </m:rPr>
                        <m:t>1</m:t>
                      </m:r>
                    </m:sup>
                  </m:sSup>
                </m:e>
              </m:d>
            </m:oMath>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η</m:t>
                </m:r>
                <m:r>
                  <m:rPr>
                    <m:sty m:val="p"/>
                  </m:rPr>
                  <m:t>(</m:t>
                </m:r>
                <m:r>
                  <m:rPr>
                    <m:sty m:val="p"/>
                  </m:rPr>
                  <m:t>%</m:t>
                </m:r>
                <m:r>
                  <m:rPr>
                    <m:sty m:val="p"/>
                  </m:rPr>
                  <m:t>)</m:t>
                </m:r>
              </m:oMath>
            </m:oMathPara>
          </w:p>
        </w:tc>
      </w:tr>
      <w:tr>
        <w:trPr>
          <w:cantSplit/>
        </w:trPr>
        <w:tc>
          <w:tcPr>
            <w:tcBorders>
              <w:left w:val="single" w:sz="8" w:space="0" w:color="000000"/>
              <w:right w:val="single" w:sz="8" w:space="0" w:color="000000"/>
            </w:tcBorders>
            <w:vAlign w:val="center"/>
          </w:tcPr>
          <w:p>
            <w:pPr>
              <w:spacing w:lineRule="auto"/>
              <w:jc w:val="center"/>
            </w:pPr>
            <w:r>
              <w:rPr>
                <w:rFonts w:eastAsia="Georgia" w:cs="Georgia" w:ascii="Georgia" w:hAnsi="Georgia"/>
              </w:rPr>
              <w:t xml:space="preserve">Liquide électrolyte</w:t>
            </w:r>
          </w:p>
        </w:tc>
        <w:tc>
          <w:tcPr>
            <w:tcBorders>
              <w:right w:val="single" w:sz="8" w:space="0" w:color="000000"/>
            </w:tcBorders>
            <w:vAlign w:val="center"/>
          </w:tcPr>
          <w:p>
            <w:pPr>
              <w:spacing w:lineRule="auto"/>
              <w:jc w:val="center"/>
            </w:pPr>
            <w:r>
              <w:rPr/>
              <w:t xml:space="preserve">39</w:t>
            </w:r>
          </w:p>
        </w:tc>
        <w:tc>
          <w:tcPr>
            <w:tcBorders>
              <w:right w:val="single" w:sz="8" w:space="0" w:color="000000"/>
            </w:tcBorders>
            <w:vAlign w:val="center"/>
          </w:tcPr>
          <w:p>
            <w:pPr>
              <w:spacing w:lineRule="auto"/>
              <w:jc w:val="center"/>
            </w:pPr>
            <w:r>
              <w:rPr/>
              <w:t xml:space="preserve">5,92</w:t>
            </w:r>
          </w:p>
        </w:tc>
        <w:tc>
          <w:tcPr>
            <w:tcBorders>
              <w:right w:val="single" w:sz="8" w:space="0" w:color="000000"/>
            </w:tcBorders>
            <w:vAlign w:val="center"/>
          </w:tcPr>
          <w:p>
            <w:pPr>
              <w:spacing w:lineRule="auto"/>
              <w:jc w:val="center"/>
            </w:pPr>
            <w:r>
              <w:rPr/>
              <w:t xml:space="preserve">5,3</w:t>
            </w:r>
          </w:p>
        </w:tc>
      </w:tr>
      <w:tr>
        <w:trPr>
          <w:cantSplit/>
        </w:trPr>
        <w:tc>
          <w:tcPr>
            <w:tcBorders>
              <w:left w:val="single" w:sz="8" w:space="0" w:color="000000"/>
              <w:right w:val="single" w:sz="8" w:space="0" w:color="000000"/>
            </w:tcBorders>
            <w:vAlign w:val="center"/>
          </w:tcPr>
          <w:p>
            <w:pPr>
              <w:spacing w:lineRule="auto"/>
              <w:jc w:val="center"/>
            </w:pPr>
            <w:r>
              <w:rPr/>
              <w:t xml:space="preserve">Poly-StAN</w:t>
            </w:r>
          </w:p>
        </w:tc>
        <w:tc>
          <w:tcPr>
            <w:tcBorders>
              <w:right w:val="single" w:sz="8" w:space="0" w:color="000000"/>
            </w:tcBorders>
            <w:vAlign w:val="center"/>
          </w:tcPr>
          <w:p>
            <w:pPr>
              <w:spacing w:lineRule="auto"/>
              <w:jc w:val="center"/>
            </w:pPr>
            <w:r>
              <w:rPr/>
              <w:t xml:space="preserve">56500</w:t>
            </w:r>
          </w:p>
        </w:tc>
        <w:tc>
          <w:tcPr>
            <w:tcBorders>
              <w:right w:val="single" w:sz="8" w:space="0" w:color="000000"/>
            </w:tcBorders>
            <w:vAlign w:val="center"/>
          </w:tcPr>
          <w:p>
            <w:pPr>
              <w:spacing w:lineRule="auto"/>
              <w:jc w:val="center"/>
            </w:pPr>
            <w:r>
              <w:rPr/>
              <w:t xml:space="preserve">0,28</w:t>
            </w:r>
          </w:p>
        </w:tc>
        <w:tc>
          <w:tcPr>
            <w:tcBorders>
              <w:right w:val="single" w:sz="8" w:space="0" w:color="000000"/>
            </w:tcBorders>
            <w:vAlign w:val="center"/>
          </w:tcPr>
          <w:p>
            <w:pPr>
              <w:spacing w:lineRule="auto"/>
              <w:jc w:val="center"/>
            </w:pPr>
            <w:r>
              <w:rPr/>
              <w:t xml:space="preserve">1,5</w:t>
            </w:r>
          </w:p>
        </w:tc>
      </w:tr>
      <w:tr>
        <w:trPr>
          <w:cantSplit/>
        </w:trPr>
        <w:tc>
          <w:tcPr>
            <w:tcBorders>
              <w:left w:val="single" w:sz="8" w:space="0" w:color="000000"/>
              <w:right w:val="single" w:sz="8" w:space="0" w:color="000000"/>
            </w:tcBorders>
            <w:vAlign w:val="center"/>
          </w:tcPr>
          <w:p>
            <w:pPr>
              <w:spacing w:lineRule="auto"/>
              <w:jc w:val="center"/>
            </w:pPr>
            <w:r>
              <w:rPr/>
              <w:t xml:space="preserve">Poly-3;A</w:t>
            </w:r>
          </w:p>
        </w:tc>
        <w:tc>
          <w:tcPr>
            <w:tcBorders>
              <w:right w:val="single" w:sz="8" w:space="0" w:color="000000"/>
            </w:tcBorders>
            <w:vAlign w:val="center"/>
          </w:tcPr>
          <w:p>
            <w:pPr>
              <w:spacing w:lineRule="auto"/>
              <w:jc w:val="center"/>
            </w:pPr>
            <w:r>
              <w:rPr/>
              <w:t xml:space="preserve">27700</w:t>
            </w:r>
          </w:p>
        </w:tc>
        <w:tc>
          <w:tcPr>
            <w:tcBorders>
              <w:right w:val="single" w:sz="8" w:space="0" w:color="000000"/>
            </w:tcBorders>
            <w:vAlign w:val="center"/>
          </w:tcPr>
          <w:p>
            <w:pPr>
              <w:spacing w:lineRule="auto"/>
              <w:jc w:val="center"/>
            </w:pPr>
            <w:r>
              <w:rPr/>
              <w:t xml:space="preserve">1,49</w:t>
            </w:r>
          </w:p>
        </w:tc>
        <w:tc>
          <w:tcPr>
            <w:tcBorders>
              <w:right w:val="single" w:sz="8" w:space="0" w:color="000000"/>
            </w:tcBorders>
            <w:vAlign w:val="center"/>
          </w:tcPr>
          <w:p>
            <w:pPr>
              <w:spacing w:lineRule="auto"/>
              <w:jc w:val="center"/>
            </w:pPr>
            <w:r>
              <w:rPr/>
              <w:t xml:space="preserve">2,2</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Poly-3;TFSI</w:t>
            </w:r>
          </w:p>
        </w:tc>
        <w:tc>
          <w:tcPr>
            <w:tcBorders>
              <w:bottom w:val="single" w:sz="8" w:space="0" w:color="000000"/>
              <w:right w:val="single" w:sz="8" w:space="0" w:color="000000"/>
            </w:tcBorders>
            <w:vAlign w:val="center"/>
          </w:tcPr>
          <w:p>
            <w:pPr>
              <w:spacing w:lineRule="auto"/>
              <w:jc w:val="center"/>
            </w:pPr>
            <w:r>
              <w:rPr/>
              <w:t xml:space="preserve">4800</w:t>
            </w:r>
          </w:p>
        </w:tc>
        <w:tc>
          <w:tcPr>
            <w:tcBorders>
              <w:bottom w:val="single" w:sz="8" w:space="0" w:color="000000"/>
              <w:right w:val="single" w:sz="8" w:space="0" w:color="000000"/>
            </w:tcBorders>
            <w:vAlign w:val="center"/>
          </w:tcPr>
          <w:p>
            <w:pPr>
              <w:spacing w:lineRule="auto"/>
              <w:jc w:val="center"/>
            </w:pPr>
            <w:r>
              <w:rPr/>
              <w:t xml:space="preserve">4,08</w:t>
            </w:r>
          </w:p>
        </w:tc>
        <w:tc>
          <w:tcPr>
            <w:tcBorders>
              <w:bottom w:val="single" w:sz="8" w:space="0" w:color="000000"/>
              <w:right w:val="single" w:sz="8" w:space="0" w:color="000000"/>
            </w:tcBorders>
            <w:vAlign w:val="center"/>
          </w:tcPr>
          <w:p>
            <w:pPr>
              <w:spacing w:lineRule="auto"/>
              <w:jc w:val="center"/>
            </w:pPr>
            <w:r>
              <w:rPr/>
              <w:t xml:space="preserve">4,4</w:t>
            </w:r>
          </w:p>
        </w:tc>
      </w:tr>
    </w:tbl>
    <w:p>
      <w:pPr>
        <w:spacing w:lineRule="auto"/>
      </w:pPr>
    </w:p>
    <w:p>
      <w:pPr>
        <w:spacing w:lineRule="auto"/>
      </w:pPr>
      <w:r>
        <w:rPr>
          <w:rFonts w:eastAsia="Georgia" w:cs="Georgia" w:ascii="Georgia" w:hAnsi="Georgia"/>
        </w:rPr>
        <w:t xml:space="preserve">TABLEAU 2 - Caractéristiques de performance des cellules photovoltaïques pour le liquide électrolyte et pour trois polymères.</w:t>
      </w:r>
    </w:p>
    <w:p>
      <w:pPr>
        <w:numPr>
          <w:ilvl w:val="0"/>
          <w:numId w:val="16"/>
        </w:numPr>
        <w:spacing w:lineRule="auto"/>
      </w:pPr>
      <w:r>
        <w:rPr>
          <w:rFonts w:eastAsia="Georgia" w:cs="Georgia" w:ascii="Georgia" w:hAnsi="Georgia"/>
        </w:rPr>
        <w:t xml:space="preserve">Expliquer sur un schéma clair comment est mesurée la conductivité en solution. Préciser les précautions opératoires à prendre.</w:t>
      </w:r>
    </w:p>
    <w:p>
      <w:pPr>
        <w:numPr>
          <w:ilvl w:val="0"/>
          <w:numId w:val="16"/>
        </w:numPr>
        <w:spacing w:lineRule="auto"/>
      </w:pPr>
      <w:r>
        <w:rPr>
          <w:rFonts w:eastAsia="Georgia" w:cs="Georgia" w:ascii="Georgia" w:hAnsi="Georgia"/>
        </w:rPr>
        <w:t xml:space="preserve">Commenter les évolutions de la conductivité et de la viscosité pour les différents systèmes.</w:t>
      </w:r>
    </w:p>
    <w:p>
      <w:pPr>
        <w:numPr>
          <w:ilvl w:val="0"/>
          <w:numId w:val="16"/>
        </w:numPr>
        <w:spacing w:lineRule="auto"/>
      </w:pPr>
      <w:r>
        <w:rPr>
          <w:rFonts w:eastAsia="Georgia" w:cs="Georgia" w:ascii="Georgia" w:hAnsi="Georgia"/>
        </w:rPr>
        <w:t xml:space="preserve">Proposer une interprétation pour relier ces deux grandeurs dans ces cellules DSSC.</w:t>
      </w:r>
    </w:p>
    <w:p>
      <w:pPr>
        <w:numPr>
          <w:ilvl w:val="0"/>
          <w:numId w:val="16"/>
        </w:numPr>
        <w:spacing w:lineRule="auto"/>
      </w:pPr>
      <w:r>
        <w:rPr>
          <w:rFonts w:eastAsia="Georgia" w:cs="Georgia" w:ascii="Georgia" w:hAnsi="Georgia"/>
        </w:rPr>
        <w:t xml:space="preserve">Analyser l'évolution des rendements des différentes cellules.</w:t>
      </w:r>
    </w:p>
    <w:p>
      <w:pPr>
        <w:spacing w:after="220" w:lineRule="auto"/>
      </w:pPr>
      <w:r>
        <w:rPr>
          <w:rFonts w:eastAsia="Georgia" w:cs="Georgia" w:ascii="Georgia" w:hAnsi="Georgia"/>
        </w:rPr>
        <w:t xml:space="preserve">Le rendement de la cellule n'est pas le seul critère important lors de la conversion de l'énergie solaire. La sécurité, son coût, la tension et l'intensité délivrés mais aussi son vieillissement sont à prendre en compte. Quelques-uns de ces paramètres vont être discutés dans la fin de cette partie.</w:t>
      </w:r>
      <w:r>
        <w:rPr/>
        <w:br w:type="textWrapping"/>
      </w:r>
      <w:r>
        <w:rPr>
          <w:rFonts w:eastAsia="Georgia" w:cs="Georgia" w:ascii="Georgia" w:hAnsi="Georgia"/>
        </w:rPr>
        <w:t xml:space="preserve">37. Comparer les courbes courant-tension données sur la figure (8) des différentes cellules au vu des différentes caractéristiques étudiées précédemment.</w:t>
      </w:r>
      <w:r>
        <w:rPr/>
        <w:br w:type="textWrapping"/>
      </w:r>
      <w:r>
        <w:rPr>
          <w:rFonts w:eastAsia="Georgia" w:cs="Georgia" w:ascii="Georgia" w:hAnsi="Georgia"/>
        </w:rPr>
        <w:t xml:space="preserve">38. Commenter l'évolution générale de l'efficacité en fonction du temps, en particulier le comportement du liquide électrolyte et celui du polymère poly- </w:t>
      </w:r>
      <m:oMath>
        <m:r>
          <m:rPr>
            <m:sty m:val="b"/>
          </m:rPr>
          <m:t>3</m:t>
        </m:r>
        <m:r>
          <m:rPr>
            <m:sty m:val="p"/>
          </m:rPr>
          <m:t>;</m:t>
        </m:r>
      </m:oMath>
      <w:r>
        <w:rPr/>
        <w:t xml:space="preserve"> TFSI.</w:t>
      </w:r>
      <w:r>
        <w:rPr/>
        <w:br w:type="textWrapping"/>
      </w:r>
      <w:r>
        <w:rPr>
          <w:rFonts w:eastAsia="Georgia" w:cs="Georgia" w:ascii="Georgia" w:hAnsi="Georgia"/>
        </w:rPr>
        <w:t xml:space="preserve">39. Proposer une explication au fait que l'efficacité maximale soit atteinte au bout de quelques jours pour les polymères.</w:t>
      </w:r>
      <w:r>
        <w:rPr/>
        <w:br w:type="textWrapping"/>
      </w:r>
      <w:r>
        <w:rPr>
          <w:rFonts w:eastAsia="Georgia" w:cs="Georgia" w:ascii="Georgia" w:hAnsi="Georgia"/>
        </w:rPr>
        <w:t xml:space="preserve">40. Proposer la meilleur formulation de l'électrolyte en vue de la construction de cellule photovoltaïque en justifiant le choix retenu.</w:t>
      </w:r>
    </w:p>
    <w:p>
      <w:pPr>
        <w:spacing w:line="271" w:before="330" w:lineRule="auto"/>
      </w:pPr>
      <w:r>
        <w:rPr>
          <w:b/>
          <w:sz w:val="42"/>
        </w:rPr>
        <w:t xml:space="preserve">Annexes.</w:t>
      </w:r>
    </w:p>
    <w:p>
      <w:pPr>
        <w:spacing w:after="220" w:lineRule="auto"/>
      </w:pPr>
      <w:r>
        <w:rPr>
          <w:rFonts w:eastAsia="Georgia" w:cs="Georgia" w:ascii="Georgia" w:hAnsi="Georgia"/>
        </w:rPr>
        <w:t xml:space="preserve">Numéros atomiques: </w:t>
      </w:r>
      <m:oMath>
        <m:r>
          <m:rPr>
            <m:sty m:val="i"/>
          </m:rPr>
          <m:t>Z</m:t>
        </m:r>
        <m:r>
          <m:rPr>
            <m:sty m:val="p"/>
          </m:rPr>
          <m:t>(</m:t>
        </m:r>
        <m:r>
          <m:rPr>
            <m:sty m:val="p"/>
          </m:rPr>
          <m:t>Ti</m:t>
        </m:r>
        <m:r>
          <m:rPr>
            <m:sty m:val="p"/>
          </m:rPr>
          <m:t>)</m:t>
        </m:r>
        <m:r>
          <m:rPr>
            <m:sty m:val="p"/>
          </m:rPr>
          <m:t>=</m:t>
        </m:r>
        <m:r>
          <m:rPr>
            <m:sty m:val="p"/>
          </m:rPr>
          <m:t>22</m:t>
        </m:r>
        <m:r>
          <m:rPr>
            <m:sty m:val="p"/>
          </m:rPr>
          <m:t>,</m:t>
        </m:r>
        <m:r>
          <m:rPr>
            <m:sty m:val="i"/>
          </m:rPr>
          <m:t>Z</m:t>
        </m:r>
        <m:r>
          <m:rPr>
            <m:sty m:val="p"/>
          </m:rPr>
          <m:t>(</m:t>
        </m:r>
        <m:r>
          <m:rPr>
            <m:sty m:val="p"/>
          </m:rPr>
          <m:t>Ru</m:t>
        </m:r>
        <m:r>
          <m:rPr>
            <m:sty m:val="p"/>
          </m:rPr>
          <m:t>)</m:t>
        </m:r>
        <m:r>
          <m:rPr>
            <m:sty m:val="p"/>
          </m:rPr>
          <m:t>=</m:t>
        </m:r>
        <m:r>
          <m:rPr>
            <m:sty m:val="p"/>
          </m:rPr>
          <m:t>44</m:t>
        </m:r>
      </m:oMath>
      <w:r>
        <w:rPr/>
        <w:br w:type="textWrapping"/>
      </w:r>
      <w:r>
        <w:rPr/>
        <w:t xml:space="preserve">Masses molaires : </w:t>
      </w:r>
      <m:oMath>
        <m:r>
          <m:rPr>
            <m:sty m:val="i"/>
          </m:rPr>
          <m:t>M</m:t>
        </m:r>
        <m:r>
          <m:rPr>
            <m:sty m:val="p"/>
          </m:rPr>
          <m:t>(</m:t>
        </m:r>
        <m:r>
          <m:rPr>
            <m:sty m:val="p"/>
          </m:rPr>
          <m:t>O</m:t>
        </m:r>
        <m:r>
          <m:rPr>
            <m:sty m:val="p"/>
          </m:rPr>
          <m:t>)</m:t>
        </m:r>
        <m:r>
          <m:rPr>
            <m:sty m:val="p"/>
          </m:rPr>
          <m:t>=</m:t>
        </m:r>
        <m:r>
          <m:rPr>
            <m:sty m:val="p"/>
          </m:rPr>
          <m:t>16</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M</m:t>
        </m:r>
        <m:r>
          <m:rPr>
            <m:sty m:val="p"/>
          </m:rPr>
          <m:t>(</m:t>
        </m:r>
        <m:r>
          <m:rPr>
            <m:sty m:val="p"/>
          </m:rPr>
          <m:t>Ti</m:t>
        </m:r>
        <m:r>
          <m:rPr>
            <m:sty m:val="p"/>
          </m:rPr>
          <m:t>)</m:t>
        </m:r>
        <m:r>
          <m:rPr>
            <m:sty m:val="p"/>
          </m:rPr>
          <m:t>=</m:t>
        </m:r>
        <m:r>
          <m:rPr>
            <m:sty m:val="p"/>
          </m:rPr>
          <m:t>47</m:t>
        </m:r>
        <m:r>
          <m:rPr>
            <m:sty m:val="p"/>
          </m:rPr>
          <m:t>,</m:t>
        </m:r>
        <m:r>
          <m:rPr>
            <m:sty m:val="p"/>
          </m:rPr>
          <m:t>9</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p>
    <w:p>
      <w:pPr>
        <w:spacing w:after="220" w:lineRule="auto"/>
      </w:pPr>
      <w:r>
        <w:rPr/>
        <w:t xml:space="preserve">Constante d'Avogadro : </w:t>
      </w:r>
      <m:oMath>
        <m:sSub>
          <m:sSubPr/>
          <m:e>
            <m:r>
              <m:rPr>
                <m:sty m:val="i"/>
              </m:rPr>
              <m:t>N</m:t>
            </m:r>
          </m:e>
          <m:sub>
            <m:r>
              <m:rPr>
                <m:sty m:val="i"/>
              </m:rPr>
              <m:t>A</m:t>
            </m:r>
          </m:sub>
        </m:sSub>
        <m:r>
          <m:rPr>
            <m:sty m:val="p"/>
          </m:rPr>
          <m:t>=</m:t>
        </m:r>
        <m:r>
          <m:rPr>
            <m:sty m:val="p"/>
          </m:rPr>
          <m:t>6</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r>
        <w:rPr/>
        <w:br w:type="textWrapping"/>
      </w:r>
      <w:r>
        <w:rPr>
          <w:rFonts w:eastAsia="Georgia" w:cs="Georgia" w:ascii="Georgia" w:hAnsi="Georgia"/>
        </w:rPr>
        <w:t xml:space="preserve">Densité : </w:t>
      </w:r>
      <m:oMath>
        <m:r>
          <m:rPr>
            <m:sty m:val="i"/>
          </m:rPr>
          <m:t>d</m:t>
        </m:r>
        <m:d>
          <m:dPr>
            <m:begChr m:val="("/>
            <m:endChr m:val=")"/>
            <m:ctrlPr>
              <w:rPr>
                <w:rFonts w:ascii="Cambria Math" w:hAnsi="Cambria Math"/>
              </w:rPr>
            </m:ctrlPr>
          </m:dPr>
          <m:e>
            <m:sSub>
              <m:sSubPr/>
              <m:e>
                <m:r>
                  <m:rPr>
                    <m:sty m:val="p"/>
                  </m:rPr>
                  <m:t>TiO</m:t>
                </m:r>
              </m:e>
              <m:sub>
                <m:r>
                  <m:rPr>
                    <m:sty m:val="p"/>
                  </m:rPr>
                  <m:t>2</m:t>
                </m:r>
              </m:sub>
            </m:sSub>
          </m:e>
        </m:d>
        <m:r>
          <m:rPr>
            <m:sty m:val="p"/>
          </m:rPr>
          <m:t>=</m:t>
        </m:r>
        <m:r>
          <m:rPr>
            <m:sty m:val="p"/>
          </m:rPr>
          <m:t>4</m:t>
        </m:r>
        <m:r>
          <m:rPr>
            <m:sty m:val="p"/>
          </m:rPr>
          <m:t>,</m:t>
        </m:r>
        <m:r>
          <m:rPr>
            <m:sty m:val="p"/>
          </m:rPr>
          <m:t>230</m:t>
        </m:r>
      </m:oMath>
      <w:r>
        <w:rPr/>
        <w:br w:type="textWrapping"/>
      </w:r>
      <w:r>
        <w:rPr>
          <w:rFonts w:eastAsia="Georgia" w:cs="Georgia" w:ascii="Georgia" w:hAnsi="Georgia"/>
        </w:rPr>
        <w:t xml:space="preserve">Potentiels standard d'oxydoréduction : </w:t>
      </w:r>
      <m:oMath>
        <m:sSup>
          <m:sSupPr/>
          <m:e>
            <m:r>
              <m:rPr>
                <m:sty m:val="i"/>
              </m:rPr>
              <m:t>E</m:t>
            </m:r>
          </m:e>
          <m:sup>
            <m:r>
              <m:rPr>
                <m:sty m:val="p"/>
              </m:rPr>
              <m:t>∘</m:t>
            </m:r>
          </m:sup>
        </m:sSup>
        <m:d>
          <m:dPr>
            <m:begChr m:val="("/>
            <m:endChr m:val=")"/>
            <m:ctrlPr>
              <w:rPr>
                <w:rFonts w:ascii="Cambria Math" w:hAnsi="Cambria Math"/>
              </w:rPr>
            </m:ctrlPr>
          </m:dPr>
          <m:e>
            <m:sSub>
              <m:sSubPr/>
              <m:e>
                <m:r>
                  <m:rPr>
                    <m:sty m:val="p"/>
                  </m:rPr>
                  <m:t>I</m:t>
                </m:r>
              </m:e>
              <m:sub>
                <m:r>
                  <m:rPr>
                    <m:sty m:val="p"/>
                  </m:rPr>
                  <m:t>3</m:t>
                </m:r>
              </m:sub>
            </m:sSub>
            <m:sSup>
              <m:sSupPr/>
              <m:e>
                <m:r>
                  <m:t xml:space="preserve"> </m:t>
                </m:r>
              </m:e>
              <m:sup>
                <m:r>
                  <m:rPr>
                    <m:sty m:val="p"/>
                  </m:rPr>
                  <m:t>−</m:t>
                </m:r>
              </m:sup>
            </m:sSup>
            <m:r>
              <m:rPr>
                <m:sty m:val="p"/>
              </m:rPr>
              <m:t>/</m:t>
            </m:r>
            <m:sSup>
              <m:sSupPr/>
              <m:e>
                <m:r>
                  <m:rPr>
                    <m:sty m:val="p"/>
                  </m:rPr>
                  <m:t>I</m:t>
                </m:r>
              </m:e>
              <m:sup>
                <m:r>
                  <m:rPr>
                    <m:sty m:val="p"/>
                  </m:rPr>
                  <m:t>−</m:t>
                </m:r>
              </m:sup>
            </m:sSup>
          </m:e>
        </m:d>
        <m:r>
          <m:rPr>
            <m:sty m:val="p"/>
          </m:rPr>
          <m:t>=</m:t>
        </m:r>
        <m:r>
          <m:rPr>
            <m:sty m:val="p"/>
          </m:rPr>
          <m:t>0</m:t>
        </m:r>
        <m:r>
          <m:rPr>
            <m:sty m:val="p"/>
          </m:rPr>
          <m:t>,</m:t>
        </m:r>
        <m:r>
          <m:rPr>
            <m:sty m:val="p"/>
          </m:rPr>
          <m:t>54</m:t>
        </m:r>
        <m:r>
          <m:rPr>
            <m:nor/>
          </m:rPr>
          <m:t xml:space="preserve"> </m:t>
        </m:r>
        <m:r>
          <m:rPr>
            <m:sty m:val="p"/>
          </m:rPr>
          <m:t>V</m:t>
        </m:r>
        <m:r>
          <m:rPr>
            <m:sty m:val="p"/>
          </m:rPr>
          <m:t>,</m:t>
        </m:r>
        <m:sSup>
          <m:sSupPr/>
          <m:e>
            <m:r>
              <m:rPr>
                <m:sty m:val="i"/>
              </m:rPr>
              <m:t>E</m:t>
            </m:r>
          </m:e>
          <m:sup>
            <m:r>
              <m:rPr>
                <m:sty m:val="p"/>
              </m:rPr>
              <m:t>∘</m:t>
            </m:r>
          </m:sup>
        </m:sSup>
        <m:d>
          <m:dPr>
            <m:begChr m:val="("/>
            <m:endChr m:val=")"/>
            <m:ctrlPr>
              <w:rPr>
                <w:rFonts w:ascii="Cambria Math" w:hAnsi="Cambria Math"/>
              </w:rPr>
            </m:ctrlPr>
          </m:dPr>
          <m:e>
            <m:d>
              <m:dPr>
                <m:begChr m:val="["/>
                <m:endChr m:val="]"/>
                <m:ctrlPr>
                  <w:rPr>
                    <w:rFonts w:ascii="Cambria Math" w:hAnsi="Cambria Math"/>
                  </w:rPr>
                </m:ctrlPr>
              </m:dPr>
              <m:e>
                <m:sSup>
                  <m:sSupPr/>
                  <m:e>
                    <m:r>
                      <m:rPr>
                        <m:sty m:val="p"/>
                      </m:rPr>
                      <m:t>Ru</m:t>
                    </m:r>
                  </m:e>
                  <m:sup>
                    <m:r>
                      <m:rPr>
                        <m:sty m:val="p"/>
                      </m:rPr>
                      <m:t>III</m:t>
                    </m:r>
                  </m:sup>
                </m:sSup>
              </m:e>
            </m:d>
            <m:r>
              <m:rPr>
                <m:sty m:val="p"/>
              </m:rPr>
              <m:t>/</m:t>
            </m:r>
            <m:d>
              <m:dPr>
                <m:begChr m:val="["/>
                <m:endChr m:val="]"/>
                <m:ctrlPr>
                  <w:rPr>
                    <w:rFonts w:ascii="Cambria Math" w:hAnsi="Cambria Math"/>
                  </w:rPr>
                </m:ctrlPr>
              </m:dPr>
              <m:e>
                <m:sSup>
                  <m:sSupPr/>
                  <m:e>
                    <m:r>
                      <m:rPr>
                        <m:sty m:val="p"/>
                      </m:rPr>
                      <m:t>Ru</m:t>
                    </m:r>
                  </m:e>
                  <m:sup>
                    <m:r>
                      <m:rPr>
                        <m:sty m:val="p"/>
                      </m:rPr>
                      <m:t>II</m:t>
                    </m:r>
                  </m:sup>
                </m:sSup>
              </m:e>
            </m:d>
          </m:e>
        </m:d>
        <m:r>
          <m:rPr>
            <m:sty m:val="p"/>
          </m:rPr>
          <m:t>=</m:t>
        </m:r>
        <m:r>
          <m:rPr>
            <m:sty m:val="p"/>
          </m:rPr>
          <m:t>1</m:t>
        </m:r>
        <m:r>
          <m:rPr>
            <m:sty m:val="p"/>
          </m:rPr>
          <m:t>,</m:t>
        </m:r>
        <m:r>
          <m:rPr>
            <m:sty m:val="p"/>
          </m:rPr>
          <m:t>1</m:t>
        </m:r>
        <m:r>
          <m:rPr>
            <m:nor/>
          </m:rPr>
          <m:t xml:space="preserve"> </m:t>
        </m:r>
        <m:r>
          <m:rPr>
            <m:sty m:val="p"/>
          </m:rPr>
          <m:t>V</m:t>
        </m:r>
      </m:oMath>
      <w:r>
        <w:rPr/>
        <w:br w:type="textWrapping"/>
      </w:r>
      <w:r>
        <w:rPr>
          <w:rFonts w:eastAsia="Georgia" w:cs="Georgia" w:ascii="Georgia" w:hAnsi="Georgia"/>
        </w:rPr>
        <w:t xml:space="preserve">Conversion énergétique : </w:t>
      </w:r>
      <m:oMath>
        <m:f>
          <m:fPr>
            <m:ctrlPr>
              <w:rPr>
                <w:rFonts w:ascii="Cambria Math" w:hAnsi="Cambria Math"/>
              </w:rPr>
            </m:ctrlPr>
          </m:fPr>
          <m:num>
            <m:r>
              <m:rPr>
                <m:sty m:val="i"/>
              </m:rPr>
              <m:t>h</m:t>
            </m:r>
            <m:r>
              <m:rPr>
                <m:sty m:val="i"/>
              </m:rPr>
              <m:t>c</m:t>
            </m:r>
          </m:num>
          <m:den>
            <m:r>
              <m:rPr>
                <m:sty m:val="p"/>
              </m:rPr>
              <m:t>Δ</m:t>
            </m:r>
            <m:r>
              <m:rPr>
                <m:sty m:val="i"/>
              </m:rPr>
              <m:t>E</m:t>
            </m:r>
          </m:den>
        </m:f>
        <m:r>
          <m:rPr>
            <m:sty m:val="p"/>
          </m:rPr>
          <m:t>=</m:t>
        </m:r>
        <m:r>
          <m:rPr>
            <m:sty m:val="p"/>
          </m:rPr>
          <m:t>1</m:t>
        </m:r>
        <m:r>
          <m:rPr>
            <m:sty m:val="p"/>
          </m:rPr>
          <m:t>,</m:t>
        </m:r>
        <m:r>
          <m:rPr>
            <m:sty m:val="p"/>
          </m:rPr>
          <m:t>241</m:t>
        </m:r>
        <m:r>
          <m:rPr>
            <m:sty m:val="p"/>
          </m:rPr>
          <m:t>×</m:t>
        </m:r>
        <m:sSup>
          <m:sSupPr/>
          <m:e>
            <m:r>
              <m:rPr>
                <m:sty m:val="p"/>
              </m:rPr>
              <m:t>10</m:t>
            </m:r>
          </m:e>
          <m:sup>
            <m:r>
              <m:rPr>
                <m:sty m:val="p"/>
              </m:rPr>
              <m:t>−</m:t>
            </m:r>
            <m:r>
              <m:rPr>
                <m:sty m:val="p"/>
              </m:rPr>
              <m:t>6</m:t>
            </m:r>
          </m:sup>
        </m:sSup>
        <m:r>
          <m:rPr>
            <m:nor/>
          </m:rPr>
          <m:t xml:space="preserve"> </m:t>
        </m:r>
        <m:r>
          <m:rPr>
            <m:sty m:val="p"/>
          </m:rPr>
          <m:t>m</m:t>
        </m:r>
      </m:oMath>
      <w:r>
        <w:rPr/>
        <w:t xml:space="preserve">, pour </w:t>
      </w:r>
      <m:oMath>
        <m:r>
          <m:rPr>
            <m:sty m:val="p"/>
          </m:rPr>
          <m:t>Δ</m:t>
        </m:r>
        <m:r>
          <m:rPr>
            <m:sty m:val="i"/>
          </m:rPr>
          <m:t>E</m:t>
        </m:r>
        <m:r>
          <m:rPr>
            <m:sty m:val="p"/>
          </m:rPr>
          <m:t>=</m:t>
        </m:r>
        <m:r>
          <m:rPr>
            <m:sty m:val="p"/>
          </m:rPr>
          <m:t>1</m:t>
        </m:r>
        <m:r>
          <m:rPr>
            <m:sty m:val="p"/>
          </m:rPr>
          <m:t>eV</m:t>
        </m:r>
      </m:oMath>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right"/>
            </w:pPr>
            <m:oMathPara>
              <m:oMathParaPr>
                <m:jc m:val="right"/>
              </m:oMathParaPr>
              <m:oMath>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limLow>
                  <m:limLowPr/>
                  <m:e>
                    <m:r>
                      <m:rPr>
                        <m:sty m:val="p"/>
                      </m:rPr>
                      <m:t>H</m:t>
                    </m:r>
                  </m:e>
                  <m:lim>
                    <m:r>
                      <m:rPr>
                        <m:sty m:val="p"/>
                      </m:rPr>
                      <m:t>H</m:t>
                    </m:r>
                  </m:lim>
                </m:limLow>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limUpp>
                  <m:limUppPr/>
                  <m:e>
                    <m:r>
                      <m:rPr>
                        <m:sty m:val="p"/>
                      </m:rPr>
                      <m:t>/</m:t>
                    </m:r>
                  </m:e>
                  <m:lim>
                    <m:r>
                      <m:rPr>
                        <m:sty m:val="p"/>
                      </m:rPr>
                      <m:t>HC</m:t>
                    </m:r>
                  </m:lim>
                </m:limUpp>
                <m:r>
                  <m:rPr>
                    <m:sty m:val="p"/>
                  </m:rPr>
                  <m:t>C</m:t>
                </m:r>
                <m:r>
                  <m:rPr>
                    <m:sty m:val="p"/>
                  </m:rPr>
                  <m:t>−</m:t>
                </m:r>
                <m:r>
                  <m:rPr>
                    <m:sty m:val="p"/>
                  </m:rPr>
                  <m:t>H</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limLow>
                  <m:limLowPr/>
                  <m:e>
                    <m:r>
                      <m:rPr>
                        <m:sty m:val="p"/>
                      </m:rPr>
                      <m:t>H</m:t>
                    </m:r>
                  </m:e>
                  <m:lim>
                    <m:r>
                      <m:rPr>
                        <m:sty m:val="p"/>
                      </m:rPr>
                      <m:t>H</m:t>
                    </m:r>
                  </m:lim>
                </m:limLow>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right"/>
            </w:pPr>
            <m:oMathPara>
              <m:oMathParaPr>
                <m:jc m:val="right"/>
              </m:oMathParaPr>
              <m:oMath>
                <m:r>
                  <m:rPr>
                    <m:sty m:val="p"/>
                  </m:rPr>
                  <m:t>0</m:t>
                </m:r>
                <m:r>
                  <m:rPr>
                    <m:sty m:val="p"/>
                  </m:rPr>
                  <m:t>−</m:t>
                </m:r>
                <m:r>
                  <m:rPr>
                    <m:sty m:val="p"/>
                  </m:rPr>
                  <m:t>3</m:t>
                </m:r>
                <m:r>
                  <m:rPr>
                    <m:sty m:val="p"/>
                  </m:rPr>
                  <m:t>,</m:t>
                </m:r>
                <m:r>
                  <m:rPr>
                    <m:sty m:val="p"/>
                  </m:rPr>
                  <m:t>5</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r>
                  <m:rPr>
                    <m:sty m:val="p"/>
                  </m:rPr>
                  <m:t>9</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6</m:t>
                </m:r>
                <m:r>
                  <m:rPr>
                    <m:sty m:val="p"/>
                  </m:rPr>
                  <m:t>−</m:t>
                </m:r>
                <m:r>
                  <m:rPr>
                    <m:sty m:val="p"/>
                  </m:rPr>
                  <m:t>14</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11</m:t>
                </m:r>
                <m:r>
                  <m:rPr>
                    <m:sty m:val="p"/>
                  </m:rPr>
                  <m:t>−</m:t>
                </m:r>
                <m:r>
                  <m:rPr>
                    <m:sty m:val="p"/>
                  </m:rPr>
                  <m:t>18</m:t>
                </m:r>
              </m:oMath>
            </m:oMathPara>
          </w:p>
        </w:tc>
      </w:tr>
    </w:tbl>
    <w:p>
      <w:pPr>
        <w:spacing w:lineRule="auto"/>
      </w:pPr>
    </w:p>
    <w:p>
      <w:pPr>
        <w:spacing w:lineRule="auto"/>
      </w:pPr>
      <w:r>
        <w:rPr/>
        <w:t xml:space="preserve">Tableau 3 - Constantes de couplage </w:t>
      </w:r>
      <m:oMath>
        <m:r>
          <m:rPr>
            <m:sty m:val="i"/>
          </m:rPr>
          <m:t>J</m:t>
        </m:r>
      </m:oMath>
      <w:r>
        <w:rPr/>
        <w:t xml:space="preserve"> en RMN </w:t>
      </w:r>
      <m:oMath>
        <m:sSup>
          <m:sSupPr/>
          <m:e>
            <m:r>
              <m:t xml:space="preserve"> </m:t>
            </m:r>
          </m:e>
          <m:sup>
            <m:r>
              <m:rPr>
                <m:sty m:val="p"/>
              </m:rPr>
              <m:t>1</m:t>
            </m:r>
          </m:sup>
        </m:sSup>
        <m:r>
          <m:rPr>
            <m:sty m:val="p"/>
          </m:rPr>
          <m:t>H</m:t>
        </m:r>
      </m:oMath>
      <w:r>
        <w:rPr>
          <w:rFonts w:eastAsia="Georgia" w:cs="Georgia" w:ascii="Georgia" w:hAnsi="Georgia"/>
        </w:rPr>
        <w:t xml:space="preserve">, données en Hz .</w:t>
      </w:r>
    </w:p>
    <w:p>
      <w:pPr>
        <w:spacing w:lineRule="auto"/>
        <w:jc w:val="center"/>
      </w:pPr>
      <w:r>
        <w:rPr/>
        <w:drawing>
          <wp:inline distB="0" distL="0" distR="0" distT="0">
            <wp:extent cx="5486400" cy="4134179"/>
            <wp:effectExtent b="0" l="0" r="0" t="0"/>
            <wp:docPr id="19" name="image-797aff2bcede09b0550685430acd1a534aadad8a.jpg"/>
            <a:graphic>
              <a:graphicData uri="http://schemas.openxmlformats.org/drawingml/2006/picture">
                <pic:pic>
                  <pic:nvPicPr>
                    <pic:cNvPr id="19" name="image-797aff2bcede09b0550685430acd1a534aadad8a.jpg" descr=""/>
                    <pic:cNvPicPr/>
                  </pic:nvPicPr>
                  <pic:blipFill>
                    <a:blip r:embed="rId23" cstate="print"/>
                    <a:srcRect b="0" l="0" r="0" t="0"/>
                    <a:stretch>
                      <a:fillRect/>
                    </a:stretch>
                  </pic:blipFill>
                  <pic:spPr>
                    <a:xfrm>
                      <a:off x="0" y="0"/>
                      <a:ext cx="5486400" cy="4134179"/>
                    </a:xfrm>
                    <a:prstGeom prst="rect"/>
                  </pic:spPr>
                </pic:pic>
              </a:graphicData>
            </a:graphic>
          </wp:inline>
        </w:drawing>
      </w:r>
    </w:p>
    <w:p>
      <w:pPr>
        <w:spacing w:lineRule="auto"/>
      </w:pPr>
      <w:r>
        <w:rPr>
          <w:rFonts w:eastAsia="Georgia" w:cs="Georgia" w:ascii="Georgia" w:hAnsi="Georgia"/>
        </w:rPr>
        <w:t xml:space="preserve">Figure 9 - Orbitales moléculaires pour le complexe de ruthénium. Les énergies des orbitales sont issues d'un calcul théorique.</w:t>
      </w:r>
    </w:p>
    <w:p>
      <w:pPr>
        <w:spacing w:lineRule="auto"/>
        <w:jc w:val="center"/>
      </w:pPr>
      <w:r>
        <w:rPr/>
        <w:drawing>
          <wp:inline distB="0" distL="0" distR="0" distT="0">
            <wp:extent cx="5486400" cy="4569031"/>
            <wp:effectExtent b="0" l="0" r="0" t="0"/>
            <wp:docPr id="20" name="image-4fa5aaad2eab12ef0f55b7398b8790f1830b52f1.jpg"/>
            <a:graphic>
              <a:graphicData uri="http://schemas.openxmlformats.org/drawingml/2006/picture">
                <pic:pic>
                  <pic:nvPicPr>
                    <pic:cNvPr id="20" name="image-4fa5aaad2eab12ef0f55b7398b8790f1830b52f1.jpg" descr=""/>
                    <pic:cNvPicPr/>
                  </pic:nvPicPr>
                  <pic:blipFill>
                    <a:blip r:embed="rId24" cstate="print"/>
                    <a:srcRect b="0" l="0" r="0" t="0"/>
                    <a:stretch>
                      <a:fillRect/>
                    </a:stretch>
                  </pic:blipFill>
                  <pic:spPr>
                    <a:xfrm>
                      <a:off x="0" y="0"/>
                      <a:ext cx="5486400" cy="4569031"/>
                    </a:xfrm>
                    <a:prstGeom prst="rect"/>
                  </pic:spPr>
                </pic:pic>
              </a:graphicData>
            </a:graphic>
          </wp:inline>
        </w:drawing>
      </w:r>
    </w:p>
    <w:p>
      <w:pPr>
        <w:spacing w:lineRule="auto"/>
      </w:pPr>
      <w:r>
        <w:rPr>
          <w:rFonts w:eastAsia="Georgia" w:cs="Georgia" w:ascii="Georgia" w:hAnsi="Georgia"/>
        </w:rPr>
        <w:t xml:space="preserve">Figure 10 - Tables IR : les données spectroscopiques indiquées pour la spectroscopie IR correspondent aux nombres d'onde des maxima des bandes observées.</w:t>
      </w:r>
    </w:p>
    <w:p>
      <w:pPr>
        <w:spacing w:lineRule="auto"/>
        <w:jc w:val="center"/>
      </w:pPr>
      <w:r>
        <w:rPr/>
        <w:drawing>
          <wp:inline distB="0" distL="0" distR="0" distT="0">
            <wp:extent cx="5486400" cy="4566792"/>
            <wp:effectExtent b="0" l="0" r="0" t="0"/>
            <wp:docPr id="21" name="image-404e470101b3612ddbc0b17353e0bae44dc4c46b.jpg"/>
            <a:graphic>
              <a:graphicData uri="http://schemas.openxmlformats.org/drawingml/2006/picture">
                <pic:pic>
                  <pic:nvPicPr>
                    <pic:cNvPr id="21" name="image-404e470101b3612ddbc0b17353e0bae44dc4c46b.jpg" descr=""/>
                    <pic:cNvPicPr/>
                  </pic:nvPicPr>
                  <pic:blipFill>
                    <a:blip r:embed="rId25" cstate="print"/>
                    <a:srcRect b="0" l="0" r="0" t="0"/>
                    <a:stretch>
                      <a:fillRect/>
                    </a:stretch>
                  </pic:blipFill>
                  <pic:spPr>
                    <a:xfrm>
                      <a:off x="0" y="0"/>
                      <a:ext cx="5486400" cy="4566792"/>
                    </a:xfrm>
                    <a:prstGeom prst="rect"/>
                  </pic:spPr>
                </pic:pic>
              </a:graphicData>
            </a:graphic>
          </wp:inline>
        </w:drawing>
      </w:r>
    </w:p>
    <w:p>
      <w:pPr>
        <w:spacing w:lineRule="auto"/>
      </w:pPr>
      <w:r>
        <w:rPr>
          <w:rFonts w:eastAsia="Georgia" w:cs="Georgia" w:ascii="Georgia" w:hAnsi="Georgia"/>
        </w:rPr>
        <w:t xml:space="preserve">Figure 11 - Table de déplacements </w:t>
      </w:r>
      <m:oMath>
        <m:sSup>
          <m:sSupPr/>
          <m:e>
            <m:r>
              <m:t xml:space="preserve"> </m:t>
            </m:r>
          </m:e>
          <m:sup>
            <m:r>
              <m:rPr>
                <m:sty m:val="p"/>
              </m:rPr>
              <m:t>1</m:t>
            </m:r>
          </m:sup>
        </m:sSup>
      </m:oMath>
      <w:r>
        <w:rPr/>
        <w:t xml:space="preserve"> RMN.</w:t>
      </w:r>
    </w:p>
    <w:p>
      <w:pPr>
        <w:spacing w:line="271" w:before="330" w:lineRule="auto"/>
      </w:pPr>
      <w:r>
        <w:rPr>
          <w:b/>
          <w:sz w:val="42"/>
        </w:rPr>
        <w:t xml:space="preserve">Document 1 - Les liquides ioniques.</w:t>
      </w:r>
    </w:p>
    <w:p>
      <w:pPr>
        <w:spacing w:after="220" w:lineRule="auto"/>
      </w:pPr>
      <w:r>
        <w:rPr>
          <w:rFonts w:eastAsia="Georgia" w:cs="Georgia" w:ascii="Georgia" w:hAnsi="Georgia"/>
        </w:rPr>
        <w:t xml:space="preserve">Les liquides ioniques sont des sels constitués de cations organiques (imidazolium, ammonium, pyrrolidinium...) associés avec des anions inorganiques ( </w:t>
      </w:r>
      <m:oMath>
        <m:sSup>
          <m:sSupPr/>
          <m:e>
            <m:r>
              <m:rPr>
                <m:sty m:val="p"/>
              </m:rPr>
              <m:t>Cl</m:t>
            </m:r>
          </m:e>
          <m:sup>
            <m:r>
              <m:rPr>
                <m:sty m:val="p"/>
              </m:rPr>
              <m:t>−</m:t>
            </m:r>
          </m:sup>
        </m:sSup>
        <m:r>
          <m:rPr>
            <m:sty m:val="p"/>
          </m:rPr>
          <m:t>,</m:t>
        </m:r>
        <m:sSub>
          <m:sSubPr/>
          <m:e>
            <m:r>
              <m:rPr>
                <m:sty m:val="p"/>
              </m:rPr>
              <m:t>AlCl</m:t>
            </m:r>
          </m:e>
          <m:sub>
            <m:r>
              <m:rPr>
                <m:sty m:val="p"/>
              </m:rPr>
              <m:t>4</m:t>
            </m:r>
          </m:sub>
        </m:sSub>
        <m:sSup>
          <m:sSupPr/>
          <m:e>
            <m:r>
              <m:t xml:space="preserve"> </m:t>
            </m:r>
          </m:e>
          <m:sup>
            <m:r>
              <m:rPr>
                <m:sty m:val="p"/>
              </m:rPr>
              <m:t>−</m:t>
            </m:r>
          </m:sup>
        </m:sSup>
        <m:r>
          <m:rPr>
            <m:sty m:val="p"/>
          </m:rPr>
          <m:t>,</m:t>
        </m:r>
        <m:sSub>
          <m:sSubPr/>
          <m:e>
            <m:r>
              <m:rPr>
                <m:sty m:val="p"/>
              </m:rPr>
              <m:t>PF</m:t>
            </m:r>
          </m:e>
          <m:sub>
            <m:r>
              <m:rPr>
                <m:sty m:val="p"/>
              </m:rPr>
              <m:t>6</m:t>
            </m:r>
          </m:sub>
        </m:sSub>
        <m:sSup>
          <m:sSupPr/>
          <m:e>
            <m:r>
              <m:t xml:space="preserve"> </m:t>
            </m:r>
          </m:e>
          <m:sup>
            <m:r>
              <m:rPr>
                <m:sty m:val="p"/>
              </m:rPr>
              <m:t>−</m:t>
            </m:r>
          </m:sup>
        </m:sSup>
        <m:r>
          <m:rPr>
            <m:sty m:val="p"/>
          </m:rPr>
          <m:t>,</m:t>
        </m:r>
        <m:sSub>
          <m:sSubPr/>
          <m:e>
            <m:r>
              <m:rPr>
                <m:sty m:val="p"/>
              </m:rPr>
              <m:t>BF</m:t>
            </m:r>
          </m:e>
          <m:sub>
            <m:r>
              <m:rPr>
                <m:sty m:val="p"/>
              </m:rPr>
              <m:t>4</m:t>
            </m:r>
          </m:sub>
        </m:sSub>
        <m:sSup>
          <m:sSupPr/>
          <m:e>
            <m:r>
              <m:t xml:space="preserve"> </m:t>
            </m:r>
          </m:e>
          <m:sup>
            <m:r>
              <m:rPr>
                <m:sty m:val="p"/>
              </m:rPr>
              <m:t>−</m:t>
            </m:r>
          </m:sup>
        </m:sSup>
        <m:r>
          <m:rPr>
            <m:sty m:val="p"/>
          </m:rPr>
          <m:t>…</m:t>
        </m:r>
      </m:oMath>
      <w:r>
        <w:rPr/>
        <w:t xml:space="preserve"> ) ou organiques ( </w:t>
      </w:r>
      <m:oMath>
        <m:sSub>
          <m:sSubPr/>
          <m:e>
            <m:r>
              <m:rPr>
                <m:sty m:val="p"/>
              </m:rPr>
              <m:t>CH</m:t>
            </m:r>
          </m:e>
          <m:sub>
            <m:r>
              <m:rPr>
                <m:sty m:val="p"/>
              </m:rPr>
              <m:t>3</m:t>
            </m:r>
          </m:sub>
        </m:sSub>
        <m:sSup>
          <m:sSupPr/>
          <m:e>
            <m:r>
              <m:rPr>
                <m:sty m:val="p"/>
              </m:rPr>
              <m:t>COO</m:t>
            </m:r>
          </m:e>
          <m:sup>
            <m:r>
              <m:rPr>
                <m:sty m:val="p"/>
              </m:rPr>
              <m:t>−</m:t>
            </m:r>
          </m:sup>
        </m:sSup>
        <m:r>
          <m:rPr>
            <m:sty m:val="p"/>
          </m:rPr>
          <m:t>,</m:t>
        </m:r>
        <m:sSub>
          <m:sSubPr/>
          <m:e>
            <m:r>
              <m:rPr>
                <m:sty m:val="p"/>
              </m:rPr>
              <m:t>CH</m:t>
            </m:r>
          </m:e>
          <m:sub>
            <m:r>
              <m:rPr>
                <m:sty m:val="p"/>
              </m:rPr>
              <m:t>3</m:t>
            </m:r>
          </m:sub>
        </m:sSub>
        <m:sSub>
          <m:sSubPr/>
          <m:e>
            <m:r>
              <m:rPr>
                <m:sty m:val="p"/>
              </m:rPr>
              <m:t>SO</m:t>
            </m:r>
          </m:e>
          <m:sub>
            <m:r>
              <m:rPr>
                <m:sty m:val="p"/>
              </m:rPr>
              <m:t>3</m:t>
            </m:r>
          </m:sub>
        </m:sSub>
        <m:sSup>
          <m:sSupPr/>
          <m:e>
            <m:r>
              <m:t xml:space="preserve"> </m:t>
            </m:r>
          </m:e>
          <m:sup>
            <m:r>
              <m:rPr>
                <m:sty m:val="p"/>
              </m:rPr>
              <m:t>−</m:t>
            </m:r>
          </m:sup>
        </m:sSup>
        <m:r>
          <m:rPr>
            <m:sty m:val="p"/>
          </m:rPr>
          <m:t>…</m:t>
        </m:r>
      </m:oMath>
      <w:r>
        <w:rPr>
          <w:rFonts w:eastAsia="Georgia" w:cs="Georgia" w:ascii="Georgia" w:hAnsi="Georgia"/>
        </w:rPr>
        <w:t xml:space="preserve"> ) qui ont la particularité d'être liquides autour de la température ambiante.</w:t>
      </w:r>
      <w:r>
        <w:rPr/>
        <w:br w:type="textWrapping"/>
      </w:r>
      <w:r>
        <w:rPr>
          <w:rFonts w:eastAsia="Georgia" w:cs="Georgia" w:ascii="Georgia" w:hAnsi="Georgia"/>
        </w:rPr>
        <w:t xml:space="preserve">Propriétés des liquides ioniques :</w:t>
      </w:r>
    </w:p>
    <w:p>
      <w:pPr>
        <w:numPr>
          <w:ilvl w:val="0"/>
          <w:numId w:val="17"/>
        </w:numPr>
        <w:spacing w:lineRule="auto"/>
      </w:pPr>
      <w:r>
        <w:rPr/>
        <w:t xml:space="preserve">Non volatils</w:t>
      </w:r>
    </w:p>
    <w:p>
      <w:pPr>
        <w:numPr>
          <w:ilvl w:val="0"/>
          <w:numId w:val="17"/>
        </w:numPr>
        <w:spacing w:lineRule="auto"/>
      </w:pPr>
      <w:r>
        <w:rPr/>
        <w:t xml:space="preserve">Ininflammables</w:t>
      </w:r>
    </w:p>
    <w:p>
      <w:pPr>
        <w:numPr>
          <w:ilvl w:val="0"/>
          <w:numId w:val="17"/>
        </w:numPr>
        <w:spacing w:lineRule="auto"/>
      </w:pPr>
      <w:r>
        <w:rPr>
          <w:rFonts w:eastAsia="Georgia" w:cs="Georgia" w:ascii="Georgia" w:hAnsi="Georgia"/>
        </w:rPr>
        <w:t xml:space="preserve">Bonne stabilité thermique (jusqu'à </w:t>
      </w:r>
      <m:oMath>
        <m:sSup>
          <m:sSupPr/>
          <m:e>
            <m:r>
              <m:rPr>
                <m:sty m:val="p"/>
              </m:rPr>
              <m:t>400</m:t>
            </m:r>
          </m:e>
          <m:sup>
            <m:r>
              <m:rPr>
                <m:sty m:val="p"/>
              </m:rPr>
              <m:t>∘</m:t>
            </m:r>
          </m:sup>
        </m:sSup>
        <m:r>
          <m:rPr>
            <m:sty m:val="p"/>
          </m:rPr>
          <m:t>C</m:t>
        </m:r>
      </m:oMath>
      <w:r>
        <w:rPr/>
        <w:t xml:space="preserve"> ) et chimique (air, eau)</w:t>
      </w:r>
    </w:p>
    <w:p>
      <w:pPr>
        <w:numPr>
          <w:ilvl w:val="0"/>
          <w:numId w:val="17"/>
        </w:numPr>
        <w:spacing w:lineRule="auto"/>
      </w:pPr>
      <w:r>
        <w:rPr/>
        <w:t xml:space="preserve">Hydrophobes ou hydrophiles</w:t>
      </w:r>
    </w:p>
    <w:p>
      <w:pPr>
        <w:numPr>
          <w:ilvl w:val="0"/>
          <w:numId w:val="17"/>
        </w:numPr>
        <w:spacing w:lineRule="auto"/>
      </w:pPr>
      <w:r>
        <w:rPr>
          <w:rFonts w:eastAsia="Georgia" w:cs="Georgia" w:ascii="Georgia" w:hAnsi="Georgia"/>
        </w:rPr>
        <w:t xml:space="preserve">Bons conducteurs (jusqu'à </w:t>
      </w:r>
      <m:oMath>
        <m:r>
          <m:rPr>
            <m:sty m:val="p"/>
          </m:rPr>
          <m:t>20</m:t>
        </m:r>
        <m:r>
          <m:rPr>
            <m:sty m:val="p"/>
          </m:rPr>
          <m:t>mS</m:t>
        </m:r>
        <m:r>
          <m:rPr>
            <m:sty m:val="p"/>
          </m:rPr>
          <m:t>⋅</m:t>
        </m:r>
        <m:sSup>
          <m:sSupPr/>
          <m:e>
            <m:r>
              <m:rPr>
                <m:sty m:val="p"/>
              </m:rPr>
              <m:t>cm</m:t>
            </m:r>
          </m:e>
          <m:sup>
            <m:r>
              <m:rPr>
                <m:sty m:val="p"/>
              </m:rPr>
              <m:t>−</m:t>
            </m:r>
            <m:r>
              <m:rPr>
                <m:sty m:val="p"/>
              </m:rPr>
              <m:t>1</m:t>
            </m:r>
          </m:sup>
        </m:sSup>
      </m:oMath>
      <w:r>
        <w:rPr/>
        <w:t xml:space="preserve"> )</w:t>
      </w:r>
    </w:p>
    <w:p>
      <w:pPr>
        <w:numPr>
          <w:ilvl w:val="0"/>
          <w:numId w:val="17"/>
        </w:numPr>
        <w:spacing w:lineRule="auto"/>
      </w:pPr>
      <w:r>
        <w:rPr>
          <w:rFonts w:eastAsia="Georgia" w:cs="Georgia" w:ascii="Georgia" w:hAnsi="Georgia"/>
        </w:rPr>
        <w:t xml:space="preserve">Large fenêtre électrochimique (jusqu'à 6 Volts)</w:t>
      </w:r>
    </w:p>
    <w:p>
      <w:pPr>
        <w:spacing w:after="220" w:lineRule="auto"/>
      </w:pPr>
      <w:r>
        <w:rPr>
          <w:rFonts w:eastAsia="Georgia" w:cs="Georgia" w:ascii="Georgia" w:hAnsi="Georgia"/>
        </w:rPr>
        <w:t xml:space="preserve">Référence : Solvionic®, </w:t>
      </w:r>
      <w:hyperlink r:id="rId26">
        <w:r>
          <w:rPr>
            <w:color w:val="4472C4"/>
          </w:rPr>
          <w:t xml:space="preserve">http://fr.solvionic.com/</w:t>
        </w:r>
      </w:hyperlink>
    </w:p>
    <w:p>
      <w:pPr>
        <w:spacing w:line="271" w:before="330" w:lineRule="auto"/>
      </w:pPr>
      <w:r>
        <w:rPr>
          <w:rFonts w:eastAsia="Georgia" w:cs="Georgia" w:ascii="Georgia" w:hAnsi="Georgia"/>
          <w:b/>
          <w:sz w:val="42"/>
        </w:rPr>
        <w:t xml:space="preserve">Document 2 - Les polymères liquides ioniques.</w:t>
      </w:r>
    </w:p>
    <w:p>
      <w:pPr>
        <w:spacing w:after="220" w:lineRule="auto"/>
      </w:pPr>
      <w:r>
        <w:rPr>
          <w:rFonts w:eastAsia="Georgia" w:cs="Georgia" w:ascii="Georgia" w:hAnsi="Georgia"/>
        </w:rPr>
        <w:t xml:space="preserve">Dans les premières utilisations qui sont toujours actuelles, les liquides ioniques sont dissous dans des solvants organiques comme les carbonates (carbonates d'éthylène, carbonate de propylène ou diméthyle carbonate). L'électrolyte : liquides ioniques plus solvants, reste alors liquide sur une plus grande gamme de température.</w:t>
      </w:r>
      <w:r>
        <w:rPr/>
        <w:br w:type="textWrapping"/>
      </w:r>
    </w:p>
    <w:p>
      <w:pPr>
        <w:spacing w:lineRule="auto"/>
      </w:pPr>
      <w:r>
        <w:rPr/>
        <w:drawing>
          <wp:inline distB="0" distL="0" distR="0" distT="0">
            <wp:extent cx="1562100" cy="885825"/>
            <wp:effectExtent b="0" l="0" r="0" t="0"/>
            <wp:docPr id="22" name="image-svg-9f20959291b35bdc412cbc9396477e8690937e7c.svg"/>
            <a:graphic>
              <a:graphicData uri="http://schemas.openxmlformats.org/drawingml/2006/picture">
                <pic:pic>
                  <pic:nvPicPr>
                    <pic:cNvPr id="22" name="image-svg-9f20959291b35bdc412cbc9396477e8690937e7c.svg" descr=""/>
                    <pic:cNvPicPr/>
                  </pic:nvPicPr>
                  <pic:blipFill>
                    <a:blip r:embed="rId28" cstate="print">
                      <a:extLst>
                        <a:ext uri="">
                          <a14:useLocalDpi val="0"/>
                        </a:ext>
                        <a:ext uri="">
                          <asvg:svgBlip r:embed="rId27"/>
                        </a:ext>
                      </a:extLst>
                    </a:blip>
                    <a:srcRect b="0" l="0" r="0" t="0"/>
                    <a:stretch>
                      <a:fillRect/>
                    </a:stretch>
                  </pic:blipFill>
                  <pic:spPr>
                    <a:xfrm>
                      <a:off x="0" y="0"/>
                      <a:ext cx="1562100" cy="885825"/>
                    </a:xfrm>
                    <a:prstGeom prst="rect"/>
                  </pic:spPr>
                </pic:pic>
              </a:graphicData>
            </a:graphic>
          </wp:inline>
        </w:drawing>
      </w:r>
    </w:p>
    <w:p>
      <w:pPr>
        <w:spacing w:after="220" w:lineRule="auto"/>
      </w:pPr>
      <w:r>
        <w:rPr/>
        <w:br w:type="textWrapping"/>
      </w:r>
    </w:p>
    <w:p>
      <w:pPr>
        <w:spacing w:lineRule="auto"/>
      </w:pPr>
      <w:r>
        <w:rPr/>
        <w:drawing>
          <wp:inline distB="0" distL="0" distR="0" distT="0">
            <wp:extent cx="1828800" cy="914400"/>
            <wp:effectExtent b="0" l="0" r="0" t="0"/>
            <wp:docPr id="24" name="image-svg-f114a73edf061643aad24dc4a4de8b6784dcf61c.svg"/>
            <a:graphic>
              <a:graphicData uri="http://schemas.openxmlformats.org/drawingml/2006/picture">
                <pic:pic>
                  <pic:nvPicPr>
                    <pic:cNvPr id="24" name="image-svg-f114a73edf061643aad24dc4a4de8b6784dcf61c.svg" descr=""/>
                    <pic:cNvPicPr/>
                  </pic:nvPicPr>
                  <pic:blipFill>
                    <a:blip r:embed="rId30" cstate="print">
                      <a:extLst>
                        <a:ext uri="">
                          <a14:useLocalDpi val="0"/>
                        </a:ext>
                        <a:ext uri="">
                          <asvg:svgBlip r:embed="rId29"/>
                        </a:ext>
                      </a:extLst>
                    </a:blip>
                    <a:srcRect b="0" l="0" r="0" t="0"/>
                    <a:stretch>
                      <a:fillRect/>
                    </a:stretch>
                  </pic:blipFill>
                  <pic:spPr>
                    <a:xfrm>
                      <a:off x="0" y="0"/>
                      <a:ext cx="1828800" cy="914400"/>
                    </a:xfrm>
                    <a:prstGeom prst="rect"/>
                  </pic:spPr>
                </pic:pic>
              </a:graphicData>
            </a:graphic>
          </wp:inline>
        </w:drawing>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ε</m:t>
                </m:r>
                <m:r>
                  <m:rPr>
                    <m:sty m:val="p"/>
                  </m:rPr>
                  <m:t>=</m:t>
                </m:r>
                <m:r>
                  <m:rPr>
                    <m:sty m:val="p"/>
                  </m:rPr>
                  <m:t>64</m:t>
                </m:r>
              </m:e>
            </m:mr>
            <m:mr>
              <m:e/>
              <m:e>
                <m:r>
                  <m:rPr>
                    <m:sty m:val="i"/>
                  </m:rPr>
                  <m:t>μ</m:t>
                </m:r>
                <m:r>
                  <m:rPr>
                    <m:sty m:val="p"/>
                  </m:rPr>
                  <m:t>=</m:t>
                </m:r>
                <m:r>
                  <m:rPr>
                    <m:sty m:val="p"/>
                  </m:rPr>
                  <m:t>4</m:t>
                </m:r>
                <m:r>
                  <m:rPr>
                    <m:sty m:val="p"/>
                  </m:rPr>
                  <m:t>,</m:t>
                </m:r>
                <m:r>
                  <m:rPr>
                    <m:sty m:val="p"/>
                  </m:rPr>
                  <m:t>9</m:t>
                </m:r>
                <m:r>
                  <m:rPr>
                    <m:sty m:val="i"/>
                  </m:rPr>
                  <m:t>D</m:t>
                </m:r>
              </m:e>
            </m:mr>
          </m:m>
        </m:oMath>
      </m:oMathPara>
    </w:p>
    <w:p>
      <w:pPr>
        <w:spacing w:lineRule="auto"/>
      </w:pPr>
      <w:r>
        <w:rPr/>
        <w:drawing>
          <wp:inline distB="0" distL="0" distR="0" distT="0">
            <wp:extent cx="1838325" cy="847725"/>
            <wp:effectExtent b="0" l="0" r="0" t="0"/>
            <wp:docPr id="26" name="image-svg-0b09522f9c5e003a9fe2fb9735b2564bade3ab41.svg"/>
            <a:graphic>
              <a:graphicData uri="http://schemas.openxmlformats.org/drawingml/2006/picture">
                <pic:pic>
                  <pic:nvPicPr>
                    <pic:cNvPr id="26" name="image-svg-0b09522f9c5e003a9fe2fb9735b2564bade3ab41.svg" descr=""/>
                    <pic:cNvPicPr/>
                  </pic:nvPicPr>
                  <pic:blipFill>
                    <a:blip r:embed="rId32" cstate="print">
                      <a:extLst>
                        <a:ext uri="">
                          <a14:useLocalDpi val="0"/>
                        </a:ext>
                        <a:ext uri="">
                          <asvg:svgBlip r:embed="rId31"/>
                        </a:ext>
                      </a:extLst>
                    </a:blip>
                    <a:srcRect b="0" l="0" r="0" t="0"/>
                    <a:stretch>
                      <a:fillRect/>
                    </a:stretch>
                  </pic:blipFill>
                  <pic:spPr>
                    <a:xfrm>
                      <a:off x="0" y="0"/>
                      <a:ext cx="1838325" cy="847725"/>
                    </a:xfrm>
                    <a:prstGeom prst="rect"/>
                  </pic:spPr>
                </pic:pic>
              </a:graphicData>
            </a:graphic>
          </wp:inline>
        </w:drawing>
      </w:r>
    </w:p>
    <w:p>
      <w:pPr>
        <w:spacing w:after="220" w:lineRule="auto"/>
      </w:pPr>
      <w:r>
        <w:rPr>
          <w:rFonts w:eastAsia="Georgia" w:cs="Georgia" w:ascii="Georgia" w:hAnsi="Georgia"/>
        </w:rPr>
        <w:t xml:space="preserve">Cependant ces solvants sont inflammables et responsables de différentes explosions dont celles des batteries au lithium qui sont le plus relayées par les médias. Les nouvelles technologies consistent à faire des électrolytes liquides notamment en utilisant des polymères liquides ioniques qui permettent de former des gels et ne nécessitant plus de solvant. Quelques exemples de polymères liquides ioniques permettant la formation de gel sont donnés cidessous.</w:t>
      </w:r>
      <w:r>
        <w:rPr/>
        <w:br w:type="textWrapping"/>
      </w:r>
    </w:p>
    <w:p>
      <w:pPr>
        <w:spacing w:lineRule="auto"/>
        <w:jc w:val="center"/>
      </w:pPr>
      <w:r>
        <w:rPr/>
        <w:drawing>
          <wp:inline distB="0" distL="0" distR="0" distT="0">
            <wp:extent cx="5486400" cy="2058640"/>
            <wp:effectExtent b="0" l="0" r="0" t="0"/>
            <wp:docPr id="28" name="image-98ba80b1dcc3da3c505612ca80a75d8d78c66f9b.jpg"/>
            <a:graphic>
              <a:graphicData uri="http://schemas.openxmlformats.org/drawingml/2006/picture">
                <pic:pic>
                  <pic:nvPicPr>
                    <pic:cNvPr id="28" name="image-98ba80b1dcc3da3c505612ca80a75d8d78c66f9b.jpg" descr=""/>
                    <pic:cNvPicPr/>
                  </pic:nvPicPr>
                  <pic:blipFill>
                    <a:blip r:embed="rId33" cstate="print"/>
                    <a:srcRect b="0" l="0" r="0" t="0"/>
                    <a:stretch>
                      <a:fillRect/>
                    </a:stretch>
                  </pic:blipFill>
                  <pic:spPr>
                    <a:xfrm>
                      <a:off x="0" y="0"/>
                      <a:ext cx="5486400" cy="2058640"/>
                    </a:xfrm>
                    <a:prstGeom prst="rect"/>
                  </pic:spPr>
                </pic:pic>
              </a:graphicData>
            </a:graphic>
          </wp:inline>
        </w:drawing>
      </w:r>
    </w:p>
    <w:p>
      <w:pPr>
        <w:spacing w:after="220" w:lineRule="auto"/>
      </w:pPr>
      <w:r>
        <w:rPr/>
        <w:br w:type="textWrapping"/>
      </w:r>
      <w:r>
        <w:rPr>
          <w:rFonts w:eastAsia="Georgia" w:cs="Georgia" w:ascii="Georgia" w:hAnsi="Georgia"/>
        </w:rPr>
        <w:t xml:space="preserve">L.C. Tomé et al. / Journal of Membrane Science 486 (2015) 40-48</w:t>
      </w:r>
    </w:p>
    <w:p>
      <w:pPr>
        <w:spacing w:line="271" w:before="330" w:lineRule="auto"/>
      </w:pPr>
      <w:r>
        <w:rPr>
          <w:b/>
          <w:sz w:val="42"/>
        </w:rPr>
        <w:t xml:space="preserve">Document 3 - CLEFS CEA </w:t>
      </w:r>
      <m:oMath>
        <m:sSup>
          <m:sSupPr>
            <m:ctrlPr>
              <w:rPr>
                <w:rFonts w:ascii="Cambria Math" w:hAnsi="Cambria Math"/>
                <w:sz w:val="42"/>
              </w:rPr>
            </m:ctrlPr>
          </m:sSupPr>
          <m:e>
            <m:r>
              <m:rPr>
                <m:sty m:val="b"/>
              </m:rPr>
              <w:rPr>
                <w:sz w:val="42"/>
              </w:rPr>
              <m:t>n</m:t>
            </m:r>
          </m:e>
          <m:sup>
            <m:r>
              <m:rPr>
                <m:sty m:val="p"/>
              </m:rPr>
              <w:rPr>
                <w:sz w:val="42"/>
              </w:rPr>
              <m:t>∘</m:t>
            </m:r>
          </m:sup>
        </m:sSup>
        <m:r>
          <m:rPr>
            <m:sty m:val="b"/>
          </m:rPr>
          <w:rPr>
            <w:sz w:val="42"/>
          </w:rPr>
          <m:t>5</m:t>
        </m:r>
        <m:r>
          <m:rPr>
            <m:sty m:val="b"/>
          </m:rPr>
          <w:rPr>
            <w:sz w:val="42"/>
          </w:rPr>
          <m:t>0</m:t>
        </m:r>
        <m:r>
          <m:rPr>
            <m:sty m:val="b"/>
          </m:rPr>
          <w:rPr>
            <w:sz w:val="42"/>
          </w:rPr>
          <m:t>/</m:t>
        </m:r>
        <m:r>
          <m:rPr>
            <m:sty m:val="b"/>
          </m:rPr>
          <w:rPr>
            <w:sz w:val="42"/>
          </w:rPr>
          <m:t>5</m:t>
        </m:r>
      </m:oMath>
      <w:r>
        <w:rPr>
          <w:b/>
          <w:sz w:val="42"/>
        </w:rPr>
        <w:t xml:space="preserve">.</w:t>
      </w:r>
    </w:p>
    <w:p>
      <w:pPr>
        <w:spacing w:after="220" w:lineRule="auto"/>
      </w:pPr>
      <w:r>
        <w:rPr>
          <w:rFonts w:eastAsia="Georgia" w:cs="Georgia" w:ascii="Georgia" w:hAnsi="Georgia"/>
        </w:rPr>
        <w:t xml:space="preserve">Les électrolytes liquides à base de carbonates (carbonate de propylène ou d'éthylène, diméthylcarbonate) constituent le conducteur ionique de la plupart des batteries au lithium cylindriques ou prismatiques (plates) actuellement commercialisées pour électronique portable. S'ils présentent une bonne conductivité, de l'ordre de </w:t>
      </w:r>
      <m:oMath>
        <m:r>
          <m:rPr>
            <m:sty m:val="p"/>
          </m:rPr>
          <m:t>1</m:t>
        </m:r>
        <m:r>
          <m:rPr>
            <m:sty m:val="p"/>
          </m:rPr>
          <m:t>mS</m:t>
        </m:r>
        <m:r>
          <m:rPr>
            <m:sty m:val="p"/>
          </m:rPr>
          <m:t>⋅</m:t>
        </m:r>
        <m:sSup>
          <m:sSupPr/>
          <m:e>
            <m:r>
              <m:rPr>
                <m:sty m:val="p"/>
              </m:rPr>
              <m:t>cm</m:t>
            </m:r>
          </m:e>
          <m:sup>
            <m:r>
              <m:rPr>
                <m:sty m:val="p"/>
              </m:rPr>
              <m:t>−</m:t>
            </m:r>
            <m:r>
              <m:rPr>
                <m:sty m:val="p"/>
              </m:rPr>
              <m:t>1</m:t>
            </m:r>
          </m:sup>
        </m:sSup>
      </m:oMath>
      <w:r>
        <w:rPr>
          <w:rFonts w:eastAsia="Georgia" w:cs="Georgia" w:ascii="Georgia" w:hAnsi="Georgia"/>
        </w:rPr>
        <w:t xml:space="preserve"> à la température ambiante, et permettent un fonctionnement entre -20 et </w:t>
      </w:r>
      <m:oMath>
        <m:sSup>
          <m:sSupPr/>
          <m:e>
            <m:r>
              <m:rPr>
                <m:sty m:val="p"/>
              </m:rPr>
              <m:t>60</m:t>
            </m:r>
          </m:e>
          <m:sup>
            <m:r>
              <m:rPr>
                <m:sty m:val="p"/>
              </m:rPr>
              <m:t>∘</m:t>
            </m:r>
          </m:sup>
        </m:sSup>
        <m:r>
          <m:rPr>
            <m:sty m:val="p"/>
          </m:rPr>
          <m:t>C</m:t>
        </m:r>
      </m:oMath>
      <w:r>
        <w:rPr>
          <w:rFonts w:eastAsia="Georgia" w:cs="Georgia" w:ascii="Georgia" w:hAnsi="Georgia"/>
        </w:rPr>
        <w:t xml:space="preserve">, ils n'offrent cependant pas des conditions de sécurité et des performances optimales. De leur côté, les polymères secs comme le polyoxyéthylène, principalement étudiés pour des applications de transport (véhicule électrique), bien que plus sûrs de par l'absence de liquide, ont des niveaux de conductivité beaucoup trop faibles pour une utilisation à température ambiante. Depuis quelques années, des travaux ont visé à développer des films polymères-gels en vue d'obtenir une sécurité accrue, des densités d'énergie volumique plus importantes et une plus grande flexibilité sur la forme avec un coût de fabrication réduit. Ces avantages sont liés au fait que le polymère-gel assure la cohésion entre des films des électrodes positives et négatives et permet ainsi de remplacer l'emballage métallique rigide conventionnel par un emballage souple et étanche. Ces membranes électrolytiques sont constituées d'une matrice polymère qui confère la stabilité mécanique et dans laquelle l'électrolyte liquide est emprisonné. Le pourcentage massique de liquide varie entre </w:t>
      </w:r>
      <m:oMath>
        <m:r>
          <m:rPr>
            <m:sty m:val="p"/>
          </m:rPr>
          <m:t>50</m:t>
        </m:r>
        <m:r>
          <m:rPr>
            <m:sty m:val="p"/>
          </m:rPr>
          <m:t>%</m:t>
        </m:r>
      </m:oMath>
      <w:r>
        <w:rPr/>
        <w:t xml:space="preserve"> et </w:t>
      </w:r>
      <m:oMath>
        <m:r>
          <m:rPr>
            <m:sty m:val="p"/>
          </m:rPr>
          <m:t>70</m:t>
        </m:r>
        <m:r>
          <m:rPr>
            <m:sty m:val="p"/>
          </m:rPr>
          <m:t>%</m:t>
        </m:r>
      </m:oMath>
      <w:r>
        <w:rPr>
          <w:rFonts w:eastAsia="Georgia" w:cs="Georgia" w:ascii="Georgia" w:hAnsi="Georgia"/>
        </w:rPr>
        <w:t xml:space="preserve"> de façon à obtenir une conductivité ionique proche de celle du liquide tout en maintenant une bonne stabilité mécanique.</w:t>
      </w:r>
    </w:p>
    <w:p>
      <w:pPr>
        <w:spacing w:line="271" w:before="330" w:lineRule="auto"/>
      </w:pPr>
      <w:r>
        <w:rPr>
          <w:rFonts w:eastAsia="Georgia" w:cs="Georgia" w:ascii="Georgia" w:hAnsi="Georgia"/>
          <w:b/>
          <w:sz w:val="42"/>
        </w:rPr>
        <w:t xml:space="preserve">Document 4 Radiolyse continue, radiolyse pulsée.</w:t>
      </w:r>
    </w:p>
    <w:p>
      <w:pPr>
        <w:spacing w:after="220" w:lineRule="auto"/>
      </w:pPr>
      <w:r>
        <w:rPr>
          <w:rFonts w:eastAsia="Georgia" w:cs="Georgia" w:ascii="Georgia" w:hAnsi="Georgia"/>
        </w:rPr>
        <w:t xml:space="preserve">La radiolyse continue est généralement effectuée à l'aide d'un irradiateur contenant des sources de </w:t>
      </w:r>
      <m:oMath>
        <m:sSup>
          <m:sSupPr/>
          <m:e>
            <m:r>
              <m:t xml:space="preserve"> </m:t>
            </m:r>
          </m:e>
          <m:sup>
            <m:r>
              <m:rPr>
                <m:sty m:val="p"/>
              </m:rPr>
              <m:t>60</m:t>
            </m:r>
          </m:sup>
        </m:sSup>
        <m:r>
          <m:rPr>
            <m:sty m:val="p"/>
          </m:rPr>
          <m:t>Co</m:t>
        </m:r>
      </m:oMath>
      <w:r>
        <w:rPr/>
        <w:t xml:space="preserve"> ou de </w:t>
      </w:r>
      <m:oMath>
        <m:sSup>
          <m:sSupPr/>
          <m:e>
            <m:r>
              <m:t xml:space="preserve"> </m:t>
            </m:r>
          </m:e>
          <m:sup>
            <m:r>
              <m:rPr>
                <m:sty m:val="p"/>
              </m:rPr>
              <m:t>137</m:t>
            </m:r>
          </m:sup>
        </m:sSup>
        <m:r>
          <m:rPr>
            <m:sty m:val="p"/>
          </m:rPr>
          <m:t>Cs</m:t>
        </m:r>
      </m:oMath>
      <w:r>
        <w:rPr>
          <w:rFonts w:eastAsia="Georgia" w:cs="Georgia" w:ascii="Georgia" w:hAnsi="Georgia"/>
        </w:rPr>
        <w:t xml:space="preserve"> délivrant un rayonnement </w:t>
      </w:r>
      <m:oMath>
        <m:r>
          <m:rPr>
            <m:sty m:val="i"/>
          </m:rPr>
          <m:t>γ</m:t>
        </m:r>
      </m:oMath>
      <w:r>
        <w:rPr>
          <w:rFonts w:eastAsia="Georgia" w:cs="Georgia" w:ascii="Georgia" w:hAnsi="Georgia"/>
        </w:rPr>
        <w:t xml:space="preserve"> d'une énergie voisine de 1 MeV . L'action du rayonnement ionisant est donc continue et proportionnelle au temps d'irradiation. Les radicaux libres issus du solvant S sont alors susceptibles de réagir avec un soluté A et de donner naissance à un radical noté </w:t>
      </w:r>
      <m:oMath>
        <m:sSup>
          <m:sSupPr/>
          <m:e>
            <m:r>
              <m:rPr>
                <m:sty m:val="p"/>
              </m:rPr>
              <m:t>A</m:t>
            </m:r>
          </m:e>
          <m:sup>
            <m:r>
              <m:rPr>
                <m:sty m:val="p"/>
              </m:rPr>
              <m:t>∙</m:t>
            </m:r>
          </m:sup>
        </m:sSup>
      </m:oMath>
      <w:r>
        <w:rPr>
          <w:rFonts w:eastAsia="Georgia" w:cs="Georgia" w:ascii="Georgia" w:hAnsi="Georgia"/>
        </w:rPr>
        <w:t xml:space="preserve">. Les espèces radicalaires sont en concentration trop faible pour pouvoir être directement observées. L'évolution des réactions est donc suivie par observation de la disparition de A et de la formation d'un produit final P . La radiolyse pulsée est effectuée grâce à un accélérateur de particules (par exemple des électrons d'une énergie comprise entre 600 keV et quelques MeV ). Les espèces radicalaires sont alors produites en concentration suffisante (jusqu'à </w:t>
      </w:r>
      <m:oMath>
        <m:sSup>
          <m:sSupPr/>
          <m:e>
            <m:r>
              <m:rPr>
                <m:sty m:val="p"/>
              </m:rPr>
              <m:t>10</m:t>
            </m:r>
          </m:e>
          <m:sup>
            <m:r>
              <m:rPr>
                <m:sty m:val="p"/>
              </m:rPr>
              <m:t>−</m:t>
            </m:r>
            <m:r>
              <m:rPr>
                <m:sty m:val="p"/>
              </m:rPr>
              <m:t>4</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 pour pouvoir être directement observées - par spectrophotométrie d'absorption par exemple - et permettre de mesurer directement les constantes de vitesse des réactions impliquées. L'utilisation de ces deux méthodes peut être résumée de la manière suivante :</w:t>
      </w:r>
      <w:r>
        <w:rPr/>
        <w:br w:type="textWrapping"/>
      </w:r>
    </w:p>
    <w:p>
      <w:pPr>
        <w:spacing w:lineRule="auto"/>
        <w:jc w:val="center"/>
      </w:pPr>
      <w:r>
        <w:rPr/>
        <w:drawing>
          <wp:inline distB="0" distL="0" distR="0" distT="0">
            <wp:extent cx="5486400" cy="1924235"/>
            <wp:effectExtent b="0" l="0" r="0" t="0"/>
            <wp:docPr id="29" name="image-8d4b19bf75179a0b6096b79e3ef3e876696bf179.jpg"/>
            <a:graphic>
              <a:graphicData uri="http://schemas.openxmlformats.org/drawingml/2006/picture">
                <pic:pic>
                  <pic:nvPicPr>
                    <pic:cNvPr id="29" name="image-8d4b19bf75179a0b6096b79e3ef3e876696bf179.jpg" descr=""/>
                    <pic:cNvPicPr/>
                  </pic:nvPicPr>
                  <pic:blipFill>
                    <a:blip r:embed="rId34" cstate="print"/>
                    <a:srcRect b="0" l="0" r="0" t="0"/>
                    <a:stretch>
                      <a:fillRect/>
                    </a:stretch>
                  </pic:blipFill>
                  <pic:spPr>
                    <a:xfrm>
                      <a:off x="0" y="0"/>
                      <a:ext cx="5486400" cy="1924235"/>
                    </a:xfrm>
                    <a:prstGeom prst="rect"/>
                  </pic:spPr>
                </pic:pic>
              </a:graphicData>
            </a:graphic>
          </wp:inline>
        </w:drawing>
      </w:r>
    </w:p>
    <w:p>
      <w:pPr>
        <w:spacing w:after="220" w:lineRule="auto"/>
      </w:pPr>
      <w:r>
        <w:rPr>
          <w:rFonts w:eastAsia="Georgia" w:cs="Georgia" w:ascii="Georgia" w:hAnsi="Georgia"/>
        </w:rPr>
        <w:t xml:space="preserve">Dans le cadre de l'étude, la radiolyse se fait en solution aqueuse. L'espèce issue de l'eau est alors </w:t>
      </w:r>
      <m:oMath>
        <m:sSup>
          <m:sSupPr/>
          <m:e>
            <m:r>
              <m:rPr>
                <m:sty m:val="p"/>
              </m:rPr>
              <m:t>HO</m:t>
            </m:r>
          </m:e>
          <m:sup>
            <m:r>
              <m:rPr>
                <m:sty m:val="p"/>
              </m:rPr>
              <m:t>∙</m:t>
            </m:r>
          </m:sup>
        </m:sSup>
      </m:oMath>
      <w:r>
        <w:rPr>
          <w:rFonts w:eastAsia="Georgia" w:cs="Georgia" w:ascii="Georgia" w:hAnsi="Georgia"/>
        </w:rPr>
        <w:t xml:space="preserve">. Ce composé est converti en un second oxydant </w:t>
      </w:r>
      <m:oMath>
        <m:sSubSup>
          <m:sSubSupPr/>
          <m:e>
            <m:r>
              <m:rPr>
                <m:sty m:val="p"/>
              </m:rPr>
              <m:t>Br</m:t>
            </m:r>
          </m:e>
          <m:sub>
            <m:r>
              <m:rPr>
                <m:sty m:val="p"/>
              </m:rPr>
              <m:t>2</m:t>
            </m:r>
          </m:sub>
          <m:sup>
            <m:r>
              <m:rPr>
                <m:sty m:val="p"/>
              </m:rPr>
              <m:t>−</m:t>
            </m:r>
            <m:r>
              <m:rPr>
                <m:sty m:val="p"/>
              </m:rPr>
              <m:t>∙</m:t>
            </m:r>
          </m:sup>
        </m:sSubSup>
      </m:oMath>
      <w:r>
        <w:rPr>
          <w:rFonts w:eastAsia="Georgia" w:cs="Georgia" w:ascii="Georgia" w:hAnsi="Georgia"/>
        </w:rPr>
        <w:t xml:space="preserve"> noté </w:t>
      </w:r>
      <m:oMath>
        <m:sSup>
          <m:sSupPr/>
          <m:e>
            <m:r>
              <m:rPr>
                <m:sty m:val="p"/>
              </m:rPr>
              <m:t>S</m:t>
            </m:r>
          </m:e>
          <m:sup>
            <m:r>
              <m:rPr>
                <m:sty m:val="p"/>
              </m:rPr>
              <m:t>∙</m:t>
            </m:r>
          </m:sup>
        </m:sSup>
      </m:oMath>
      <w:r>
        <w:rPr/>
        <w:t xml:space="preserve"> sur la figure ci-dessus ( </w:t>
      </w:r>
      <m:oMath>
        <m:sSup>
          <m:sSupPr/>
          <m:e>
            <m:r>
              <m:rPr>
                <m:sty m:val="i"/>
              </m:rPr>
              <m:t>E</m:t>
            </m:r>
          </m:e>
          <m:sup>
            <m:r>
              <m:rPr>
                <m:sty m:val="p"/>
              </m:rPr>
              <m:t>∘</m:t>
            </m:r>
          </m:sup>
        </m:sSup>
        <m:r>
          <m:rPr>
            <m:sty m:val="p"/>
          </m:rPr>
          <m:t>=</m:t>
        </m:r>
        <m:r>
          <m:rPr>
            <m:sty m:val="p"/>
          </m:rPr>
          <m:t>1</m:t>
        </m:r>
        <m:r>
          <m:rPr>
            <m:sty m:val="p"/>
          </m:rPr>
          <m:t>,</m:t>
        </m:r>
        <m:r>
          <m:rPr>
            <m:sty m:val="p"/>
          </m:rPr>
          <m:t>63</m:t>
        </m:r>
        <m:r>
          <m:rPr>
            <m:nor/>
          </m:rPr>
          <m:t xml:space="preserve"> </m:t>
        </m:r>
        <m:r>
          <m:rPr>
            <m:sty m:val="p"/>
          </m:rPr>
          <m:t>V</m:t>
        </m:r>
        <m:r>
          <m:rPr>
            <m:sty m:val="p"/>
          </m:rPr>
          <m:t>/</m:t>
        </m:r>
        <m:r>
          <m:rPr>
            <m:sty m:val="p"/>
          </m:rPr>
          <m:t>ENH</m:t>
        </m:r>
      </m:oMath>
      <w:r>
        <w:rPr>
          <w:rFonts w:eastAsia="Georgia" w:cs="Georgia" w:ascii="Georgia" w:hAnsi="Georgia"/>
        </w:rPr>
        <w:t xml:space="preserve"> ) issu de la réaction avec </w:t>
      </w:r>
      <m:oMath>
        <m:sSup>
          <m:sSupPr/>
          <m:e>
            <m:r>
              <m:rPr>
                <m:sty m:val="p"/>
              </m:rPr>
              <m:t>Br</m:t>
            </m:r>
          </m:e>
          <m:sup>
            <m:r>
              <m:rPr>
                <m:sty m:val="p"/>
              </m:rPr>
              <m:t>−</m:t>
            </m:r>
          </m:sup>
        </m:sSup>
      </m:oMath>
      <w:r>
        <w:rPr/>
        <w:t xml:space="preserve">. L'anion </w:t>
      </w:r>
      <m:oMath>
        <m:sSubSup>
          <m:sSubSupPr/>
          <m:e>
            <m:r>
              <m:rPr>
                <m:sty m:val="p"/>
              </m:rPr>
              <m:t>Br</m:t>
            </m:r>
          </m:e>
          <m:sub>
            <m:r>
              <m:rPr>
                <m:sty m:val="p"/>
              </m:rPr>
              <m:t>2</m:t>
            </m:r>
          </m:sub>
          <m:sup>
            <m:r>
              <m:rPr>
                <m:sty m:val="p"/>
              </m:rPr>
              <m:t>−</m:t>
            </m:r>
            <m:r>
              <m:rPr>
                <m:sty m:val="p"/>
              </m:rPr>
              <m:t>∙</m:t>
            </m:r>
          </m:sup>
        </m:sSubSup>
      </m:oMath>
      <w:r>
        <w:rPr>
          <w:rFonts w:eastAsia="Georgia" w:cs="Georgia" w:ascii="Georgia" w:hAnsi="Georgia"/>
        </w:rPr>
        <w:t xml:space="preserve"> est un oxydant plus doux qui permet d'induire une oxydation à un électron du complexe de ruthénium ( </w:t>
      </w:r>
      <m:oMath>
        <m:sSup>
          <m:sSupPr/>
          <m:e>
            <m:r>
              <m:rPr>
                <m:sty m:val="i"/>
              </m:rPr>
              <m:t>E</m:t>
            </m:r>
          </m:e>
          <m:sup>
            <m:r>
              <m:rPr>
                <m:sty m:val="p"/>
              </m:rPr>
              <m:t>∘</m:t>
            </m:r>
          </m:sup>
        </m:sSup>
        <m:r>
          <m:rPr>
            <m:sty m:val="p"/>
          </m:rPr>
          <m:t>=</m:t>
        </m:r>
        <m:r>
          <m:rPr>
            <m:sty m:val="p"/>
          </m:rPr>
          <m:t>1</m:t>
        </m:r>
        <m:r>
          <m:rPr>
            <m:sty m:val="p"/>
          </m:rPr>
          <m:t>,</m:t>
        </m:r>
        <m:r>
          <m:rPr>
            <m:sty m:val="p"/>
          </m:rPr>
          <m:t>1</m:t>
        </m:r>
        <m:r>
          <m:rPr>
            <m:nor/>
          </m:rPr>
          <m:t xml:space="preserve"> </m:t>
        </m:r>
        <m:r>
          <m:rPr>
            <m:sty m:val="p"/>
          </m:rPr>
          <m:t>V</m:t>
        </m:r>
        <m:r>
          <m:rPr>
            <m:sty m:val="p"/>
          </m:rPr>
          <m:t>/</m:t>
        </m:r>
        <m:r>
          <m:rPr>
            <m:sty m:val="p"/>
          </m:rPr>
          <m:t>ENH</m:t>
        </m:r>
      </m:oMath>
      <w:r>
        <w:rPr>
          <w:rFonts w:eastAsia="Georgia" w:cs="Georgia" w:ascii="Georgia" w:hAnsi="Georgia"/>
        </w:rPr>
        <w:t xml:space="preserve"> ) selon l'équation : </w:t>
      </w:r>
      <m:oMath>
        <m:sSubSup>
          <m:sSubSupPr/>
          <m:e>
            <m:r>
              <m:rPr>
                <m:sty m:val="p"/>
              </m:rPr>
              <m:t>Br</m:t>
            </m:r>
          </m:e>
          <m:sub>
            <m:r>
              <m:rPr>
                <m:sty m:val="p"/>
              </m:rPr>
              <m:t>2</m:t>
            </m:r>
          </m:sub>
          <m:sup>
            <m:r>
              <m:rPr>
                <m:sty m:val="p"/>
              </m:rPr>
              <m:t>−</m:t>
            </m:r>
            <m:r>
              <m:rPr>
                <m:sty m:val="p"/>
              </m:rPr>
              <m:t>∙</m:t>
            </m:r>
          </m:sup>
        </m:sSubSup>
        <m:r>
          <m:rPr>
            <m:sty m:val="p"/>
          </m:rPr>
          <m:t>+</m:t>
        </m:r>
        <m:d>
          <m:dPr>
            <m:begChr m:val="["/>
            <m:endChr m:val="]"/>
            <m:ctrlPr>
              <w:rPr>
                <w:rFonts w:ascii="Cambria Math" w:hAnsi="Cambria Math"/>
              </w:rPr>
            </m:ctrlPr>
          </m:dPr>
          <m:e>
            <m:sSup>
              <m:sSupPr/>
              <m:e>
                <m:r>
                  <m:rPr>
                    <m:sty m:val="p"/>
                  </m:rPr>
                  <m:t>Ru</m:t>
                </m:r>
              </m:e>
              <m:sup>
                <m:r>
                  <m:rPr>
                    <m:sty m:val="p"/>
                  </m:rPr>
                  <m:t>II</m:t>
                </m:r>
              </m:sup>
            </m:sSup>
          </m:e>
        </m:d>
        <m:r>
          <m:rPr>
            <m:sty m:val="p"/>
          </m:rPr>
          <m:t>→</m:t>
        </m:r>
        <m:r>
          <m:rPr>
            <m:sty m:val="p"/>
          </m:rPr>
          <m:t>2</m:t>
        </m:r>
        <m:sSup>
          <m:sSupPr/>
          <m:e>
            <m:r>
              <m:rPr>
                <m:sty m:val="p"/>
              </m:rPr>
              <m:t>Br</m:t>
            </m:r>
          </m:e>
          <m:sup>
            <m:r>
              <m:rPr>
                <m:sty m:val="p"/>
              </m:rPr>
              <m:t>−</m:t>
            </m:r>
          </m:sup>
        </m:sSup>
        <m:r>
          <m:rPr>
            <m:sty m:val="p"/>
          </m:rPr>
          <m:t>+</m:t>
        </m:r>
        <m:d>
          <m:dPr>
            <m:begChr m:val="["/>
            <m:endChr m:val="]"/>
            <m:ctrlPr>
              <w:rPr>
                <w:rFonts w:ascii="Cambria Math" w:hAnsi="Cambria Math"/>
              </w:rPr>
            </m:ctrlPr>
          </m:dPr>
          <m:e>
            <m:sSup>
              <m:sSupPr/>
              <m:e>
                <m:r>
                  <m:rPr>
                    <m:sty m:val="p"/>
                  </m:rPr>
                  <m:t>Ru</m:t>
                </m:r>
              </m:e>
              <m:sup>
                <m:r>
                  <m:rPr>
                    <m:sty m:val="p"/>
                  </m:rPr>
                  <m:t>III</m:t>
                </m:r>
              </m:sup>
            </m:sSup>
          </m:e>
        </m:d>
      </m:oMath>
      <w:r>
        <w:rPr/>
        <w:br w:type="textWrapping"/>
      </w:r>
      <w:r>
        <w:rPr>
          <w:rFonts w:eastAsia="Georgia" w:cs="Georgia" w:ascii="Georgia" w:hAnsi="Georgia"/>
        </w:rPr>
        <w:t xml:space="preserve">La concentration radicalaire générée en </w:t>
      </w:r>
      <m:oMath>
        <m:sSubSup>
          <m:sSubSupPr/>
          <m:e>
            <m:r>
              <m:rPr>
                <m:sty m:val="p"/>
              </m:rPr>
              <m:t>Br</m:t>
            </m:r>
          </m:e>
          <m:sub>
            <m:r>
              <m:rPr>
                <m:sty m:val="p"/>
              </m:rPr>
              <m:t>2</m:t>
            </m:r>
          </m:sub>
          <m:sup>
            <m:r>
              <m:rPr>
                <m:sty m:val="p"/>
              </m:rPr>
              <m:t>−</m:t>
            </m:r>
            <m:r>
              <m:rPr>
                <m:sty m:val="p"/>
              </m:rPr>
              <m:t>∙</m:t>
            </m:r>
          </m:sup>
        </m:sSubSup>
      </m:oMath>
      <w:r>
        <w:rPr>
          <w:rFonts w:eastAsia="Georgia" w:cs="Georgia" w:ascii="Georgia" w:hAnsi="Georgia"/>
        </w:rPr>
        <w:t xml:space="preserve"> par impulsion s'élève à </w:t>
      </w:r>
      <m:oMath>
        <m:r>
          <m:rPr>
            <m:sty m:val="p"/>
          </m:rPr>
          <m:t>2</m:t>
        </m:r>
        <m:r>
          <m:rPr>
            <m:sty m:val="p"/>
          </m:rPr>
          <m:t>×</m:t>
        </m:r>
        <m:sSup>
          <m:sSupPr/>
          <m:e>
            <m:r>
              <m:rPr>
                <m:sty m:val="p"/>
              </m:rPr>
              <m:t>10</m:t>
            </m:r>
          </m:e>
          <m:sup>
            <m:r>
              <m:rPr>
                <m:sty m:val="p"/>
              </m:rPr>
              <m:t>−</m:t>
            </m:r>
            <m:r>
              <m:rPr>
                <m:sty m:val="p"/>
              </m:rPr>
              <m:t>6</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pour tous les systèmes étudiés.</w:t>
      </w:r>
    </w:p>
    <w:p>
      <w:pPr>
        <w:spacing w:line="271" w:before="330" w:lineRule="auto"/>
      </w:pPr>
      <w:r>
        <w:rPr>
          <w:b/>
          <w:sz w:val="42"/>
        </w:rPr>
        <w:t xml:space="preserve">Document 4 -suite-</w:t>
      </w:r>
    </w:p>
    <w:p>
      <w:pPr>
        <w:spacing w:after="220" w:lineRule="auto"/>
      </w:pPr>
      <w:r>
        <w:rPr>
          <w:rFonts w:eastAsia="Georgia" w:cs="Georgia" w:ascii="Georgia" w:hAnsi="Georgia"/>
        </w:rPr>
        <w:t xml:space="preserve">Un profil temporel d'absorption enregistré en fonction de la concentration en </w:t>
      </w:r>
      <m:oMath>
        <m:sSubSup>
          <m:sSubSupPr/>
          <m:e>
            <m:r>
              <m:rPr>
                <m:sty m:val="p"/>
              </m:rPr>
              <m:t>Br</m:t>
            </m:r>
          </m:e>
          <m:sub>
            <m:r>
              <m:rPr>
                <m:sty m:val="p"/>
              </m:rPr>
              <m:t>2</m:t>
            </m:r>
          </m:sub>
          <m:sup>
            <m:r>
              <m:rPr>
                <m:sty m:val="p"/>
              </m:rPr>
              <m:t>−</m:t>
            </m:r>
            <m:r>
              <m:rPr>
                <m:sty m:val="p"/>
              </m:rPr>
              <m:t>∙</m:t>
            </m:r>
          </m:sup>
        </m:sSubSup>
      </m:oMath>
      <w:r>
        <w:rPr>
          <w:rFonts w:eastAsia="Georgia" w:cs="Georgia" w:ascii="Georgia" w:hAnsi="Georgia"/>
        </w:rPr>
        <w:t xml:space="preserve"> est représenté sur la figure ci-dessous. La décroissance de </w:t>
      </w:r>
      <m:oMath>
        <m:sSubSup>
          <m:sSubSupPr/>
          <m:e>
            <m:r>
              <m:rPr>
                <m:sty m:val="p"/>
              </m:rPr>
              <m:t>Br</m:t>
            </m:r>
          </m:e>
          <m:sub>
            <m:r>
              <m:rPr>
                <m:sty m:val="p"/>
              </m:rPr>
              <m:t>2</m:t>
            </m:r>
          </m:sub>
          <m:sup>
            <m:r>
              <m:rPr>
                <m:sty m:val="p"/>
              </m:rPr>
              <m:t>−</m:t>
            </m:r>
          </m:sup>
        </m:sSubSup>
      </m:oMath>
      <w:r>
        <w:rPr>
          <w:rFonts w:eastAsia="Georgia" w:cs="Georgia" w:ascii="Georgia" w:hAnsi="Georgia"/>
        </w:rPr>
        <w:t xml:space="preserve">(mesurée à partir de son absorption à 340 nm ) est reliée à la croissance de l'absorption transitoire à 740 nm , confirmant ainsi la formation d'espèces oxydées au cours de la réaction radiolytique. La constante de vitesse bimoléculaire déterminée à partir de cette concentration est de </w:t>
      </w:r>
      <m:oMath>
        <m:r>
          <m:rPr>
            <m:sty m:val="p"/>
          </m:rPr>
          <m:t>5</m:t>
        </m:r>
        <m:r>
          <m:rPr>
            <m:sty m:val="p"/>
          </m:rPr>
          <m:t>,</m:t>
        </m:r>
        <m:r>
          <m:rPr>
            <m:sty m:val="p"/>
          </m:rPr>
          <m:t>4</m:t>
        </m:r>
        <m:r>
          <m:rPr>
            <m:sty m:val="p"/>
          </m:rPr>
          <m:t>×</m:t>
        </m:r>
        <m:sSup>
          <m:sSupPr/>
          <m:e>
            <m:r>
              <m:rPr>
                <m:sty m:val="p"/>
              </m:rPr>
              <m:t>10</m:t>
            </m:r>
          </m:e>
          <m:sup>
            <m:r>
              <m:rPr>
                <m:sty m:val="p"/>
              </m:rPr>
              <m:t>9</m:t>
            </m:r>
          </m:sup>
        </m:sSup>
        <m:sSup>
          <m:sSupPr/>
          <m:e>
            <m:r>
              <m:rPr>
                <m:nor/>
              </m:rPr>
              <m:t xml:space="preserve"> </m:t>
            </m:r>
            <m:r>
              <m:rPr>
                <m:sty m:val="p"/>
              </m:rPr>
              <m:t>mol</m:t>
            </m:r>
          </m:e>
          <m:sup>
            <m:r>
              <m:rPr>
                <m:sty m:val="p"/>
              </m:rPr>
              <m:t>−</m:t>
            </m:r>
            <m:r>
              <m:rPr>
                <m:sty m:val="p"/>
              </m:rPr>
              <m:t>1</m:t>
            </m:r>
          </m:sup>
        </m:sSup>
        <m:r>
          <m:rPr>
            <m:sty m:val="p"/>
          </m:rPr>
          <m:t>⋅</m:t>
        </m:r>
        <m:r>
          <m:rPr>
            <m:nor/>
          </m:rPr>
          <m:t xml:space="preserve"> </m:t>
        </m:r>
        <m:r>
          <m:rPr>
            <m:sty m:val="p"/>
          </m:rPr>
          <m:t>L</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pour la réaction du complexe </w:t>
      </w:r>
      <m:oMath>
        <m:d>
          <m:dPr>
            <m:begChr m:val="["/>
            <m:endChr m:val="]"/>
            <m:ctrlPr>
              <w:rPr>
                <w:rFonts w:ascii="Cambria Math" w:hAnsi="Cambria Math"/>
              </w:rPr>
            </m:ctrlPr>
          </m:dPr>
          <m:e>
            <m:sSup>
              <m:sSupPr/>
              <m:e>
                <m:r>
                  <m:rPr>
                    <m:sty m:val="p"/>
                  </m:rPr>
                  <m:t>Ru</m:t>
                </m:r>
              </m:e>
              <m:sup>
                <m:r>
                  <m:rPr>
                    <m:sty m:val="p"/>
                  </m:rPr>
                  <m:t>II</m:t>
                </m:r>
              </m:sup>
            </m:sSup>
          </m:e>
        </m:d>
      </m:oMath>
      <w:r>
        <w:rPr/>
        <w:t xml:space="preserve"> avec </w:t>
      </w:r>
      <m:oMath>
        <m:sSubSup>
          <m:sSubSupPr/>
          <m:e>
            <m:r>
              <m:rPr>
                <m:sty m:val="p"/>
              </m:rPr>
              <m:t>Br</m:t>
            </m:r>
          </m:e>
          <m:sub>
            <m:r>
              <m:rPr>
                <m:sty m:val="p"/>
              </m:rPr>
              <m:t>2</m:t>
            </m:r>
          </m:sub>
          <m:sup>
            <m:r>
              <m:rPr>
                <m:sty m:val="p"/>
              </m:rPr>
              <m:t>−</m:t>
            </m:r>
            <m:r>
              <m:rPr>
                <m:sty m:val="p"/>
              </m:rPr>
              <m:t>∙</m:t>
            </m:r>
          </m:sup>
        </m:sSubSup>
      </m:oMath>
      <w:r>
        <w:rPr/>
        <w:t xml:space="preserve">.</w:t>
      </w:r>
      <w:r>
        <w:rPr/>
        <w:br w:type="textWrapping"/>
      </w:r>
    </w:p>
    <w:p>
      <w:pPr>
        <w:spacing w:lineRule="auto"/>
        <w:jc w:val="center"/>
      </w:pPr>
      <w:r>
        <w:rPr/>
        <w:drawing>
          <wp:inline distB="0" distL="0" distR="0" distT="0">
            <wp:extent cx="5486400" cy="4239237"/>
            <wp:effectExtent b="0" l="0" r="0" t="0"/>
            <wp:docPr id="30" name="image-592d0368669a085ffb16a0d5ce7d7f24c69cf383.jpg"/>
            <a:graphic>
              <a:graphicData uri="http://schemas.openxmlformats.org/drawingml/2006/picture">
                <pic:pic>
                  <pic:nvPicPr>
                    <pic:cNvPr id="30" name="image-592d0368669a085ffb16a0d5ce7d7f24c69cf383.jpg" descr=""/>
                    <pic:cNvPicPr/>
                  </pic:nvPicPr>
                  <pic:blipFill>
                    <a:blip r:embed="rId35" cstate="print"/>
                    <a:srcRect b="0" l="0" r="0" t="0"/>
                    <a:stretch>
                      <a:fillRect/>
                    </a:stretch>
                  </pic:blipFill>
                  <pic:spPr>
                    <a:xfrm>
                      <a:off x="0" y="0"/>
                      <a:ext cx="5486400" cy="4239237"/>
                    </a:xfrm>
                    <a:prstGeom prst="rect"/>
                  </pic:spPr>
                </pic:pic>
              </a:graphicData>
            </a:graphic>
          </wp:inline>
        </w:drawing>
      </w:r>
    </w:p>
    <w:p>
      <w:pPr>
        <w:spacing w:after="220" w:lineRule="auto"/>
      </w:pPr>
      <w:r>
        <w:rPr>
          <w:rFonts w:eastAsia="Georgia" w:cs="Georgia" w:ascii="Georgia" w:hAnsi="Georgia"/>
        </w:rPr>
        <w:t xml:space="preserve">Absorption transitoire : Spectres enregistrés suite à la réaction entre le complexe </w:t>
      </w:r>
      <m:oMath>
        <m:d>
          <m:dPr>
            <m:begChr m:val="["/>
            <m:endChr m:val="]"/>
            <m:ctrlPr>
              <w:rPr>
                <w:rFonts w:ascii="Cambria Math" w:hAnsi="Cambria Math"/>
              </w:rPr>
            </m:ctrlPr>
          </m:dPr>
          <m:e>
            <m:sSup>
              <m:sSupPr/>
              <m:e>
                <m:r>
                  <m:rPr>
                    <m:sty m:val="p"/>
                  </m:rPr>
                  <m:t>Ru</m:t>
                </m:r>
              </m:e>
              <m:sup>
                <m:r>
                  <m:rPr>
                    <m:sty m:val="p"/>
                  </m:rPr>
                  <m:t>II</m:t>
                </m:r>
              </m:sup>
            </m:sSup>
          </m:e>
        </m:d>
      </m:oMath>
      <w:r>
        <w:rPr/>
        <w:t xml:space="preserve"> et </w:t>
      </w:r>
      <m:oMath>
        <m:sSubSup>
          <m:sSubSupPr/>
          <m:e>
            <m:r>
              <m:rPr>
                <m:sty m:val="p"/>
              </m:rPr>
              <m:t>Br</m:t>
            </m:r>
          </m:e>
          <m:sub>
            <m:r>
              <m:rPr>
                <m:sty m:val="p"/>
              </m:rPr>
              <m:t>2</m:t>
            </m:r>
          </m:sub>
          <m:sup>
            <m:r>
              <m:rPr>
                <m:sty m:val="p"/>
              </m:rPr>
              <m:t>−</m:t>
            </m:r>
            <m:r>
              <m:rPr>
                <m:sty m:val="p"/>
              </m:rPr>
              <m:t>∙</m:t>
            </m:r>
          </m:sup>
        </m:sSubSup>
      </m:oMath>
      <w:r>
        <w:rPr>
          <w:rFonts w:eastAsia="Georgia" w:cs="Georgia" w:ascii="Georgia" w:hAnsi="Georgia"/>
        </w:rPr>
        <w:t xml:space="preserve"> généré par radiolyse dans une solution aqueuse saturée en </w:t>
      </w:r>
      <m:oMath>
        <m:sSub>
          <m:sSubPr/>
          <m:e>
            <m:r>
              <m:rPr>
                <m:sty m:val="p"/>
              </m:rPr>
              <m:t>N</m:t>
            </m:r>
          </m:e>
          <m:sub>
            <m:r>
              <m:rPr>
                <m:sty m:val="p"/>
              </m:rPr>
              <m:t>2</m:t>
            </m:r>
          </m:sub>
        </m:sSub>
        <m:r>
          <m:rPr>
            <m:sty m:val="p"/>
          </m:rPr>
          <m:t>O</m:t>
        </m:r>
      </m:oMath>
      <w:r>
        <w:rPr/>
        <w:t xml:space="preserve">. La concentration du complexe [ </w:t>
      </w:r>
      <m:oMath>
        <m:r>
          <m:rPr>
            <m:sty m:val="p"/>
          </m:rPr>
          <m:t>Ru</m:t>
        </m:r>
        <m:sSup>
          <m:sSupPr/>
          <m:e>
            <m:r>
              <m:t xml:space="preserve"> </m:t>
            </m:r>
          </m:e>
          <m:sup>
            <m:r>
              <m:rPr>
                <m:sty m:val="p"/>
              </m:rPr>
              <m:t>II</m:t>
            </m:r>
          </m:sup>
        </m:sSup>
      </m:oMath>
      <w:r>
        <w:rPr/>
        <w:t xml:space="preserve"> ] est de </w:t>
      </w:r>
      <m:oMath>
        <m:sSup>
          <m:sSupPr/>
          <m:e>
            <m:r>
              <m:rPr>
                <m:sty m:val="p"/>
              </m:rPr>
              <m:t>10</m:t>
            </m:r>
          </m:e>
          <m:sup>
            <m:r>
              <m:rPr>
                <m:sty m:val="p"/>
              </m:rPr>
              <m:t>−</m:t>
            </m:r>
            <m:r>
              <m:rPr>
                <m:sty m:val="p"/>
              </m:rPr>
              <m:t>4</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et de 0,1 </w:t>
      </w:r>
      <m:oMath>
        <m:r>
          <m:rPr>
            <m:sty m:val="p"/>
          </m:rPr>
          <m:t>mol</m:t>
        </m:r>
        <m:r>
          <m:rPr>
            <m:sty m:val="p"/>
          </m:rPr>
          <m:t>⋅</m:t>
        </m:r>
        <m:sSup>
          <m:sSupPr/>
          <m:e>
            <m:r>
              <m:rPr>
                <m:sty m:val="p"/>
              </m:rPr>
              <m:t>L</m:t>
            </m:r>
          </m:e>
          <m:sup>
            <m:r>
              <m:rPr>
                <m:sty m:val="p"/>
              </m:rPr>
              <m:t>−</m:t>
            </m:r>
            <m:r>
              <m:rPr>
                <m:sty m:val="p"/>
              </m:rPr>
              <m:t>1</m:t>
            </m:r>
          </m:sup>
        </m:sSup>
      </m:oMath>
      <w:r>
        <w:rPr/>
        <w:t xml:space="preserve"> de KBr .</w:t>
      </w:r>
      <w:r>
        <w:rPr/>
        <w:br w:type="textWrapping"/>
      </w:r>
      <w:r>
        <w:rPr>
          <w:rFonts w:eastAsia="Georgia" w:cs="Georgia" w:ascii="Georgia" w:hAnsi="Georgia"/>
        </w:rPr>
        <w:t xml:space="preserve">La différence d'absorption se définit comme : </w:t>
      </w:r>
      <m:oMath>
        <m:r>
          <m:rPr>
            <m:sty m:val="p"/>
          </m:rPr>
          <m:t>Δ</m:t>
        </m:r>
        <m:r>
          <m:rPr>
            <m:sty m:val="i"/>
          </m:rPr>
          <m:t>A</m:t>
        </m:r>
        <m:r>
          <m:rPr>
            <m:sty m:val="p"/>
          </m:rPr>
          <m:t>=</m:t>
        </m:r>
        <m:r>
          <m:rPr>
            <m:sty m:val="p"/>
          </m:rPr>
          <m:t>−</m:t>
        </m:r>
        <m:r>
          <m:rPr>
            <m:sty m:val="p"/>
          </m:rPr>
          <m:t>log</m:t>
        </m:r>
        <m:r>
          <m:rPr>
            <m:sty m:val="p"/>
          </m:rPr>
          <m:t>⁡</m:t>
        </m:r>
        <m:f>
          <m:fPr>
            <m:ctrlPr>
              <w:rPr>
                <w:rFonts w:ascii="Cambria Math" w:hAnsi="Cambria Math"/>
              </w:rPr>
            </m:ctrlPr>
          </m:fPr>
          <m:num>
            <m:r>
              <m:rPr>
                <m:sty m:val="i"/>
              </m:rPr>
              <m:t>I</m:t>
            </m:r>
          </m:num>
          <m:den>
            <m:sSub>
              <m:sSubPr/>
              <m:e>
                <m:r>
                  <m:rPr>
                    <m:sty m:val="i"/>
                  </m:rPr>
                  <m:t>I</m:t>
                </m:r>
              </m:e>
              <m:sub>
                <m:r>
                  <m:rPr>
                    <m:sty m:val="p"/>
                  </m:rPr>
                  <m:t>0</m:t>
                </m:r>
              </m:sub>
            </m:sSub>
          </m:den>
        </m:f>
      </m:oMath>
      <w:r>
        <w:rPr/>
        <w:t xml:space="preserve"> avec </w:t>
      </w:r>
      <m:oMath>
        <m:sSub>
          <m:sSubPr/>
          <m:e>
            <m:r>
              <m:rPr>
                <m:sty m:val="i"/>
              </m:rPr>
              <m:t>I</m:t>
            </m:r>
          </m:e>
          <m:sub>
            <m:r>
              <m:rPr>
                <m:sty m:val="p"/>
              </m:rPr>
              <m:t>0</m:t>
            </m:r>
          </m:sub>
        </m:sSub>
      </m:oMath>
      <w:r>
        <w:rPr>
          <w:rFonts w:eastAsia="Georgia" w:cs="Georgia" w:ascii="Georgia" w:hAnsi="Georgia"/>
        </w:rPr>
        <w:t xml:space="preserve"> l'absorption d'une solution de référence en l'absence du complexe </w:t>
      </w:r>
      <m:oMath>
        <m:d>
          <m:dPr>
            <m:begChr m:val="["/>
            <m:endChr m:val="]"/>
            <m:ctrlPr>
              <w:rPr>
                <w:rFonts w:ascii="Cambria Math" w:hAnsi="Cambria Math"/>
              </w:rPr>
            </m:ctrlPr>
          </m:dPr>
          <m:e>
            <m:sSup>
              <m:sSupPr/>
              <m:e>
                <m:r>
                  <m:rPr>
                    <m:sty m:val="p"/>
                  </m:rPr>
                  <m:t>Ru</m:t>
                </m:r>
              </m:e>
              <m:sup>
                <m:r>
                  <m:rPr>
                    <m:sty m:val="p"/>
                  </m:rPr>
                  <m:t>II</m:t>
                </m:r>
              </m:sup>
            </m:sSup>
          </m:e>
        </m:d>
      </m:oMath>
      <w:r>
        <w:rPr>
          <w:rFonts w:eastAsia="Georgia" w:cs="Georgia" w:ascii="Georgia" w:hAnsi="Georgia"/>
        </w:rPr>
        <w:t xml:space="preserve">, lors d'une expérience de radiolyse.</w:t>
      </w:r>
      <w:r>
        <w:rPr/>
        <w:br w:type="textWrapping"/>
      </w:r>
    </w:p>
    <w:p>
      <w:pPr>
        <w:spacing w:lineRule="auto"/>
        <w:jc w:val="center"/>
      </w:pPr>
      <w:r>
        <w:rPr/>
        <w:drawing>
          <wp:inline distB="0" distL="0" distR="0" distT="0">
            <wp:extent cx="1314450" cy="857250"/>
            <wp:effectExtent b="0" l="0" r="0" t="0"/>
            <wp:docPr id="31" name="image-5f1c9cf7dadc2912e0e02ecdf6ae1770b8758f6f.jpg"/>
            <a:graphic>
              <a:graphicData uri="http://schemas.openxmlformats.org/drawingml/2006/picture">
                <pic:pic>
                  <pic:nvPicPr>
                    <pic:cNvPr id="31" name="image-5f1c9cf7dadc2912e0e02ecdf6ae1770b8758f6f.jpg" descr=""/>
                    <pic:cNvPicPr/>
                  </pic:nvPicPr>
                  <pic:blipFill>
                    <a:blip r:embed="rId36" cstate="print"/>
                    <a:srcRect b="0" l="0" r="0" t="0"/>
                    <a:stretch>
                      <a:fillRect/>
                    </a:stretch>
                  </pic:blipFill>
                  <pic:spPr>
                    <a:xfrm>
                      <a:off x="0" y="0"/>
                      <a:ext cx="1314450" cy="857250"/>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p>
      <w:pPr>
        <w:numPr>
          <w:ilvl w:val="1"/>
          <w:numId w:val="18"/>
        </w:numPr>
        <w:spacing w:lineRule="auto"/>
      </w:pPr>
      <w:r>
        <w:rPr>
          <w:rFonts w:eastAsia="Georgia" w:cs="Georgia" w:ascii="Georgia" w:hAnsi="Georgia"/>
        </w:rPr>
        <w:t xml:space="preserve">Ce résultat demeure vrai lorsque le domaine est soumis, en plus des contraintes de cisaillement, à des contraintes normales. C'est-à-dire, dans le cadre le plus général.</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4"/>
      <w:numFmt w:val="decimal"/>
      <w:lvlText w:val="%1."/>
      <w:lvlJc w:val="left"/>
      <w:pPr>
        <w:tabs>
          <w:tab w:val="num" w:pos="1080"/>
        </w:tabs>
        <w:ind w:left="720" w:hanging="360"/>
      </w:pPr>
    </w:lvl>
  </w:abstractNum>
  <w:abstractNum w:abstractNumId="5">
    <w:multiLevelType w:val="hybridMultilevel"/>
    <w:lvl w:ilvl="0">
      <w:start w:val="8"/>
      <w:numFmt w:val="decimal"/>
      <w:lvlText w:val="%1."/>
      <w:lvlJc w:val="left"/>
      <w:pPr>
        <w:tabs>
          <w:tab w:val="num" w:pos="1080"/>
        </w:tabs>
        <w:ind w:left="720" w:hanging="360"/>
      </w:pPr>
    </w:lvl>
  </w:abstractNum>
  <w:abstractNum w:abstractNumId="6">
    <w:multiLevelType w:val="hybridMultilevel"/>
    <w:lvl w:ilvl="0">
      <w:start w:val="10"/>
      <w:numFmt w:val="decimal"/>
      <w:lvlText w:val="%1."/>
      <w:lvlJc w:val="left"/>
      <w:pPr>
        <w:tabs>
          <w:tab w:val="num" w:pos="1080"/>
        </w:tabs>
        <w:ind w:left="720" w:hanging="360"/>
      </w:pPr>
    </w:lvl>
  </w:abstractNum>
  <w:abstractNum w:abstractNumId="7">
    <w:multiLevelType w:val="hybridMultilevel"/>
    <w:lvl w:ilvl="0">
      <w:start w:val="12"/>
      <w:numFmt w:val="decimal"/>
      <w:lvlText w:val="%1."/>
      <w:lvlJc w:val="left"/>
      <w:pPr>
        <w:tabs>
          <w:tab w:val="num" w:pos="1080"/>
        </w:tabs>
        <w:ind w:left="720" w:hanging="360"/>
      </w:pPr>
    </w:lvl>
  </w:abstractNum>
  <w:abstractNum w:abstractNumId="8">
    <w:multiLevelType w:val="hybridMultilevel"/>
    <w:lvl w:ilvl="0">
      <w:start w:val="19"/>
      <w:numFmt w:val="decimal"/>
      <w:lvlText w:val="%1."/>
      <w:lvlJc w:val="left"/>
      <w:pPr>
        <w:tabs>
          <w:tab w:val="num" w:pos="1080"/>
        </w:tabs>
        <w:ind w:left="720" w:hanging="360"/>
      </w:pPr>
    </w:lvl>
  </w:abstractNum>
  <w:abstractNum w:abstractNumId="9">
    <w:multiLevelType w:val="hybridMultilevel"/>
    <w:lvl w:ilvl="0">
      <w:start w:val="25"/>
      <w:numFmt w:val="decimal"/>
      <w:lvlText w:val="%1."/>
      <w:lvlJc w:val="left"/>
      <w:pPr>
        <w:tabs>
          <w:tab w:val="num" w:pos="1080"/>
        </w:tabs>
        <w:ind w:left="720" w:hanging="360"/>
      </w:pPr>
    </w:lvl>
  </w:abstractNum>
  <w:abstractNum w:abstractNumId="10">
    <w:multiLevelType w:val="hybridMultilevel"/>
    <w:lvl w:ilvl="0">
      <w:start w:val="34"/>
      <w:numFmt w:val="decimal"/>
      <w:lvlText w:val="%1."/>
      <w:lvlJc w:val="left"/>
      <w:pPr>
        <w:tabs>
          <w:tab w:val="num" w:pos="1080"/>
        </w:tabs>
        <w:ind w:left="720" w:hanging="360"/>
      </w:pPr>
    </w:lvl>
  </w:abstractNum>
  <w:abstractNum w:abstractNumId="11">
    <w:multiLevelType w:val="hybridMultilevel"/>
    <w:lvl w:ilvl="0">
      <w:start w:val="1"/>
      <w:numFmt w:val="decimal"/>
      <w:lvlText w:val="%1."/>
      <w:lvlJc w:val="left"/>
      <w:pPr>
        <w:tabs>
          <w:tab w:val="num" w:pos="1080"/>
        </w:tabs>
        <w:ind w:left="720" w:hanging="360"/>
      </w:pPr>
    </w:lvl>
  </w:abstractNum>
  <w:abstractNum w:abstractNumId="12">
    <w:multiLevelType w:val="hybridMultilevel"/>
    <w:lvl w:ilvl="0">
      <w:start w:val="8"/>
      <w:numFmt w:val="decimal"/>
      <w:lvlText w:val="%1."/>
      <w:lvlJc w:val="left"/>
      <w:pPr>
        <w:tabs>
          <w:tab w:val="num" w:pos="1080"/>
        </w:tabs>
        <w:ind w:left="720" w:hanging="360"/>
      </w:pPr>
    </w:lvl>
  </w:abstractNum>
  <w:abstractNum w:abstractNumId="13">
    <w:multiLevelType w:val="hybridMultilevel"/>
    <w:lvl w:ilvl="0">
      <w:start w:val="13"/>
      <w:numFmt w:val="decimal"/>
      <w:lvlText w:val="%1."/>
      <w:lvlJc w:val="left"/>
      <w:pPr>
        <w:tabs>
          <w:tab w:val="num" w:pos="1080"/>
        </w:tabs>
        <w:ind w:left="720" w:hanging="360"/>
      </w:pPr>
    </w:lvl>
  </w:abstractNum>
  <w:abstractNum w:abstractNumId="14">
    <w:multiLevelType w:val="hybridMultilevel"/>
    <w:lvl w:ilvl="0">
      <w:start w:val="26"/>
      <w:numFmt w:val="decimal"/>
      <w:lvlText w:val="%1."/>
      <w:lvlJc w:val="left"/>
      <w:pPr>
        <w:tabs>
          <w:tab w:val="num" w:pos="1080"/>
        </w:tabs>
        <w:ind w:left="720" w:hanging="360"/>
      </w:pPr>
    </w:lvl>
  </w:abstractNum>
  <w:abstractNum w:abstractNumId="15">
    <w:multiLevelType w:val="hybridMultilevel"/>
    <w:lvl w:ilvl="0">
      <w:start w:val="32"/>
      <w:numFmt w:val="decimal"/>
      <w:lvlText w:val="%1."/>
      <w:lvlJc w:val="left"/>
      <w:pPr>
        <w:tabs>
          <w:tab w:val="num" w:pos="1080"/>
        </w:tabs>
        <w:ind w:left="720" w:hanging="360"/>
      </w:pPr>
    </w:lvl>
  </w:abstractNum>
  <w:abstractNum w:abstractNumId="16">
    <w:multiLevelType w:val="hybridMultilevel"/>
    <w:lvl w:ilvl="0">
      <w:start w:val="33"/>
      <w:numFmt w:val="decimal"/>
      <w:lvlText w:val="%1."/>
      <w:lvlJc w:val="left"/>
      <w:pPr>
        <w:tabs>
          <w:tab w:val="num" w:pos="1080"/>
        </w:tabs>
        <w:ind w:left="720" w:hanging="360"/>
      </w:p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8">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e15b54a4603ff017691773770e073567553a9bf.jpg" TargetMode="Internal"/><Relationship Id="rId6" Type="http://schemas.openxmlformats.org/officeDocument/2006/relationships/image" Target="media/image-6f12d01190cf3952cdbc96c72079990bef6ccfe7.jpg" TargetMode="Internal"/><Relationship Id="rId7" Type="http://schemas.openxmlformats.org/officeDocument/2006/relationships/image" Target="media/image-718a82c58375b48f0127072ae71b9849dbba57a9.jpg" TargetMode="Internal"/><Relationship Id="rId8" Type="http://schemas.openxmlformats.org/officeDocument/2006/relationships/image" Target="media/image-8b1866d7bd69e092149ceba2209dbc769b0c83fb.jpg" TargetMode="Internal"/><Relationship Id="rId9" Type="http://schemas.openxmlformats.org/officeDocument/2006/relationships/image" Target="media/image-68ab492b131cdf2fd6b942d1937670e588ecde60.jpg" TargetMode="Internal"/><Relationship Id="rId10" Type="http://schemas.openxmlformats.org/officeDocument/2006/relationships/image" Target="media/image-fe19411f3f24571c5ba618d63a2244547183a241.jpg" TargetMode="Internal"/><Relationship Id="rId11" Type="http://schemas.openxmlformats.org/officeDocument/2006/relationships/image" Target="media/image-ae7a8237641eb7805ee52634a0a9891afbf017fb.jpg" TargetMode="Internal"/><Relationship Id="rId12" Type="http://schemas.openxmlformats.org/officeDocument/2006/relationships/image" Target="media/image-d4bd4abbb83df1b3e2b9e24c9a87545371f70ed3.jpg" TargetMode="Internal"/><Relationship Id="rId13" Type="http://schemas.openxmlformats.org/officeDocument/2006/relationships/image" Target="media/image-dc43ffc77483ed139df9cf12d000788091a6af57.jpg" TargetMode="Internal"/><Relationship Id="rId14" Type="http://schemas.openxmlformats.org/officeDocument/2006/relationships/image" Target="media/image-463c9576df509a900c4179762000ca3a3ba2a71a.jpg" TargetMode="Internal"/><Relationship Id="rId15" Type="http://schemas.openxmlformats.org/officeDocument/2006/relationships/image" Target="media/image-ff9ba32ad827972aa079b7031aac4a6a0e23dc3b.jpg" TargetMode="Internal"/><Relationship Id="rId16" Type="http://schemas.openxmlformats.org/officeDocument/2006/relationships/image" Target="media/image-f350736c34fd5329545ad7642ca21c2bb4e2a0c4.jpg" TargetMode="Internal"/><Relationship Id="rId17" Type="http://schemas.openxmlformats.org/officeDocument/2006/relationships/image" Target="media/image-a71b798e3e725795de95633c14fdb59cf1e5b0b8.jpg" TargetMode="Internal"/><Relationship Id="rId18" Type="http://schemas.openxmlformats.org/officeDocument/2006/relationships/image" Target="media/image-5e3897e5aefc98f12871243b1d2ed1122a2dd1af.jpg" TargetMode="Internal"/><Relationship Id="rId19" Type="http://schemas.openxmlformats.org/officeDocument/2006/relationships/image" Target="media/image-eec03b03c00942b14eb390604fbef369622b7141.jpg" TargetMode="Internal"/><Relationship Id="rId20" Type="http://schemas.openxmlformats.org/officeDocument/2006/relationships/image" Target="media/image-2be73bcd6e258b88516ba6fb60c1ef4601b1b999.jpg" TargetMode="Internal"/><Relationship Id="rId21" Type="http://schemas.openxmlformats.org/officeDocument/2006/relationships/image" Target="media/image-2c6a4ec0e1e7a1abf0dc39e943f92bccb106175d.jpg" TargetMode="Internal"/><Relationship Id="rId22" Type="http://schemas.openxmlformats.org/officeDocument/2006/relationships/image" Target="media/image-afe9cf4ca6c7d8c4e4f620a43e7d87e539f3629f.jpg" TargetMode="Internal"/><Relationship Id="rId23" Type="http://schemas.openxmlformats.org/officeDocument/2006/relationships/image" Target="media/image-797aff2bcede09b0550685430acd1a534aadad8a.jpg" TargetMode="Internal"/><Relationship Id="rId24" Type="http://schemas.openxmlformats.org/officeDocument/2006/relationships/image" Target="media/image-4fa5aaad2eab12ef0f55b7398b8790f1830b52f1.jpg" TargetMode="Internal"/><Relationship Id="rId25" Type="http://schemas.openxmlformats.org/officeDocument/2006/relationships/image" Target="media/image-404e470101b3612ddbc0b17353e0bae44dc4c46b.jpg" TargetMode="Internal"/><Relationship Id="rId26" Type="http://schemas.openxmlformats.org/officeDocument/2006/relationships/hyperlink" Target="http://fr.solvionic.com/" TargetMode="External"/><Relationship Id="rId27" Type="http://schemas.openxmlformats.org/officeDocument/2006/relationships/image" Target="media/image-svg-9f20959291b35bdc412cbc9396477e8690937e7c.svg" TargetMode="Internal"/><Relationship Id="rId28" Type="http://schemas.openxmlformats.org/officeDocument/2006/relationships/image" Target="media/image-svg-9f20959291b35bdc412cbc9396477e8690937e7c.png" TargetMode="Internal"/><Relationship Id="rId29" Type="http://schemas.openxmlformats.org/officeDocument/2006/relationships/image" Target="media/image-svg-f114a73edf061643aad24dc4a4de8b6784dcf61c.svg" TargetMode="Internal"/><Relationship Id="rId30" Type="http://schemas.openxmlformats.org/officeDocument/2006/relationships/image" Target="media/image-svg-f114a73edf061643aad24dc4a4de8b6784dcf61c.png" TargetMode="Internal"/><Relationship Id="rId31" Type="http://schemas.openxmlformats.org/officeDocument/2006/relationships/image" Target="media/image-svg-0b09522f9c5e003a9fe2fb9735b2564bade3ab41.svg" TargetMode="Internal"/><Relationship Id="rId32" Type="http://schemas.openxmlformats.org/officeDocument/2006/relationships/image" Target="media/image-svg-0b09522f9c5e003a9fe2fb9735b2564bade3ab41.png" TargetMode="Internal"/><Relationship Id="rId33" Type="http://schemas.openxmlformats.org/officeDocument/2006/relationships/image" Target="media/image-98ba80b1dcc3da3c505612ca80a75d8d78c66f9b.jpg" TargetMode="Internal"/><Relationship Id="rId34" Type="http://schemas.openxmlformats.org/officeDocument/2006/relationships/image" Target="media/image-8d4b19bf75179a0b6096b79e3ef3e876696bf179.jpg" TargetMode="Internal"/><Relationship Id="rId35" Type="http://schemas.openxmlformats.org/officeDocument/2006/relationships/image" Target="media/image-592d0368669a085ffb16a0d5ce7d7f24c69cf383.jpg" TargetMode="Internal"/><Relationship Id="rId36" Type="http://schemas.openxmlformats.org/officeDocument/2006/relationships/image" Target="media/image-5f1c9cf7dadc2912e0e02ecdf6ae1770b8758f6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2025-09-04T21:26:15.706Z</dcterms:created>
  <dcterms:modified xsi:type="dcterms:W3CDTF">2025-09-04T21:26:15.706Z</dcterms:modified>
</cp:coreProperties>
</file>