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Rule="auto"/>
        <w:ind w:left="2265" w:right="2265"/>
        <w:jc w:val="center"/>
      </w:pPr>
      <w:r>
        <w:rPr/>
        <w:t xml:space="preserve">A 00 PHYS. II</w:t>
      </w:r>
    </w:p>
    <w:p>
      <w:pPr>
        <w:spacing w:lineRule="auto"/>
        <w:ind w:left="2265" w:right="2265"/>
        <w:jc w:val="center"/>
      </w:pPr>
      <w:r>
        <w:rPr>
          <w:rFonts w:eastAsia="Georgia" w:cs="Georgia" w:ascii="Georgia" w:hAnsi="Georgia"/>
        </w:rPr>
        <w:t xml:space="preserve">ÉCOLE NATIONALE DES PONTS ET CHAUSSÉES, ÉCOLES NATIONALES SUPÉRIEURES DE L'AÉRONAUTIQUE ET DE L'ESPACE, DE TECHNIQUES AVANCÉES, DES TÉLÉCOMMUNICATIONS, DES MINES DE PARIS, DES MINES DE SAINT-ÉTIENNE, DES MINES DE NANCY, DES TÉLÉCOMMUNICATIONS DE BRETAGNE, ÉCOLE POLYTECHNIQUE (FILIÈRE TSI)</w:t>
      </w:r>
    </w:p>
    <w:p>
      <w:pPr>
        <w:spacing w:after="220" w:lineRule="auto"/>
      </w:pPr>
      <w:r>
        <w:rPr/>
        <w:t xml:space="preserve">CONCOURS D'ADMISSION 2000</w:t>
      </w:r>
      <w:r>
        <w:rPr/>
        <w:br w:type="textWrapping"/>
      </w:r>
      <w:r>
        <w:rPr>
          <w:rFonts w:eastAsia="Georgia" w:cs="Georgia" w:ascii="Georgia" w:hAnsi="Georgia"/>
        </w:rPr>
        <w:t xml:space="preserve">SECONDE ÉPREUVE DE PHYSIQUE</w:t>
      </w:r>
      <w:r>
        <w:rPr/>
        <w:br w:type="textWrapping"/>
      </w:r>
      <w:r>
        <w:rPr>
          <w:rFonts w:eastAsia="Georgia" w:cs="Georgia" w:ascii="Georgia" w:hAnsi="Georgia"/>
        </w:rPr>
        <w:t xml:space="preserve">Filière PSI</w:t>
      </w:r>
      <w:r>
        <w:rPr/>
        <w:br w:type="textWrapping"/>
      </w:r>
      <w:r>
        <w:rPr>
          <w:rFonts w:eastAsia="Georgia" w:cs="Georgia" w:ascii="Georgia" w:hAnsi="Georgia"/>
        </w:rPr>
        <w:t xml:space="preserve">(Durée de l'épreuve : </w:t>
      </w:r>
      <m:oMath>
        <m:r>
          <m:rPr>
            <m:sty m:val="b"/>
          </m:rPr>
          <m:t>4</m:t>
        </m:r>
      </m:oMath>
      <w:r>
        <w:rPr>
          <w:rFonts w:eastAsia="Georgia" w:cs="Georgia" w:ascii="Georgia" w:hAnsi="Georgia"/>
        </w:rPr>
        <w:t xml:space="preserve"> heures; l'emploi de la calculatrice est autorisé)</w:t>
      </w:r>
      <w:r>
        <w:rPr/>
        <w:br w:type="textWrapping"/>
      </w:r>
      <w:r>
        <w:rPr>
          <w:rFonts w:eastAsia="Georgia" w:cs="Georgia" w:ascii="Georgia" w:hAnsi="Georgia"/>
        </w:rPr>
        <w:t xml:space="preserve">Sujet mis à disposition des concours ENSTIM, INT, TPE-EIVP</w:t>
      </w:r>
      <w:r>
        <w:rPr/>
        <w:br w:type="textWrapping"/>
      </w:r>
      <w:r>
        <w:rPr>
          <w:rFonts w:eastAsia="Georgia" w:cs="Georgia" w:ascii="Georgia" w:hAnsi="Georgia"/>
        </w:rPr>
        <w:t xml:space="preserve">Les candidats sont priés de mentionner de façon apparente sur la première page de la copie :</w:t>
      </w:r>
      <w:r>
        <w:rPr/>
        <w:br w:type="textWrapping"/>
      </w:r>
      <w:r>
        <w:rPr/>
        <w:t xml:space="preserve">PHYSIQUE II -PSI</w:t>
      </w:r>
      <w:r>
        <w:rPr/>
        <w:br w:type="textWrapping"/>
      </w:r>
      <w:r>
        <w:rPr>
          <w:rFonts w:eastAsia="Georgia" w:cs="Georgia" w:ascii="Georgia" w:hAnsi="Georgia"/>
        </w:rPr>
        <w:t xml:space="preserve">L'énoncé de cette épreuve, particulière aux candidats de la filière PSI, comporte 11 pages.</w:t>
      </w:r>
    </w:p>
    <w:p>
      <w:pPr>
        <w:numPr>
          <w:ilvl w:val="0"/>
          <w:numId w:val="1"/>
        </w:numPr>
        <w:spacing w:lineRule="auto"/>
      </w:pPr>
      <w:r>
        <w:rPr>
          <w:rFonts w:eastAsia="Georgia" w:cs="Georgia" w:ascii="Georgia" w:hAnsi="Georgia"/>
        </w:rPr>
        <w:t xml:space="preserve">Si, au cours de l'épreuve, un candidat repère ce qui lui semble être une erreur d'énoncé, il le signale sur sa copie et poursuit sa composition en expliquant les raisons des initiatives qu'il est amené à prendre.</w:t>
      </w:r>
    </w:p>
    <w:p>
      <w:pPr>
        <w:numPr>
          <w:ilvl w:val="0"/>
          <w:numId w:val="1"/>
        </w:numPr>
        <w:spacing w:lineRule="auto"/>
      </w:pPr>
      <w:r>
        <w:rPr>
          <w:rFonts w:eastAsia="Georgia" w:cs="Georgia" w:ascii="Georgia" w:hAnsi="Georgia"/>
        </w:rPr>
        <w:t xml:space="preserve">Tout résultat fourni dans l'énoncé peut être utilisé pour les questions ultérieures, même s'il n'a pas été démontré.</w:t>
      </w:r>
    </w:p>
    <w:p>
      <w:pPr>
        <w:numPr>
          <w:ilvl w:val="0"/>
          <w:numId w:val="1"/>
        </w:numPr>
        <w:spacing w:lineRule="auto"/>
      </w:pPr>
      <w:r>
        <w:rPr>
          <w:rFonts w:eastAsia="Georgia" w:cs="Georgia" w:ascii="Georgia" w:hAnsi="Georgia"/>
        </w:rPr>
        <w:t xml:space="preserve">Il ne faudra pas hésiter à formuler les commentaires (incluant des considérations numériques) qui vous sembleront pertinents, même lorsque l'énoncé ne le demande pas explicitement. Le barème tiendra compte de ces initiatives ainsi que des qualités de rédaction de la copie.</w:t>
      </w:r>
    </w:p>
    <w:p>
      <w:pPr>
        <w:spacing w:line="271" w:before="330" w:lineRule="auto"/>
      </w:pPr>
      <w:r>
        <w:rPr>
          <w:rFonts w:eastAsia="Georgia" w:cs="Georgia" w:ascii="Georgia" w:hAnsi="Georgia"/>
          <w:b/>
          <w:sz w:val="42"/>
        </w:rPr>
        <w:t xml:space="preserve">TEST NON DESTRUCTIF DE MATÉRIAUX COMPOSITES</w:t>
      </w:r>
    </w:p>
    <w:p>
      <w:pPr>
        <w:spacing w:line="271" w:before="330" w:lineRule="auto"/>
      </w:pPr>
      <w:r>
        <w:rPr>
          <w:rFonts w:eastAsia="Georgia" w:cs="Georgia" w:ascii="Georgia" w:hAnsi="Georgia"/>
          <w:b/>
          <w:sz w:val="42"/>
        </w:rPr>
        <w:t xml:space="preserve">Présentation</w:t>
      </w:r>
    </w:p>
    <w:p>
      <w:pPr>
        <w:spacing w:after="220" w:lineRule="auto"/>
      </w:pPr>
      <w:r>
        <w:rPr>
          <w:rFonts w:eastAsia="Georgia" w:cs="Georgia" w:ascii="Georgia" w:hAnsi="Georgia"/>
        </w:rPr>
        <w:t xml:space="preserve">L'industrie aéronautique emploie de plus en plus souvent des matériaux dits composites, constitués de plusieurs couches de structure différente, plus ou moins croisées, plus ou moins renforcées par l'adjonction de fibres (de verre, de carbone), et orientées selon les efforts à subir. Ces couches doivent être intimement liées entre elles par collage ou résine, par exemple : contreplaqués multiplis, fibres de verre, structures en nid d'abeille, etc. Le matériau utilisé doit être à la fois fiable et d'un poids minimal. Des contrôles ont lieu au cours de la fabrication et en cours d'opérations de maintenance pour vérifier la bonne adhérence des couches entre elles (risques de "délaminage") et l'absence de bulles d'air ( amorces de points de rupture). La méthode communément utilisée est l'analyse par ultrasons ; le problème se propose de présenter quelques aspects de ces méthodes de contrôle non destructif. Il comprend plusieurs parties entre lesquelles existent plusieurs liens de sens et des liens de nécessité.</w:t>
      </w:r>
    </w:p>
    <w:p>
      <w:pPr>
        <w:spacing w:line="271" w:before="330" w:lineRule="auto"/>
      </w:pPr>
      <w:r>
        <w:rPr>
          <w:rFonts w:eastAsia="Georgia" w:cs="Georgia" w:ascii="Georgia" w:hAnsi="Georgia"/>
          <w:b/>
          <w:sz w:val="42"/>
        </w:rPr>
        <w:t xml:space="preserve">Éléments de base</w:t>
      </w:r>
    </w:p>
    <w:p>
      <w:pPr>
        <w:spacing w:after="220" w:lineRule="auto"/>
      </w:pPr>
      <w:r>
        <w:rPr>
          <w:rFonts w:eastAsia="Georgia" w:cs="Georgia" w:ascii="Georgia" w:hAnsi="Georgia"/>
        </w:rPr>
        <w:t xml:space="preserve">L'onde ultrasonore qui sonde le matériau est émise par un transducteur et transmise à la</w:t>
      </w:r>
      <w:r>
        <w:rPr/>
        <w:br w:type="textWrapping"/>
      </w:r>
      <w:r>
        <w:rPr>
          <w:rFonts w:eastAsia="Georgia" w:cs="Georgia" w:ascii="Georgia" w:hAnsi="Georgia"/>
        </w:rPr>
        <w:t xml:space="preserve">pièce à analyser par l'intermédiaire d'un milieu de couplage (tel que : eau, graisse, gel, caoutchouc ...) ; elle subit par la suite des transmissions, des réflexions et des diffusions à chaque changement de milieu. L'analyse des échos réfléchis permet de déduire la nature des milieux rencontrés. Le récepteur est généralement identique à l'émetteur : lorsqu'il fonctionne en émetteur, le transducteur ultrasonore est excité par une impulsion électrique, le disque de céramique piézo-électrique dont il est constitué vibre selon son épaisseur. Les vibrations transmettent au milieu des ondes ultrasonores. Lorsqu'il fonctionne en récepteur, il transforme la surpression acoustique reçue en signal électrique. L'épaisseur de la céramique varie selon la fréquence de travail envisagée et la nature du matériau utilisé. La variation de l'épaisseur </w:t>
      </w:r>
      <m:oMath>
        <m:sSub>
          <m:sSubPr/>
          <m:e>
            <m:r>
              <m:rPr>
                <m:sty m:val="i"/>
              </m:rPr>
              <m:t>e</m:t>
            </m:r>
          </m:e>
          <m:sub>
            <m:r>
              <m:rPr>
                <m:sty m:val="p"/>
              </m:rPr>
              <m:t>L</m:t>
            </m:r>
          </m:sub>
        </m:sSub>
      </m:oMath>
      <w:r>
        <w:rPr>
          <w:rFonts w:eastAsia="Georgia" w:cs="Georgia" w:ascii="Georgia" w:hAnsi="Georgia"/>
        </w:rPr>
        <w:t xml:space="preserve"> du disque peut ainsi varier de 0,1 à 5 mm .</w:t>
      </w:r>
    </w:p>
    <w:p>
      <w:pPr>
        <w:spacing w:after="220" w:lineRule="auto"/>
      </w:pPr>
      <w:r>
        <w:rPr>
          <w:rFonts w:eastAsia="Georgia" w:cs="Georgia" w:ascii="Georgia" w:hAnsi="Georgia"/>
        </w:rPr>
        <w:t xml:space="preserve">La variation de l'épaisseur de la lame quand cette dernière subit une force surfacique </w:t>
      </w:r>
      <m:oMath>
        <m:r>
          <m:rPr>
            <m:sty m:val="i"/>
          </m:rPr>
          <m:t>F</m:t>
        </m:r>
      </m:oMath>
      <w:r>
        <w:rPr/>
        <w:t xml:space="preserve"> (ou pression </w:t>
      </w:r>
      <m:oMath>
        <m:r>
          <m:rPr>
            <m:sty m:val="i"/>
          </m:rPr>
          <m:t>p</m:t>
        </m:r>
      </m:oMath>
      <w:r>
        <w:rPr/>
        <w:t xml:space="preserve"> ) est </w:t>
      </w:r>
      <m:oMath>
        <m:r>
          <m:rPr>
            <m:sty m:val="i"/>
          </m:rPr>
          <m:t>δ</m:t>
        </m:r>
        <m:r>
          <m:rPr>
            <m:sty m:val="i"/>
          </m:rPr>
          <m:t>e</m:t>
        </m:r>
        <m:r>
          <m:rPr>
            <m:sty m:val="p"/>
          </m:rPr>
          <m:t>=</m:t>
        </m:r>
        <m:r>
          <m:rPr>
            <m:sty m:val="p"/>
          </m:rPr>
          <m:t>−</m:t>
        </m:r>
        <m:f>
          <m:fPr>
            <m:ctrlPr>
              <w:rPr>
                <w:rFonts w:ascii="Cambria Math" w:hAnsi="Cambria Math"/>
              </w:rPr>
            </m:ctrlPr>
          </m:fPr>
          <m:num>
            <m:r>
              <m:rPr>
                <m:sty m:val="i"/>
              </m:rPr>
              <m:t>F</m:t>
            </m:r>
          </m:num>
          <m:den>
            <m:r>
              <m:rPr>
                <m:sty m:val="i"/>
              </m:rPr>
              <m:t>Y</m:t>
            </m:r>
          </m:den>
        </m:f>
        <m:sSub>
          <m:sSubPr/>
          <m:e>
            <m:r>
              <m:rPr>
                <m:sty m:val="i"/>
              </m:rPr>
              <m:t>e</m:t>
            </m:r>
          </m:e>
          <m:sub>
            <m:r>
              <m:rPr>
                <m:sty m:val="i"/>
              </m:rPr>
              <m:t>L</m:t>
            </m:r>
          </m:sub>
        </m:sSub>
        <m:r>
          <m:rPr>
            <m:sty m:val="p"/>
          </m:rPr>
          <m:t>=</m:t>
        </m:r>
        <m:f>
          <m:fPr>
            <m:ctrlPr>
              <w:rPr>
                <w:rFonts w:ascii="Cambria Math" w:hAnsi="Cambria Math"/>
              </w:rPr>
            </m:ctrlPr>
          </m:fPr>
          <m:num>
            <m:r>
              <m:rPr>
                <m:sty m:val="i"/>
              </m:rPr>
              <m:t>p</m:t>
            </m:r>
          </m:num>
          <m:den>
            <m:r>
              <m:rPr>
                <m:sty m:val="i"/>
              </m:rPr>
              <m:t>Y</m:t>
            </m:r>
          </m:den>
        </m:f>
        <m:sSub>
          <m:sSubPr/>
          <m:e>
            <m:r>
              <m:rPr>
                <m:sty m:val="i"/>
              </m:rPr>
              <m:t>e</m:t>
            </m:r>
          </m:e>
          <m:sub>
            <m:r>
              <m:rPr>
                <m:sty m:val="i"/>
              </m:rPr>
              <m:t>L</m:t>
            </m:r>
          </m:sub>
        </m:sSub>
      </m:oMath>
      <w:r>
        <w:rPr>
          <w:rFonts w:eastAsia="Georgia" w:cs="Georgia" w:ascii="Georgia" w:hAnsi="Georgia"/>
        </w:rPr>
        <w:t xml:space="preserve"> où la constante </w:t>
      </w:r>
      <m:oMath>
        <m:r>
          <m:rPr>
            <m:sty m:val="i"/>
          </m:rPr>
          <m:t>Y</m:t>
        </m:r>
      </m:oMath>
      <w:r>
        <w:rPr>
          <w:rFonts w:eastAsia="Georgia" w:cs="Georgia" w:ascii="Georgia" w:hAnsi="Georgia"/>
        </w:rPr>
        <w:t xml:space="preserve">, caractéristique du matériau, est son module de Young. Comme indiqué à la figure 1, on note </w:t>
      </w:r>
      <m:oMath>
        <m:r>
          <m:rPr>
            <m:sty m:val="i"/>
          </m:rPr>
          <m:t>P</m:t>
        </m:r>
        <m:r>
          <m:rPr>
            <m:sty m:val="p"/>
          </m:rPr>
          <m:t>(</m:t>
        </m:r>
        <m:r>
          <m:rPr>
            <m:sty m:val="i"/>
          </m:rPr>
          <m:t>z</m:t>
        </m:r>
        <m:r>
          <m:rPr>
            <m:sty m:val="p"/>
          </m:rPr>
          <m:t>,</m:t>
        </m:r>
        <m:r>
          <m:rPr>
            <m:sty m:val="i"/>
          </m:rPr>
          <m:t>t</m:t>
        </m:r>
        <m:r>
          <m:rPr>
            <m:sty m:val="p"/>
          </m:rPr>
          <m:t>)</m:t>
        </m:r>
      </m:oMath>
      <w:r>
        <w:rPr/>
        <w:t xml:space="preserve"> la pression, </w:t>
      </w:r>
      <m:oMath>
        <m:r>
          <m:rPr>
            <m:sty m:val="i"/>
          </m:rPr>
          <m:t>a</m:t>
        </m:r>
        <m:r>
          <m:rPr>
            <m:sty m:val="p"/>
          </m:rPr>
          <m:t>(</m:t>
        </m:r>
        <m:r>
          <m:rPr>
            <m:sty m:val="i"/>
          </m:rPr>
          <m:t>z</m:t>
        </m:r>
        <m:r>
          <m:rPr>
            <m:sty m:val="p"/>
          </m:rPr>
          <m:t>,</m:t>
        </m:r>
        <m:r>
          <m:rPr>
            <m:sty m:val="i"/>
          </m:rPr>
          <m:t>t</m:t>
        </m:r>
        <m:r>
          <m:rPr>
            <m:sty m:val="p"/>
          </m:rPr>
          <m:t>)</m:t>
        </m:r>
      </m:oMath>
      <w:r>
        <w:rPr>
          <w:rFonts w:eastAsia="Georgia" w:cs="Georgia" w:ascii="Georgia" w:hAnsi="Georgia"/>
        </w:rPr>
        <w:t xml:space="preserve"> le déplacement du plan d'abscisse </w:t>
      </w:r>
      <m:oMath>
        <m:r>
          <m:rPr>
            <m:sty m:val="i"/>
          </m:rPr>
          <m:t>z</m:t>
        </m:r>
      </m:oMath>
      <w:r>
        <w:rPr/>
        <w:t xml:space="preserve"> au repos ( </w:t>
      </w:r>
      <m:oMath>
        <m:r>
          <m:rPr>
            <m:sty m:val="i"/>
          </m:rPr>
          <m:t>F</m:t>
        </m:r>
        <m:r>
          <m:rPr>
            <m:sty m:val="p"/>
          </m:rPr>
          <m:t>=</m:t>
        </m:r>
        <m:r>
          <m:rPr>
            <m:sty m:val="p"/>
          </m:rPr>
          <m:t>0</m:t>
        </m:r>
      </m:oMath>
      <w:r>
        <w:rPr/>
        <w:t xml:space="preserve"> ) et </w:t>
      </w:r>
      <m:oMath>
        <m:r>
          <m:rPr>
            <m:sty m:val="i"/>
          </m:rPr>
          <m:t>ρ</m:t>
        </m:r>
      </m:oMath>
      <w:r>
        <w:rPr>
          <w:rFonts w:eastAsia="Georgia" w:cs="Georgia" w:ascii="Georgia" w:hAnsi="Georgia"/>
        </w:rPr>
        <w:t xml:space="preserve"> la masse volumique du matériau</w:t>
      </w:r>
    </w:p>
    <w:p>
      <w:pPr>
        <w:spacing w:lineRule="auto"/>
        <w:jc w:val="center"/>
      </w:pPr>
      <w:r>
        <w:rPr/>
        <w:drawing>
          <wp:inline distB="0" distL="0" distR="0" distT="0">
            <wp:extent cx="5486400" cy="2935840"/>
            <wp:effectExtent b="0" l="0" r="0" t="0"/>
            <wp:docPr id="1" name="image-c9e9919244859ca091f21ed8e29bcf70afa276be.jpg"/>
            <a:graphic>
              <a:graphicData uri="http://schemas.openxmlformats.org/drawingml/2006/picture">
                <pic:pic>
                  <pic:nvPicPr>
                    <pic:cNvPr id="1" name="image-c9e9919244859ca091f21ed8e29bcf70afa276be.jpg" descr=""/>
                    <pic:cNvPicPr/>
                  </pic:nvPicPr>
                  <pic:blipFill>
                    <a:blip r:embed="rId5" cstate="print"/>
                    <a:srcRect b="0" l="0" r="0" t="0"/>
                    <a:stretch>
                      <a:fillRect/>
                    </a:stretch>
                  </pic:blipFill>
                  <pic:spPr>
                    <a:xfrm>
                      <a:off x="0" y="0"/>
                      <a:ext cx="5486400" cy="2935840"/>
                    </a:xfrm>
                    <a:prstGeom prst="rect"/>
                  </pic:spPr>
                </pic:pic>
              </a:graphicData>
            </a:graphic>
          </wp:inline>
        </w:drawing>
      </w:r>
    </w:p>
    <w:p>
      <w:pPr>
        <w:spacing w:lineRule="auto"/>
      </w:pPr>
      <w:r>
        <w:rPr>
          <w:rFonts w:eastAsia="Georgia" w:cs="Georgia" w:ascii="Georgia" w:hAnsi="Georgia"/>
        </w:rPr>
        <w:t xml:space="preserve">Fig. 1 : mouvement d'une tranche d'épaisseur dz</w:t>
      </w:r>
    </w:p>
    <w:p>
      <w:pPr>
        <w:spacing w:after="220" w:lineRule="auto"/>
      </w:pPr>
      <m:oMath>
        <m:r>
          <m:rPr>
            <m:sty m:val="i"/>
          </m:rPr>
          <m:t>◻</m:t>
        </m:r>
        <m:r>
          <m:rPr>
            <m:sty m:val="p"/>
          </m:rPr>
          <m:t>1</m:t>
        </m:r>
      </m:oMath>
      <w:r>
        <w:rPr>
          <w:rFonts w:eastAsia="Georgia" w:cs="Georgia" w:ascii="Georgia" w:hAnsi="Georgia"/>
        </w:rPr>
        <w:t xml:space="preserve">-En appliquant le principe fondamental de la dynamique à une tranche d'épaisseur dz à l'abscisse </w:t>
      </w:r>
      <m:oMath>
        <m:r>
          <m:rPr>
            <m:sty m:val="i"/>
          </m:rPr>
          <m:t>z</m:t>
        </m:r>
      </m:oMath>
      <w:r>
        <w:rPr>
          <w:rFonts w:eastAsia="Georgia" w:cs="Georgia" w:ascii="Georgia" w:hAnsi="Georgia"/>
        </w:rPr>
        <w:t xml:space="preserve">, établir l'équation du mouvement </w:t>
      </w:r>
      <m:oMath>
        <m:f>
          <m:fPr>
            <m:ctrlPr>
              <w:rPr>
                <w:rFonts w:ascii="Cambria Math" w:hAnsi="Cambria Math"/>
              </w:rPr>
            </m:ctrlPr>
          </m:fPr>
          <m:num>
            <m:sSup>
              <m:sSupPr/>
              <m:e>
                <m:r>
                  <m:rPr>
                    <m:sty m:val="i"/>
                  </m:rPr>
                  <m:t>∂</m:t>
                </m:r>
              </m:e>
              <m:sup>
                <m:r>
                  <m:rPr>
                    <m:sty m:val="p"/>
                  </m:rPr>
                  <m:t>2</m:t>
                </m:r>
              </m:sup>
            </m:sSup>
            <m:r>
              <m:rPr>
                <m:sty m:val="i"/>
              </m:rPr>
              <m:t>a</m:t>
            </m:r>
          </m:num>
          <m:den>
            <m:r>
              <m:rPr>
                <m:sty m:val="i"/>
              </m:rPr>
              <m:t>∂</m:t>
            </m:r>
            <m:sSup>
              <m:sSupPr/>
              <m:e>
                <m:r>
                  <m:rPr>
                    <m:sty m:val="i"/>
                  </m:rPr>
                  <m:t>t</m:t>
                </m:r>
              </m:e>
              <m:sup>
                <m:r>
                  <m:rPr>
                    <m:sty m:val="p"/>
                  </m:rPr>
                  <m:t>2</m:t>
                </m:r>
              </m:sup>
            </m:sSup>
          </m:den>
        </m:f>
        <m:r>
          <m:rPr>
            <m:sty m:val="p"/>
          </m:rPr>
          <m:t>=</m:t>
        </m:r>
        <m:sSup>
          <m:sSupPr/>
          <m:e>
            <m:r>
              <m:rPr>
                <m:sty m:val="i"/>
              </m:rPr>
              <m:t>c</m:t>
            </m:r>
          </m:e>
          <m:sup>
            <m:r>
              <m:rPr>
                <m:sty m:val="p"/>
              </m:rPr>
              <m:t>2</m:t>
            </m:r>
          </m:sup>
        </m:sSup>
        <m:f>
          <m:fPr>
            <m:ctrlPr>
              <w:rPr>
                <w:rFonts w:ascii="Cambria Math" w:hAnsi="Cambria Math"/>
              </w:rPr>
            </m:ctrlPr>
          </m:fPr>
          <m:num>
            <m:sSup>
              <m:sSupPr/>
              <m:e>
                <m:r>
                  <m:rPr>
                    <m:sty m:val="i"/>
                  </m:rPr>
                  <m:t>∂</m:t>
                </m:r>
              </m:e>
              <m:sup>
                <m:r>
                  <m:rPr>
                    <m:sty m:val="p"/>
                  </m:rPr>
                  <m:t>2</m:t>
                </m:r>
              </m:sup>
            </m:sSup>
            <m:r>
              <m:rPr>
                <m:sty m:val="i"/>
              </m:rPr>
              <m:t>a</m:t>
            </m:r>
          </m:num>
          <m:den>
            <m:r>
              <m:rPr>
                <m:sty m:val="i"/>
              </m:rPr>
              <m:t>∂</m:t>
            </m:r>
            <m:sSup>
              <m:sSupPr/>
              <m:e>
                <m:r>
                  <m:rPr>
                    <m:sty m:val="i"/>
                  </m:rPr>
                  <m:t>z</m:t>
                </m:r>
              </m:e>
              <m:sup>
                <m:r>
                  <m:rPr>
                    <m:sty m:val="p"/>
                  </m:rPr>
                  <m:t>2</m:t>
                </m:r>
              </m:sup>
            </m:sSup>
          </m:den>
        </m:f>
      </m:oMath>
      <w:r>
        <w:rPr>
          <w:rFonts w:eastAsia="Georgia" w:cs="Georgia" w:ascii="Georgia" w:hAnsi="Georgia"/>
        </w:rPr>
        <w:t xml:space="preserve">. Vérifier la dimension de </w:t>
      </w:r>
      <m:oMath>
        <m:r>
          <m:rPr>
            <m:sty m:val="p"/>
          </m:rPr>
          <m:t xml:space="preserve"> </m:t>
        </m:r>
        <m:r>
          <m:rPr>
            <m:sty m:val="i"/>
          </m:rPr>
          <m:t>c</m:t>
        </m:r>
        <m:r>
          <m:rPr>
            <m:sty m:val="p"/>
          </m:rPr>
          <m:t>=</m:t>
        </m:r>
        <m:rad>
          <m:radPr>
            <m:degHide m:val="1"/>
            <m:ctrlPr>
              <w:rPr>
                <w:rFonts w:ascii="Cambria Math" w:hAnsi="Cambria Math"/>
              </w:rPr>
            </m:ctrlPr>
          </m:radPr>
          <m:deg/>
          <m:e>
            <m:f>
              <m:fPr>
                <m:ctrlPr>
                  <w:rPr>
                    <w:rFonts w:ascii="Cambria Math" w:hAnsi="Cambria Math"/>
                  </w:rPr>
                </m:ctrlPr>
              </m:fPr>
              <m:num>
                <m:r>
                  <m:rPr>
                    <m:sty m:val="i"/>
                  </m:rPr>
                  <m:t>Y</m:t>
                </m:r>
              </m:num>
              <m:den>
                <m:r>
                  <m:rPr>
                    <m:sty m:val="i"/>
                  </m:rPr>
                  <m:t>ρ</m:t>
                </m:r>
              </m:den>
            </m:f>
          </m:e>
        </m:rad>
      </m:oMath>
      <w:r>
        <w:rPr>
          <w:rFonts w:eastAsia="Georgia" w:cs="Georgia" w:ascii="Georgia" w:hAnsi="Georgia"/>
        </w:rPr>
        <w:t xml:space="preserve">. On ne considérera dorénavant que des ondes se déplaçant dans une seule direction</w:t>
      </w:r>
    </w:p>
    <w:p>
      <w:pPr>
        <w:spacing w:line="271" w:before="330" w:lineRule="auto"/>
      </w:pPr>
      <w:r>
        <w:rPr>
          <w:rFonts w:eastAsia="Georgia" w:cs="Georgia" w:ascii="Georgia" w:hAnsi="Georgia"/>
          <w:b/>
          <w:sz w:val="42"/>
        </w:rPr>
        <w:t xml:space="preserve">A Émetteur, structure de l’onde ultrasonore</w:t>
      </w:r>
    </w:p>
    <w:p>
      <w:pPr>
        <w:spacing w:line="271" w:before="330" w:lineRule="auto"/>
      </w:pPr>
      <w:r>
        <w:rPr>
          <w:rFonts w:eastAsia="Georgia" w:cs="Georgia" w:ascii="Georgia" w:hAnsi="Georgia"/>
          <w:b/>
          <w:sz w:val="42"/>
        </w:rPr>
        <w:t xml:space="preserve">Excitation de la lame de céramique</w:t>
      </w:r>
    </w:p>
    <w:p>
      <w:pPr>
        <w:spacing w:after="220" w:lineRule="auto"/>
      </w:pPr>
      <m:oMath>
        <m:r>
          <m:rPr>
            <m:sty m:val="i"/>
          </m:rPr>
          <m:t>◻</m:t>
        </m:r>
        <m:r>
          <m:rPr>
            <m:sty m:val="p"/>
          </m:rPr>
          <m:t>2</m:t>
        </m:r>
      </m:oMath>
      <w:r>
        <w:rPr>
          <w:rFonts w:eastAsia="Georgia" w:cs="Georgia" w:ascii="Georgia" w:hAnsi="Georgia"/>
        </w:rPr>
        <w:t xml:space="preserve"> - Évaluer la célérité des ondes pour le titanate zirconate de plomb, matériau couramment utilisé, et pour lequel </w:t>
      </w:r>
      <m:oMath>
        <m:r>
          <m:rPr>
            <m:sty m:val="i"/>
          </m:rPr>
          <m:t>ρ</m:t>
        </m:r>
        <m:r>
          <m:rPr>
            <m:sty m:val="p"/>
          </m:rPr>
          <m:t>≈</m:t>
        </m:r>
        <m:r>
          <m:rPr>
            <m:sty m:val="p"/>
          </m:rPr>
          <m:t>3</m:t>
        </m:r>
        <m:r>
          <m:rPr>
            <m:sty m:val="p"/>
          </m:rPr>
          <m:t>,</m:t>
        </m:r>
        <m:r>
          <m:rPr>
            <m:sty m:val="p"/>
          </m:rPr>
          <m:t>5</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r>
          <m:rPr>
            <m:sty m:val="p"/>
          </m:rPr>
          <m:t>,</m:t>
        </m:r>
        <m:r>
          <m:rPr>
            <m:sty m:val="i"/>
          </m:rPr>
          <m:t>Y</m:t>
        </m:r>
        <m:r>
          <m:rPr>
            <m:sty m:val="p"/>
          </m:rPr>
          <m:t>≈</m:t>
        </m:r>
        <m:r>
          <m:rPr>
            <m:sty m:val="p"/>
          </m:rPr>
          <m:t>5</m:t>
        </m:r>
        <m:r>
          <m:rPr>
            <m:sty m:val="p"/>
          </m:rPr>
          <m:t>×</m:t>
        </m:r>
        <m:sSup>
          <m:sSupPr/>
          <m:e>
            <m:r>
              <m:rPr>
                <m:sty m:val="p"/>
              </m:rPr>
              <m:t>10</m:t>
            </m:r>
          </m:e>
          <m:sup>
            <m:r>
              <m:rPr>
                <m:sty m:val="p"/>
              </m:rPr>
              <m:t>10</m:t>
            </m:r>
          </m:sup>
        </m:sSup>
        <m:r>
          <m:rPr>
            <m:nor/>
          </m:rPr>
          <m:t xml:space="preserve"> </m:t>
        </m:r>
        <m:r>
          <m:rPr>
            <m:sty m:val="p"/>
          </m:rPr>
          <m:t>N</m:t>
        </m:r>
        <m:r>
          <m:rPr>
            <m:sty m:val="p"/>
          </m:rPr>
          <m:t>⋅</m:t>
        </m:r>
        <m:sSup>
          <m:sSupPr/>
          <m:e>
            <m:r>
              <m:rPr>
                <m:nor/>
              </m:rPr>
              <m:t xml:space="preserve"> </m:t>
            </m:r>
            <m:r>
              <m:rPr>
                <m:sty m:val="p"/>
              </m:rPr>
              <m:t>m</m:t>
            </m:r>
          </m:e>
          <m:sup>
            <m:r>
              <m:rPr>
                <m:sty m:val="p"/>
              </m:rPr>
              <m:t>−</m:t>
            </m:r>
            <m:r>
              <m:rPr>
                <m:sty m:val="p"/>
              </m:rPr>
              <m:t>2</m:t>
            </m:r>
          </m:sup>
        </m:sSup>
      </m:oMath>
      <w:r>
        <w:rPr>
          <w:rFonts w:eastAsia="Georgia" w:cs="Georgia" w:ascii="Georgia" w:hAnsi="Georgia"/>
        </w:rPr>
        <w:t xml:space="preserve">. Pour les ondes se propageant dans un disque de céramique, les deux faces correspondent-elles à un nœud ou à un ventre de pression ?</w:t>
      </w:r>
      <w:r>
        <w:rPr/>
        <w:br w:type="textWrapping"/>
      </w:r>
      <m:oMath>
        <m:r>
          <m:rPr>
            <m:sty m:val="i"/>
          </m:rPr>
          <m:t>◻</m:t>
        </m:r>
        <m:r>
          <m:rPr>
            <m:sty m:val="p"/>
          </m:rPr>
          <m:t>3</m:t>
        </m:r>
      </m:oMath>
      <w:r>
        <w:rPr>
          <w:rFonts w:eastAsia="Georgia" w:cs="Georgia" w:ascii="Georgia" w:hAnsi="Georgia"/>
        </w:rPr>
        <w:t xml:space="preserve"> - Déterminer </w:t>
      </w:r>
      <m:oMath>
        <m:sSub>
          <m:sSubPr/>
          <m:e>
            <m:r>
              <m:rPr>
                <m:sty m:val="i"/>
              </m:rPr>
              <m:t>e</m:t>
            </m:r>
          </m:e>
          <m:sub>
            <m:r>
              <m:rPr>
                <m:sty m:val="p"/>
              </m:rPr>
              <m:t>L</m:t>
            </m:r>
          </m:sub>
        </m:sSub>
      </m:oMath>
      <w:r>
        <w:rPr/>
        <w:t xml:space="preserve"> pour </w:t>
      </w:r>
      <m:oMath>
        <m:sSub>
          <m:sSubPr/>
          <m:e>
            <m:r>
              <m:rPr>
                <m:sty m:val="i"/>
              </m:rPr>
              <m:t>v</m:t>
            </m:r>
          </m:e>
          <m:sub>
            <m:r>
              <m:rPr>
                <m:sty m:val="p"/>
              </m:rPr>
              <m:t>p</m:t>
            </m:r>
          </m:sub>
        </m:sSub>
        <m:r>
          <m:rPr>
            <m:sty m:val="p"/>
          </m:rPr>
          <m:t>=</m:t>
        </m:r>
        <m:r>
          <m:rPr>
            <m:sty m:val="p"/>
          </m:rPr>
          <m:t>8</m:t>
        </m:r>
        <m:r>
          <m:rPr>
            <m:sty m:val="p"/>
          </m:rPr>
          <m:t>,</m:t>
        </m:r>
        <m:r>
          <m:rPr>
            <m:sty m:val="p"/>
          </m:rPr>
          <m:t>4</m:t>
        </m:r>
        <m:r>
          <m:rPr>
            <m:sty m:val="p"/>
          </m:rPr>
          <m:t>MHz</m:t>
        </m:r>
      </m:oMath>
      <w:r>
        <w:rPr/>
        <w:t xml:space="preserve"> puis </w:t>
      </w:r>
      <m:oMath>
        <m:sSub>
          <m:sSubPr/>
          <m:e>
            <m:r>
              <m:rPr>
                <m:sty m:val="i"/>
              </m:rPr>
              <m:t>v</m:t>
            </m:r>
          </m:e>
          <m:sub>
            <m:r>
              <m:rPr>
                <m:sty m:val="p"/>
              </m:rPr>
              <m:t>p</m:t>
            </m:r>
          </m:sub>
        </m:sSub>
        <m:r>
          <m:rPr>
            <m:sty m:val="p"/>
          </m:rPr>
          <m:t>=</m:t>
        </m:r>
        <m:r>
          <m:rPr>
            <m:sty m:val="p"/>
          </m:rPr>
          <m:t>4</m:t>
        </m:r>
        <m:r>
          <m:rPr>
            <m:sty m:val="p"/>
          </m:rPr>
          <m:t>,</m:t>
        </m:r>
        <m:r>
          <m:rPr>
            <m:sty m:val="p"/>
          </m:rPr>
          <m:t>2</m:t>
        </m:r>
        <m:r>
          <m:rPr>
            <m:sty m:val="p"/>
          </m:rPr>
          <m:t>MHz</m:t>
        </m:r>
      </m:oMath>
      <w:r>
        <w:rPr>
          <w:rFonts w:eastAsia="Georgia" w:cs="Georgia" w:ascii="Georgia" w:hAnsi="Georgia"/>
        </w:rPr>
        <w:t xml:space="preserve">. Expérimentalement, on constate que la fréquence propre d'une lame de céramique d'épaisseur </w:t>
      </w:r>
      <m:oMath>
        <m:sSub>
          <m:sSubPr/>
          <m:e>
            <m:r>
              <m:rPr>
                <m:sty m:val="i"/>
              </m:rPr>
              <m:t>e</m:t>
            </m:r>
          </m:e>
          <m:sub>
            <m:r>
              <m:rPr>
                <m:sty m:val="p"/>
              </m:rPr>
              <m:t>L</m:t>
            </m:r>
          </m:sub>
        </m:sSub>
      </m:oMath>
      <w:r>
        <w:rPr/>
        <w:t xml:space="preserve"> est </w:t>
      </w:r>
      <m:oMath>
        <m:sSub>
          <m:sSubPr/>
          <m:e>
            <m:r>
              <m:rPr>
                <m:sty m:val="i"/>
              </m:rPr>
              <m:t>v</m:t>
            </m:r>
          </m:e>
          <m:sub>
            <m:r>
              <m:rPr>
                <m:sty m:val="p"/>
              </m:rPr>
              <m:t>p</m:t>
            </m:r>
          </m:sub>
        </m:sSub>
        <m:r>
          <m:rPr>
            <m:sty m:val="p"/>
          </m:rPr>
          <m:t>=</m:t>
        </m:r>
        <m:r>
          <m:rPr>
            <m:sty m:val="p"/>
          </m:rPr>
          <m:t>1850</m:t>
        </m:r>
        <m:r>
          <m:rPr>
            <m:sty m:val="p"/>
          </m:rPr>
          <m:t>/</m:t>
        </m:r>
        <m:sSub>
          <m:sSubPr/>
          <m:e>
            <m:r>
              <m:rPr>
                <m:sty m:val="i"/>
              </m:rPr>
              <m:t>e</m:t>
            </m:r>
          </m:e>
          <m:sub>
            <m:r>
              <m:rPr>
                <m:sty m:val="p"/>
              </m:rPr>
              <m:t>L</m:t>
            </m:r>
          </m:sub>
        </m:sSub>
      </m:oMath>
      <w:r>
        <w:rPr/>
        <w:t xml:space="preserve">.</w:t>
      </w:r>
    </w:p>
    <w:p>
      <w:pPr>
        <w:numPr>
          <w:ilvl w:val="0"/>
          <w:numId w:val="2"/>
        </w:numPr>
        <w:spacing w:lineRule="auto"/>
      </w:pPr>
      <w:r>
        <w:rPr>
          <w:rFonts w:eastAsia="Georgia" w:cs="Georgia" w:ascii="Georgia" w:hAnsi="Georgia"/>
        </w:rPr>
        <w:t xml:space="preserve">4 - La lame de céramique est excitée par un générateur émettant des impulsions électriques périodiques (fréquence de répétition réglable </w:t>
      </w:r>
      <m:oMath>
        <m:sSub>
          <m:sSubPr/>
          <m:e>
            <m:r>
              <m:rPr>
                <m:sty m:val="i"/>
              </m:rPr>
              <m:t>f</m:t>
            </m:r>
          </m:e>
          <m:sub>
            <m:r>
              <m:rPr>
                <m:sty m:val="p"/>
              </m:rPr>
              <m:t>R</m:t>
            </m:r>
          </m:sub>
        </m:sSub>
      </m:oMath>
      <w:r>
        <w:rPr>
          <w:rFonts w:eastAsia="Georgia" w:cs="Georgia" w:ascii="Georgia" w:hAnsi="Georgia"/>
        </w:rPr>
        <w:t xml:space="preserve"> de 1 à 30 kHz ) de durée </w:t>
      </w:r>
      <m:oMath>
        <m:r>
          <m:rPr>
            <m:sty m:val="i"/>
          </m:rPr>
          <m:t>T</m:t>
        </m:r>
      </m:oMath>
      <w:r>
        <w:rPr/>
        <w:t xml:space="preserve"> variable entre 40 et 900 ns , ( </w:t>
      </w:r>
      <m:oMath>
        <m:r>
          <m:rPr>
            <m:sty m:val="p"/>
          </m:rPr>
          <m:t>1</m:t>
        </m:r>
        <m:r>
          <m:rPr>
            <m:nor/>
          </m:rPr>
          <m:t xml:space="preserve"> </m:t>
        </m:r>
        <m:r>
          <m:rPr>
            <m:sty m:val="p"/>
          </m:rPr>
          <m:t>ns</m:t>
        </m:r>
        <m:r>
          <m:rPr>
            <m:sty m:val="p"/>
          </m:rPr>
          <m:t>=</m:t>
        </m:r>
        <m:sSup>
          <m:sSupPr/>
          <m:e>
            <m:r>
              <m:rPr>
                <m:sty m:val="p"/>
              </m:rPr>
              <m:t>10</m:t>
            </m:r>
          </m:e>
          <m:sup>
            <m:r>
              <m:rPr>
                <m:sty m:val="p"/>
              </m:rPr>
              <m:t>−</m:t>
            </m:r>
            <m:r>
              <m:rPr>
                <m:sty m:val="p"/>
              </m:rPr>
              <m:t>9</m:t>
            </m:r>
          </m:sup>
        </m:sSup>
        <m:r>
          <m:rPr>
            <m:nor/>
          </m:rPr>
          <m:t xml:space="preserve"> </m:t>
        </m:r>
        <m:r>
          <m:rPr>
            <m:sty m:val="p"/>
          </m:rPr>
          <m:t>s</m:t>
        </m:r>
      </m:oMath>
      <w:r>
        <w:rPr/>
        <w:t xml:space="preserve"> ) et de forme </w:t>
      </w:r>
      <m:oMath>
        <m:r>
          <m:rPr>
            <m:sty m:val="i"/>
          </m:rPr>
          <m:t>E</m:t>
        </m:r>
        <m:r>
          <m:rPr>
            <m:sty m:val="p"/>
          </m:rPr>
          <m:t>(</m:t>
        </m:r>
        <m:r>
          <m:rPr>
            <m:sty m:val="i"/>
          </m:rPr>
          <m:t>t</m:t>
        </m:r>
        <m:r>
          <m:rPr>
            <m:sty m:val="p"/>
          </m:rPr>
          <m:t>)</m:t>
        </m:r>
      </m:oMath>
      <w:r>
        <w:rPr>
          <w:rFonts w:eastAsia="Georgia" w:cs="Georgia" w:ascii="Georgia" w:hAnsi="Georgia"/>
        </w:rPr>
        <w:t xml:space="preserve"> que l'on considérera comme rectangulaire (fig. 2). L'analyse de Fourier de ce signal est ( </w:t>
      </w:r>
      <m:oMath>
        <m:sSup>
          <m:sSupPr/>
          <m:e>
            <m:r>
              <m:rPr>
                <m:sty m:val="i"/>
              </m:rPr>
              <m:t>j</m:t>
            </m:r>
          </m:e>
          <m:sup>
            <m:r>
              <m:rPr>
                <m:sty m:val="p"/>
              </m:rPr>
              <m:t>2</m:t>
            </m:r>
          </m:sup>
        </m:sSup>
        <m:r>
          <m:rPr>
            <m:sty m:val="p"/>
          </m:rPr>
          <m:t>=</m:t>
        </m:r>
        <m:r>
          <m:rPr>
            <m:sty m:val="p"/>
          </m:rPr>
          <m:t>−</m:t>
        </m:r>
        <m:r>
          <m:rPr>
            <m:sty m:val="p"/>
          </m:rPr>
          <m:t>1</m:t>
        </m:r>
      </m:oMath>
      <w:r>
        <w:rPr/>
        <w:t xml:space="preserve"> )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i"/>
                  </m:rPr>
                  <m:t>E</m:t>
                </m:r>
                <m:r>
                  <m:rPr>
                    <m:sty m:val="p"/>
                  </m:rPr>
                  <m:t>(</m:t>
                </m:r>
                <m:r>
                  <m:rPr>
                    <m:sty m:val="i"/>
                  </m:rPr>
                  <m:t>t</m:t>
                </m:r>
                <m:r>
                  <m:rPr>
                    <m:sty m:val="p"/>
                  </m:rPr>
                  <m:t>)</m:t>
                </m:r>
                <m:r>
                  <m:rPr>
                    <m:sty m:val="p"/>
                  </m:rPr>
                  <m:t>=</m:t>
                </m:r>
                <m:m>
                  <m:mPr>
                    <m:plcHide m:val="1"/>
                    <m:cGpRule m:val="0"/>
                    <m:mcs>
                      <m:mc>
                        <m:mcPr>
                          <m:count m:val="1"/>
                          <m:mcJc m:val="left"/>
                        </m:mcPr>
                      </m:mc>
                      <m:mc>
                        <m:mcPr>
                          <m:count m:val="1"/>
                          <m:mcJc m:val="left"/>
                        </m:mcPr>
                      </m:mc>
                    </m:mcs>
                    <m:ctrlPr>
                      <w:rPr>
                        <w:rFonts w:ascii="Cambria Math" w:hAnsi="Cambria Math"/>
                        <w:i/>
                      </w:rPr>
                    </m:ctrlPr>
                  </m:mPr>
                  <m:mr>
                    <m:e>
                      <m:r>
                        <m:rPr>
                          <m:sty m:val="p"/>
                        </m:rPr>
                        <m:t>−</m:t>
                      </m:r>
                      <m:nary>
                        <m:naryPr>
                          <m:chr m:val="∫"/>
                          <m:limLoc m:val="subSup"/>
                          <m:grow m:val="1"/>
                        </m:naryPr>
                        <m:sub>
                          <m:r>
                            <m:rPr>
                              <m:sty m:val="p"/>
                            </m:rPr>
                            <m:t>0</m:t>
                          </m:r>
                        </m:sub>
                        <m:sup>
                          <m:r>
                            <m:rPr>
                              <m:sty m:val="p"/>
                            </m:rPr>
                            <m:t>∞</m:t>
                          </m:r>
                        </m:sup>
                        <m:e>
                          <m:r>
                            <m:rPr>
                              <m:sty m:val="p"/>
                            </m:rPr>
                            <m:t xml:space="preserve"> </m:t>
                          </m:r>
                        </m:e>
                      </m:nary>
                      <m:r>
                        <m:rPr>
                          <m:sty m:val="p"/>
                        </m:rPr>
                        <m:t xml:space="preserve"> </m:t>
                      </m:r>
                      <m:r>
                        <m:rPr>
                          <m:sty m:val="i"/>
                        </m:rPr>
                        <m:t>a</m:t>
                      </m:r>
                      <m:r>
                        <m:rPr>
                          <m:sty m:val="p"/>
                        </m:rPr>
                        <m:t>(</m:t>
                      </m:r>
                      <m:r>
                        <m:rPr>
                          <m:sty m:val="i"/>
                        </m:rPr>
                        <m:t>ν</m:t>
                      </m:r>
                      <m:r>
                        <m:rPr>
                          <m:sty m:val="p"/>
                        </m:rPr>
                        <m:t>)</m:t>
                      </m:r>
                      <m:r>
                        <m:rPr>
                          <m:sty m:val="p"/>
                        </m:rPr>
                        <m:t>cos</m:t>
                      </m:r>
                      <m:r>
                        <m:rPr>
                          <m:sty m:val="p"/>
                        </m:rPr>
                        <m:t>⁡</m:t>
                      </m:r>
                      <m:r>
                        <m:rPr>
                          <m:sty m:val="p"/>
                        </m:rPr>
                        <m:t>(</m:t>
                      </m:r>
                      <m:r>
                        <m:rPr>
                          <m:sty m:val="p"/>
                        </m:rPr>
                        <m:t>2</m:t>
                      </m:r>
                      <m:r>
                        <m:rPr>
                          <m:sty m:val="i"/>
                        </m:rPr>
                        <m:t>π</m:t>
                      </m:r>
                      <m:r>
                        <m:rPr>
                          <m:sty m:val="i"/>
                        </m:rPr>
                        <m:t>ν</m:t>
                      </m:r>
                      <m:r>
                        <m:rPr>
                          <m:sty m:val="i"/>
                        </m:rPr>
                        <m:t>t</m:t>
                      </m:r>
                      <m:r>
                        <m:rPr>
                          <m:sty m:val="p"/>
                        </m:rPr>
                        <m:t>)</m:t>
                      </m:r>
                      <m:r>
                        <m:rPr>
                          <m:sty m:val="p"/>
                        </m:rPr>
                        <m:t>d</m:t>
                      </m:r>
                      <m:r>
                        <m:rPr>
                          <m:sty m:val="i"/>
                        </m:rPr>
                        <m:t>ν</m:t>
                      </m:r>
                      <m:r>
                        <m:rPr>
                          <m:sty m:val="p"/>
                        </m:rPr>
                        <m:t xml:space="preserve"> </m:t>
                      </m:r>
                      <m:r>
                        <m:rPr>
                          <m:sty m:val="p"/>
                        </m:rPr>
                        <m:t>(</m:t>
                      </m:r>
                      <m:r>
                        <m:rPr>
                          <m:sty m:val="i"/>
                        </m:rPr>
                        <m:t>ν</m:t>
                      </m:r>
                      <m:r>
                        <m:rPr>
                          <m:sty m:val="p"/>
                        </m:rPr>
                        <m:t>≥</m:t>
                      </m:r>
                      <m:r>
                        <m:rPr>
                          <m:sty m:val="p"/>
                        </m:rPr>
                        <m:t>0</m:t>
                      </m:r>
                      <m:r>
                        <m:rPr>
                          <m:sty m:val="p"/>
                        </m:rPr>
                        <m:t>)</m:t>
                      </m:r>
                    </m:e>
                  </m:mr>
                  <m:mr>
                    <m:e>
                      <m:r>
                        <m:rPr>
                          <m:sty m:val="p"/>
                        </m:rPr>
                        <m:t>−</m:t>
                      </m:r>
                      <m:nary>
                        <m:naryPr>
                          <m:chr m:val="∫"/>
                          <m:limLoc m:val="subSup"/>
                          <m:grow m:val="1"/>
                        </m:naryPr>
                        <m:sub>
                          <m:r>
                            <m:rPr>
                              <m:sty m:val="p"/>
                            </m:rPr>
                            <m:t>−</m:t>
                          </m:r>
                          <m:r>
                            <m:rPr>
                              <m:sty m:val="p"/>
                            </m:rPr>
                            <m:t>∞</m:t>
                          </m:r>
                        </m:sub>
                        <m:sup>
                          <m:r>
                            <m:rPr>
                              <m:sty m:val="p"/>
                            </m:rPr>
                            <m:t>+</m:t>
                          </m:r>
                          <m:r>
                            <m:rPr>
                              <m:sty m:val="p"/>
                            </m:rPr>
                            <m:t>∞</m:t>
                          </m:r>
                        </m:sup>
                        <m:e>
                          <m:r>
                            <m:rPr>
                              <m:sty m:val="p"/>
                            </m:rPr>
                            <m:t xml:space="preserve"> </m:t>
                          </m:r>
                        </m:e>
                      </m:nary>
                      <m:r>
                        <m:rPr>
                          <m:sty m:val="p"/>
                        </m:rPr>
                        <m:t xml:space="preserve"> </m:t>
                      </m:r>
                      <m:r>
                        <m:rPr>
                          <m:sty m:val="p"/>
                        </m:rPr>
                        <m:t>Φ</m:t>
                      </m:r>
                      <m:r>
                        <m:rPr>
                          <m:sty m:val="p"/>
                        </m:rPr>
                        <m:t>(</m:t>
                      </m:r>
                      <m:r>
                        <m:rPr>
                          <m:sty m:val="i"/>
                        </m:rPr>
                        <m:t>ν</m:t>
                      </m:r>
                      <m:r>
                        <m:rPr>
                          <m:sty m:val="p"/>
                        </m:rPr>
                        <m:t>)</m:t>
                      </m:r>
                      <m:r>
                        <m:rPr>
                          <m:sty m:val="p"/>
                        </m:rPr>
                        <m:t>exp</m:t>
                      </m:r>
                      <m:r>
                        <m:rPr>
                          <m:sty m:val="p"/>
                        </m:rPr>
                        <m:t>⁡</m:t>
                      </m:r>
                      <m:r>
                        <m:rPr>
                          <m:sty m:val="p"/>
                        </m:rPr>
                        <m:t>(</m:t>
                      </m:r>
                      <m:r>
                        <m:rPr>
                          <m:sty m:val="p"/>
                        </m:rPr>
                        <m:t>2</m:t>
                      </m:r>
                      <m:r>
                        <m:rPr>
                          <m:sty m:val="i"/>
                        </m:rPr>
                        <m:t>j</m:t>
                      </m:r>
                      <m:r>
                        <m:rPr>
                          <m:sty m:val="i"/>
                        </m:rPr>
                        <m:t>π</m:t>
                      </m:r>
                      <m:r>
                        <m:rPr>
                          <m:sty m:val="i"/>
                        </m:rPr>
                        <m:t>ν</m:t>
                      </m:r>
                      <m:r>
                        <m:rPr>
                          <m:sty m:val="i"/>
                        </m:rPr>
                        <m:t>t</m:t>
                      </m:r>
                      <m:r>
                        <m:rPr>
                          <m:sty m:val="p"/>
                        </m:rPr>
                        <m:t>)</m:t>
                      </m:r>
                      <m:r>
                        <m:rPr>
                          <m:sty m:val="p"/>
                        </m:rPr>
                        <m:t>d</m:t>
                      </m:r>
                      <m:r>
                        <m:rPr>
                          <m:sty m:val="i"/>
                        </m:rPr>
                        <m:t>ν</m:t>
                      </m:r>
                    </m:e>
                  </m:mr>
                </m:m>
              </m:e>
            </m:mr>
            <m:mr>
              <m:e/>
              <m:e>
                <m:r>
                  <m:rPr>
                    <m:sty m:val="i"/>
                  </m:rPr>
                  <m:t xml:space="preserve"> </m:t>
                </m:r>
                <m:r>
                  <m:rPr>
                    <m:sty m:val="p"/>
                  </m:rPr>
                  <m:t>⇔</m:t>
                </m:r>
              </m:e>
            </m:mr>
          </m:m>
          <m:r>
            <m:rPr>
              <m:sty m:val="p"/>
            </m:rPr>
            <m:t xml:space="preserve"> </m:t>
          </m:r>
          <m:m>
            <m:mPr>
              <m:plcHide m:val="1"/>
              <m:cGpRule m:val="4"/>
              <m:mcs>
                <m:mc>
                  <m:mcPr>
                    <m:count m:val="1"/>
                    <m:mcJc m:val="right"/>
                  </m:mcPr>
                </m:mc>
                <m:mc>
                  <m:mcPr>
                    <m:count m:val="1"/>
                    <m:mcJc m:val="left"/>
                  </m:mcPr>
                </m:mc>
              </m:mcs>
              <m:ctrlPr>
                <w:rPr>
                  <w:rFonts w:ascii="Cambria Math" w:hAnsi="Cambria Math"/>
                  <w:i/>
                </w:rPr>
              </m:ctrlPr>
            </m:mPr>
            <m:mr>
              <m:e/>
              <m:e>
                <m:r>
                  <m:rPr>
                    <m:sty m:val="i"/>
                  </m:rPr>
                  <m:t>◻</m:t>
                </m:r>
                <m:r>
                  <m:rPr>
                    <m:sty m:val="i"/>
                  </m:rPr>
                  <m:t>a</m:t>
                </m:r>
                <m:r>
                  <m:rPr>
                    <m:sty m:val="p"/>
                  </m:rPr>
                  <m:t>(</m:t>
                </m:r>
                <m:r>
                  <m:rPr>
                    <m:sty m:val="i"/>
                  </m:rPr>
                  <m:t>ν</m:t>
                </m:r>
                <m:r>
                  <m:rPr>
                    <m:sty m:val="p"/>
                  </m:rPr>
                  <m:t>)</m:t>
                </m:r>
                <m:r>
                  <m:rPr>
                    <m:sty m:val="p"/>
                  </m:rPr>
                  <m:t>=</m:t>
                </m:r>
                <m:r>
                  <m:rPr>
                    <m:sty m:val="p"/>
                  </m:rPr>
                  <m:t>2</m:t>
                </m:r>
                <m:sSub>
                  <m:sSubPr/>
                  <m:e>
                    <m:r>
                      <m:rPr>
                        <m:sty m:val="i"/>
                      </m:rPr>
                      <m:t>E</m:t>
                    </m:r>
                  </m:e>
                  <m:sub>
                    <m:r>
                      <m:rPr>
                        <m:sty m:val="p"/>
                      </m:rPr>
                      <m:t>0</m:t>
                    </m:r>
                  </m:sub>
                </m:sSub>
                <m:r>
                  <m:rPr>
                    <m:sty m:val="i"/>
                  </m:rPr>
                  <m:t>T</m:t>
                </m:r>
                <m:f>
                  <m:fPr>
                    <m:ctrlPr>
                      <w:rPr>
                        <w:rFonts w:ascii="Cambria Math" w:hAnsi="Cambria Math"/>
                      </w:rPr>
                    </m:ctrlPr>
                  </m:fPr>
                  <m:num>
                    <m:r>
                      <m:rPr>
                        <m:sty m:val="p"/>
                      </m:rPr>
                      <m:t>sin</m:t>
                    </m:r>
                    <m:r>
                      <m:rPr>
                        <m:sty m:val="p"/>
                      </m:rPr>
                      <m:t>⁡</m:t>
                    </m:r>
                    <m:r>
                      <m:rPr>
                        <m:sty m:val="p"/>
                      </m:rPr>
                      <m:t>(</m:t>
                    </m:r>
                    <m:r>
                      <m:rPr>
                        <m:sty m:val="i"/>
                      </m:rPr>
                      <m:t>π</m:t>
                    </m:r>
                    <m:r>
                      <m:rPr>
                        <m:sty m:val="i"/>
                      </m:rPr>
                      <m:t>ν</m:t>
                    </m:r>
                    <m:r>
                      <m:rPr>
                        <m:sty m:val="i"/>
                      </m:rPr>
                      <m:t>t</m:t>
                    </m:r>
                    <m:r>
                      <m:rPr>
                        <m:sty m:val="p"/>
                      </m:rPr>
                      <m:t>)</m:t>
                    </m:r>
                  </m:num>
                  <m:den>
                    <m:r>
                      <m:rPr>
                        <m:sty m:val="i"/>
                      </m:rPr>
                      <m:t>π</m:t>
                    </m:r>
                    <m:r>
                      <m:rPr>
                        <m:sty m:val="i"/>
                      </m:rPr>
                      <m:t>ν</m:t>
                    </m:r>
                    <m:r>
                      <m:rPr>
                        <m:sty m:val="i"/>
                      </m:rPr>
                      <m:t>t</m:t>
                    </m:r>
                  </m:den>
                </m:f>
              </m:e>
            </m:mr>
            <m:mr>
              <m:e/>
              <m:e>
                <m:r>
                  <m:rPr>
                    <m:sty m:val="i"/>
                  </m:rPr>
                  <m:t xml:space="preserve"> </m:t>
                </m:r>
                <m:r>
                  <m:rPr>
                    <m:sty m:val="p"/>
                  </m:rPr>
                  <m:t>−</m:t>
                </m:r>
                <m:r>
                  <m:rPr>
                    <m:sty m:val="p"/>
                  </m:rPr>
                  <m:t>Φ</m:t>
                </m:r>
                <m:r>
                  <m:rPr>
                    <m:sty m:val="p"/>
                  </m:rPr>
                  <m:t>(</m:t>
                </m:r>
                <m:r>
                  <m:rPr>
                    <m:sty m:val="i"/>
                  </m:rPr>
                  <m:t>ν</m:t>
                </m:r>
                <m:r>
                  <m:rPr>
                    <m:sty m:val="p"/>
                  </m:rPr>
                  <m:t>)</m:t>
                </m:r>
                <m:r>
                  <m:rPr>
                    <m:sty m:val="p"/>
                  </m:rPr>
                  <m:t>=</m:t>
                </m:r>
                <m:sSub>
                  <m:sSubPr/>
                  <m:e>
                    <m:r>
                      <m:rPr>
                        <m:sty m:val="i"/>
                      </m:rPr>
                      <m:t>E</m:t>
                    </m:r>
                  </m:e>
                  <m:sub>
                    <m:r>
                      <m:rPr>
                        <m:sty m:val="p"/>
                      </m:rPr>
                      <m:t>0</m:t>
                    </m:r>
                  </m:sub>
                </m:sSub>
                <m:r>
                  <m:rPr>
                    <m:sty m:val="i"/>
                  </m:rPr>
                  <m:t>T</m:t>
                </m:r>
                <m:f>
                  <m:fPr>
                    <m:ctrlPr>
                      <w:rPr>
                        <w:rFonts w:ascii="Cambria Math" w:hAnsi="Cambria Math"/>
                      </w:rPr>
                    </m:ctrlPr>
                  </m:fPr>
                  <m:num>
                    <m:r>
                      <m:rPr>
                        <m:sty m:val="p"/>
                      </m:rPr>
                      <m:t>sin</m:t>
                    </m:r>
                    <m:r>
                      <m:rPr>
                        <m:sty m:val="p"/>
                      </m:rPr>
                      <m:t>⁡</m:t>
                    </m:r>
                    <m:r>
                      <m:rPr>
                        <m:sty m:val="p"/>
                      </m:rPr>
                      <m:t>(</m:t>
                    </m:r>
                    <m:r>
                      <m:rPr>
                        <m:sty m:val="i"/>
                      </m:rPr>
                      <m:t>π</m:t>
                    </m:r>
                    <m:r>
                      <m:rPr>
                        <m:sty m:val="i"/>
                      </m:rPr>
                      <m:t>ν</m:t>
                    </m:r>
                    <m:r>
                      <m:rPr>
                        <m:sty m:val="i"/>
                      </m:rPr>
                      <m:t>t</m:t>
                    </m:r>
                    <m:r>
                      <m:rPr>
                        <m:sty m:val="p"/>
                      </m:rPr>
                      <m:t>)</m:t>
                    </m:r>
                  </m:num>
                  <m:den>
                    <m:r>
                      <m:rPr>
                        <m:sty m:val="i"/>
                      </m:rPr>
                      <m:t>π</m:t>
                    </m:r>
                    <m:r>
                      <m:rPr>
                        <m:sty m:val="i"/>
                      </m:rPr>
                      <m:t>ν</m:t>
                    </m:r>
                    <m:r>
                      <m:rPr>
                        <m:sty m:val="i"/>
                      </m:rPr>
                      <m:t>t</m:t>
                    </m:r>
                  </m:den>
                </m:f>
              </m:e>
            </m:mr>
          </m:m>
        </m:oMath>
      </m:oMathPara>
    </w:p>
    <w:p>
      <w:pPr>
        <w:spacing w:lineRule="auto"/>
        <w:jc w:val="center"/>
      </w:pPr>
      <w:r>
        <w:rPr/>
        <w:drawing>
          <wp:inline distB="0" distL="0" distR="0" distT="0">
            <wp:extent cx="5486400" cy="2059663"/>
            <wp:effectExtent b="0" l="0" r="0" t="0"/>
            <wp:docPr id="2" name="image-1d1e133db4f5b510e5c4049aae6d8411cf07c5d8.jpg"/>
            <a:graphic>
              <a:graphicData uri="http://schemas.openxmlformats.org/drawingml/2006/picture">
                <pic:pic>
                  <pic:nvPicPr>
                    <pic:cNvPr id="2" name="image-1d1e133db4f5b510e5c4049aae6d8411cf07c5d8.jpg" descr=""/>
                    <pic:cNvPicPr/>
                  </pic:nvPicPr>
                  <pic:blipFill>
                    <a:blip r:embed="rId6" cstate="print"/>
                    <a:srcRect b="0" l="0" r="0" t="0"/>
                    <a:stretch>
                      <a:fillRect/>
                    </a:stretch>
                  </pic:blipFill>
                  <pic:spPr>
                    <a:xfrm>
                      <a:off x="0" y="0"/>
                      <a:ext cx="5486400" cy="2059663"/>
                    </a:xfrm>
                    <a:prstGeom prst="rect"/>
                  </pic:spPr>
                </pic:pic>
              </a:graphicData>
            </a:graphic>
          </wp:inline>
        </w:drawing>
      </w:r>
    </w:p>
    <w:p>
      <w:pPr>
        <w:spacing w:lineRule="auto"/>
      </w:pPr>
      <w:r>
        <w:rPr>
          <w:rFonts w:eastAsia="Georgia" w:cs="Georgia" w:ascii="Georgia" w:hAnsi="Georgia"/>
        </w:rPr>
        <w:t xml:space="preserve">Fig. 2 : allure du signal électrique</w:t>
      </w:r>
    </w:p>
    <w:p>
      <w:pPr>
        <w:spacing w:after="220" w:lineRule="auto"/>
      </w:pPr>
      <w:r>
        <w:rPr>
          <w:rFonts w:eastAsia="Georgia" w:cs="Georgia" w:ascii="Georgia" w:hAnsi="Georgia"/>
        </w:rPr>
        <w:t xml:space="preserve">Quel composant électrique simple doit-on placer entre le générateur et la céramique pour alimenter cette dernière à une fréquence donnée à l'avance ?</w:t>
      </w:r>
    </w:p>
    <w:p>
      <w:pPr>
        <w:spacing w:after="220" w:lineRule="auto"/>
      </w:pPr>
      <w:r>
        <w:rPr/>
        <w:t xml:space="preserve">On nomme </w:t>
      </w:r>
      <m:oMath>
        <m:r>
          <m:rPr>
            <m:sty m:val="i"/>
          </m:rPr>
          <m:t>P</m:t>
        </m:r>
        <m:r>
          <m:rPr>
            <m:sty m:val="p"/>
          </m:rPr>
          <m:t>(</m:t>
        </m:r>
        <m:r>
          <m:rPr>
            <m:sty m:val="i"/>
          </m:rPr>
          <m:t>ν</m:t>
        </m:r>
        <m:r>
          <m:rPr>
            <m:sty m:val="p"/>
          </m:rPr>
          <m:t>)</m:t>
        </m:r>
        <m:r>
          <m:rPr>
            <m:sty m:val="p"/>
          </m:rPr>
          <m:t>=</m:t>
        </m:r>
        <m:f>
          <m:fPr>
            <m:ctrlPr>
              <w:rPr>
                <w:rFonts w:ascii="Cambria Math" w:hAnsi="Cambria Math"/>
              </w:rPr>
            </m:ctrlPr>
          </m:fPr>
          <m:num>
            <m:r>
              <m:rPr>
                <m:sty m:val="p"/>
              </m:rPr>
              <m:t>1</m:t>
            </m:r>
          </m:num>
          <m:den>
            <m:r>
              <m:rPr>
                <m:sty m:val="p"/>
              </m:rPr>
              <m:t>2</m:t>
            </m:r>
          </m:den>
        </m:f>
        <m:sSup>
          <m:sSupPr/>
          <m:e>
            <m:r>
              <m:rPr>
                <m:sty m:val="i"/>
              </m:rPr>
              <m:t>a</m:t>
            </m:r>
          </m:e>
          <m:sup>
            <m:r>
              <m:rPr>
                <m:sty m:val="p"/>
              </m:rPr>
              <m:t>2</m:t>
            </m:r>
          </m:sup>
        </m:sSup>
        <m:r>
          <m:rPr>
            <m:sty m:val="p"/>
          </m:rPr>
          <m:t>(</m:t>
        </m:r>
        <m:r>
          <m:rPr>
            <m:sty m:val="i"/>
          </m:rPr>
          <m:t>ν</m:t>
        </m:r>
        <m:r>
          <m:rPr>
            <m:sty m:val="p"/>
          </m:rPr>
          <m:t>)</m:t>
        </m:r>
        <m:r>
          <m:rPr>
            <m:sty m:val="p"/>
          </m:rPr>
          <m:t>=</m:t>
        </m:r>
        <m:r>
          <m:rPr>
            <m:sty m:val="p"/>
          </m:rPr>
          <m:t>2</m:t>
        </m:r>
        <m:sSup>
          <m:sSupPr/>
          <m:e>
            <m:r>
              <m:rPr>
                <m:sty m:val="p"/>
              </m:rPr>
              <m:t>Φ</m:t>
            </m:r>
          </m:e>
          <m:sup>
            <m:r>
              <m:rPr>
                <m:sty m:val="p"/>
              </m:rPr>
              <m:t>2</m:t>
            </m:r>
          </m:sup>
        </m:sSup>
        <m:r>
          <m:rPr>
            <m:sty m:val="p"/>
          </m:rPr>
          <m:t>(</m:t>
        </m:r>
        <m:r>
          <m:rPr>
            <m:sty m:val="i"/>
          </m:rPr>
          <m:t>ν</m:t>
        </m:r>
        <m:r>
          <m:rPr>
            <m:sty m:val="p"/>
          </m:rPr>
          <m:t>)</m:t>
        </m:r>
      </m:oMath>
      <w:r>
        <w:rPr>
          <w:rFonts w:eastAsia="Georgia" w:cs="Georgia" w:ascii="Georgia" w:hAnsi="Georgia"/>
        </w:rPr>
        <w:t xml:space="preserve"> le spectre de puissance du signal appliqué. Décrire la déformation du spectre de puissance lorsque la période </w:t>
      </w:r>
      <m:oMath>
        <m:r>
          <m:rPr>
            <m:sty m:val="i"/>
          </m:rPr>
          <m:t>T</m:t>
        </m:r>
      </m:oMath>
      <w:r>
        <w:rPr/>
        <w:t xml:space="preserve"> varie, le produit </w:t>
      </w:r>
      <m:oMath>
        <m:r>
          <m:rPr>
            <m:sty m:val="i"/>
          </m:rPr>
          <m:t>a</m:t>
        </m:r>
        <m:r>
          <m:rPr>
            <m:sty m:val="p"/>
          </m:rPr>
          <m:t>=</m:t>
        </m:r>
        <m:sSub>
          <m:sSubPr/>
          <m:e>
            <m:r>
              <m:rPr>
                <m:sty m:val="i"/>
              </m:rPr>
              <m:t>E</m:t>
            </m:r>
          </m:e>
          <m:sub>
            <m:r>
              <m:rPr>
                <m:sty m:val="p"/>
              </m:rPr>
              <m:t>0</m:t>
            </m:r>
          </m:sub>
        </m:sSub>
        <m:r>
          <m:rPr>
            <m:sty m:val="i"/>
          </m:rPr>
          <m:t>T</m:t>
        </m:r>
      </m:oMath>
      <w:r>
        <w:rPr/>
        <w:t xml:space="preserve"> restant constant.</w:t>
      </w:r>
    </w:p>
    <w:p>
      <w:pPr>
        <w:spacing w:line="271" w:before="330" w:lineRule="auto"/>
      </w:pPr>
      <w:r>
        <w:rPr>
          <w:rFonts w:eastAsia="Georgia" w:cs="Georgia" w:ascii="Georgia" w:hAnsi="Georgia"/>
          <w:b/>
          <w:sz w:val="42"/>
        </w:rPr>
        <w:t xml:space="preserve">Réponse de la lame de céramique</w:t>
      </w:r>
    </w:p>
    <w:p>
      <w:pPr>
        <w:spacing w:after="220" w:lineRule="auto"/>
      </w:pPr>
      <m:oMath>
        <m:r>
          <m:rPr>
            <m:sty m:val="i"/>
          </m:rPr>
          <m:t>◻</m:t>
        </m:r>
        <m:r>
          <m:rPr>
            <m:sty m:val="p"/>
          </m:rPr>
          <m:t>5</m:t>
        </m:r>
      </m:oMath>
      <w:r>
        <w:rPr>
          <w:rFonts w:eastAsia="Georgia" w:cs="Georgia" w:ascii="Georgia" w:hAnsi="Georgia"/>
        </w:rPr>
        <w:t xml:space="preserve"> - La céramique, de masse </w:t>
      </w:r>
      <m:oMath>
        <m:r>
          <m:rPr>
            <m:sty m:val="i"/>
          </m:rPr>
          <m:t>m</m:t>
        </m:r>
      </m:oMath>
      <w:r>
        <w:rPr>
          <w:rFonts w:eastAsia="Georgia" w:cs="Georgia" w:ascii="Georgia" w:hAnsi="Georgia"/>
        </w:rPr>
        <w:t xml:space="preserve">, est modélisée par un oscillateur harmonique unidimensionnel de coordonnée </w:t>
      </w:r>
      <m:oMath>
        <m:r>
          <m:rPr>
            <m:sty m:val="i"/>
          </m:rPr>
          <m:t>X</m:t>
        </m:r>
      </m:oMath>
      <w:r>
        <w:rPr/>
        <w:t xml:space="preserve">, de pulsation propre </w:t>
      </w:r>
      <m:oMath>
        <m:sSub>
          <m:sSubPr/>
          <m:e>
            <m:r>
              <m:rPr>
                <m:sty m:val="i"/>
              </m:rPr>
              <m:t>ω</m:t>
            </m:r>
          </m:e>
          <m:sub>
            <m:r>
              <m:rPr>
                <m:sty m:val="p"/>
              </m:rPr>
              <m:t>0</m:t>
            </m:r>
          </m:sub>
        </m:sSub>
        <m:r>
          <m:rPr>
            <m:sty m:val="p"/>
          </m:rPr>
          <m:t>=</m:t>
        </m:r>
        <m:rad>
          <m:radPr>
            <m:degHide m:val="1"/>
            <m:ctrlPr>
              <w:rPr>
                <w:rFonts w:ascii="Cambria Math" w:hAnsi="Cambria Math"/>
              </w:rPr>
            </m:ctrlPr>
          </m:radPr>
          <m:deg/>
          <m:e>
            <m:f>
              <m:fPr>
                <m:ctrlPr>
                  <w:rPr>
                    <w:rFonts w:ascii="Cambria Math" w:hAnsi="Cambria Math"/>
                  </w:rPr>
                </m:ctrlPr>
              </m:fPr>
              <m:num>
                <m:r>
                  <m:rPr>
                    <m:sty m:val="i"/>
                  </m:rPr>
                  <m:t>k</m:t>
                </m:r>
              </m:num>
              <m:den>
                <m:r>
                  <m:rPr>
                    <m:sty m:val="i"/>
                  </m:rPr>
                  <m:t>m</m:t>
                </m:r>
              </m:den>
            </m:f>
          </m:e>
        </m:rad>
      </m:oMath>
      <w:r>
        <w:rPr>
          <w:rFonts w:eastAsia="Georgia" w:cs="Georgia" w:ascii="Georgia" w:hAnsi="Georgia"/>
        </w:rPr>
        <w:t xml:space="preserve">, soumis en outre à une force élastique (c'est-à-dire proportionnelle à l'élongation, </w:t>
      </w:r>
      <m:oMath>
        <m:sSub>
          <m:sSubPr/>
          <m:e>
            <m:r>
              <m:rPr>
                <m:sty m:val="i"/>
              </m:rPr>
              <m:t>F</m:t>
            </m:r>
          </m:e>
          <m:sub>
            <m:r>
              <m:rPr>
                <m:sty m:val="i"/>
              </m:rPr>
              <m:t>e</m:t>
            </m:r>
            <m:r>
              <m:rPr>
                <m:sty m:val="p"/>
              </m:rPr>
              <m:t>́</m:t>
            </m:r>
            <m:r>
              <m:rPr>
                <m:sty m:val="i"/>
              </m:rPr>
              <m:t>l</m:t>
            </m:r>
          </m:sub>
        </m:sSub>
        <m:r>
          <m:rPr>
            <m:sty m:val="p"/>
          </m:rPr>
          <m:t>=</m:t>
        </m:r>
        <m:sSub>
          <m:sSubPr/>
          <m:e>
            <m:r>
              <m:rPr>
                <m:sty m:val="i"/>
              </m:rPr>
              <m:t>F</m:t>
            </m:r>
          </m:e>
          <m:sub>
            <m:r>
              <m:rPr>
                <m:sty m:val="i"/>
              </m:rPr>
              <m:t>k</m:t>
            </m:r>
          </m:sub>
        </m:sSub>
        <m:r>
          <m:rPr>
            <m:sty m:val="i"/>
          </m:rPr>
          <m:t>x</m:t>
        </m:r>
      </m:oMath>
      <w:r>
        <w:rPr>
          <w:rFonts w:eastAsia="Georgia" w:cs="Georgia" w:ascii="Georgia" w:hAnsi="Georgia"/>
        </w:rPr>
        <w:t xml:space="preserve"> ) résultant du montage de la céramique dans son support, et subissant de la part du milieu en contact un amortissement fluide </w:t>
      </w:r>
      <m:oMath>
        <m:sSub>
          <m:sSubPr/>
          <m:e>
            <m:r>
              <m:rPr>
                <m:sty m:val="i"/>
              </m:rPr>
              <m:t>F</m:t>
            </m:r>
          </m:e>
          <m:sub>
            <m:r>
              <m:rPr>
                <m:sty m:val="i"/>
              </m:rPr>
              <m:t>a</m:t>
            </m:r>
            <m:r>
              <m:rPr>
                <m:sty m:val="i"/>
              </m:rPr>
              <m:t>m</m:t>
            </m:r>
            <m:r>
              <m:rPr>
                <m:sty m:val="p"/>
              </m:rPr>
              <m:t>.</m:t>
            </m:r>
          </m:sub>
        </m:sSub>
        <m:r>
          <m:rPr>
            <m:sty m:val="p"/>
          </m:rPr>
          <m:t>=</m:t>
        </m:r>
        <m:r>
          <m:rPr>
            <m:sty m:val="p"/>
          </m:rPr>
          <m:t>−</m:t>
        </m:r>
        <m:sSub>
          <m:sSubPr/>
          <m:e>
            <m:r>
              <m:rPr>
                <m:sty m:val="i"/>
              </m:rPr>
              <m:t>F</m:t>
            </m:r>
          </m:e>
          <m:sub>
            <m:r>
              <m:rPr>
                <m:sty m:val="i"/>
              </m:rPr>
              <m:t>v</m:t>
            </m:r>
          </m:sub>
        </m:sSub>
        <m:f>
          <m:fPr>
            <m:ctrlPr>
              <w:rPr>
                <w:rFonts w:ascii="Cambria Math" w:hAnsi="Cambria Math"/>
              </w:rPr>
            </m:ctrlPr>
          </m:fPr>
          <m:num>
            <m:r>
              <m:rPr>
                <m:nor/>
              </m:rPr>
              <m:t xml:space="preserve"> </m:t>
            </m:r>
            <m:r>
              <m:rPr>
                <m:sty m:val="p"/>
              </m:rPr>
              <m:t>d</m:t>
            </m:r>
            <m:r>
              <m:rPr>
                <m:sty m:val="i"/>
              </m:rPr>
              <m:t>x</m:t>
            </m:r>
          </m:num>
          <m:den>
            <m:r>
              <m:rPr>
                <m:nor/>
              </m:rPr>
              <m:t xml:space="preserve"> </m:t>
            </m:r>
            <m:r>
              <m:rPr>
                <m:sty m:val="p"/>
              </m:rPr>
              <m:t>d</m:t>
            </m:r>
            <m:r>
              <m:rPr>
                <m:sty m:val="i"/>
              </m:rPr>
              <m:t>t</m:t>
            </m:r>
          </m:den>
        </m:f>
      </m:oMath>
      <w:r>
        <w:rPr>
          <w:rFonts w:eastAsia="Georgia" w:cs="Georgia" w:ascii="Georgia" w:hAnsi="Georgia"/>
        </w:rPr>
        <w:t xml:space="preserve">, proportionnel à la vitesse. Montrer que cet oscillateur, excité par la tension </w:t>
      </w:r>
      <m:oMath>
        <m:r>
          <m:rPr>
            <m:sty m:val="i"/>
          </m:rPr>
          <m:t>E</m:t>
        </m:r>
        <m:r>
          <m:rPr>
            <m:sty m:val="p"/>
          </m:rPr>
          <m:t>sin</m:t>
        </m:r>
        <m:r>
          <m:rPr>
            <m:sty m:val="p"/>
          </m:rPr>
          <m:t>⁡</m:t>
        </m:r>
        <m:d>
          <m:dPr>
            <m:begChr m:val="("/>
            <m:endChr m:val=")"/>
            <m:ctrlPr>
              <w:rPr>
                <w:rFonts w:ascii="Cambria Math" w:hAnsi="Cambria Math"/>
              </w:rPr>
            </m:ctrlPr>
          </m:dPr>
          <m:e>
            <m:sSub>
              <m:sSubPr/>
              <m:e>
                <m:r>
                  <m:rPr>
                    <m:sty m:val="i"/>
                  </m:rPr>
                  <m:t>ω</m:t>
                </m:r>
              </m:e>
              <m:sub>
                <m:r>
                  <m:rPr>
                    <m:sty m:val="i"/>
                  </m:rPr>
                  <m:t>e</m:t>
                </m:r>
              </m:sub>
            </m:sSub>
            <m:r>
              <m:rPr>
                <m:sty m:val="i"/>
              </m:rPr>
              <m:t>t</m:t>
            </m:r>
          </m:e>
        </m:d>
      </m:oMath>
      <w:r>
        <w:rPr>
          <w:rFonts w:eastAsia="Georgia" w:cs="Georgia" w:ascii="Georgia" w:hAnsi="Georgia"/>
        </w:rPr>
        <w:t xml:space="preserve"> est décrit par l'équation différentielle (dont on identifiera les termes </w:t>
      </w:r>
      <m:oMath>
        <m:r>
          <m:rPr>
            <m:sty m:val="i"/>
          </m:rPr>
          <m:t>ξ</m:t>
        </m:r>
      </m:oMath>
      <w:r>
        <w:rPr/>
        <w:t xml:space="preserve">, </w:t>
      </w:r>
      <m:oMath>
        <m:sSub>
          <m:sSubPr/>
          <m:e>
            <m:r>
              <m:rPr>
                <m:sty m:val="i"/>
              </m:rPr>
              <m:t>ω</m:t>
            </m:r>
          </m:e>
          <m:sub>
            <m:r>
              <m:rPr>
                <m:sty m:val="i"/>
              </m:rPr>
              <m:t>n</m:t>
            </m:r>
          </m:sub>
        </m:sSub>
      </m:oMath>
      <w:r>
        <w:rPr/>
        <w:t xml:space="preserve"> et </w:t>
      </w:r>
      <m:oMath>
        <m:r>
          <m:rPr>
            <m:sty m:val="i"/>
          </m:rPr>
          <m:t>A</m:t>
        </m:r>
        <m:r>
          <m:rPr>
            <m:sty m:val="p"/>
          </m:rPr>
          <m:t>)</m:t>
        </m:r>
        <m:r>
          <m:rPr>
            <m:sty m:val="p"/>
          </m:rPr>
          <m:t>:</m:t>
        </m:r>
        <m:f>
          <m:fPr>
            <m:ctrlPr>
              <w:rPr>
                <w:rFonts w:ascii="Cambria Math" w:hAnsi="Cambria Math"/>
              </w:rPr>
            </m:ctrlPr>
          </m:fPr>
          <m:num>
            <m:sSup>
              <m:sSupPr/>
              <m:e>
                <m:r>
                  <m:rPr>
                    <m:sty m:val="p"/>
                  </m:rPr>
                  <m:t>d</m:t>
                </m:r>
              </m:e>
              <m:sup>
                <m:r>
                  <m:rPr>
                    <m:sty m:val="p"/>
                  </m:rPr>
                  <m:t>2</m:t>
                </m:r>
              </m:sup>
            </m:sSup>
            <m:r>
              <m:rPr>
                <m:sty m:val="i"/>
              </m:rPr>
              <m:t>X</m:t>
            </m:r>
          </m:num>
          <m:den>
            <m:r>
              <m:rPr>
                <m:nor/>
              </m:rPr>
              <m:t xml:space="preserve"> </m:t>
            </m:r>
            <m:r>
              <m:rPr>
                <m:sty m:val="p"/>
              </m:rPr>
              <m:t>d</m:t>
            </m:r>
            <m:sSup>
              <m:sSupPr/>
              <m:e>
                <m:r>
                  <m:rPr>
                    <m:sty m:val="i"/>
                  </m:rPr>
                  <m:t>t</m:t>
                </m:r>
              </m:e>
              <m:sup>
                <m:r>
                  <m:rPr>
                    <m:sty m:val="p"/>
                  </m:rPr>
                  <m:t>2</m:t>
                </m:r>
              </m:sup>
            </m:sSup>
          </m:den>
        </m:f>
        <m:r>
          <m:rPr>
            <m:sty m:val="p"/>
          </m:rPr>
          <m:t>+</m:t>
        </m:r>
        <m:r>
          <m:rPr>
            <m:sty m:val="p"/>
          </m:rPr>
          <m:t>2</m:t>
        </m:r>
        <m:r>
          <m:rPr>
            <m:sty m:val="i"/>
          </m:rPr>
          <m:t>ξ</m:t>
        </m:r>
        <m:f>
          <m:fPr>
            <m:ctrlPr>
              <w:rPr>
                <w:rFonts w:ascii="Cambria Math" w:hAnsi="Cambria Math"/>
              </w:rPr>
            </m:ctrlPr>
          </m:fPr>
          <m:num>
            <m:r>
              <m:rPr>
                <m:nor/>
              </m:rPr>
              <m:t xml:space="preserve"> </m:t>
            </m:r>
            <m:r>
              <m:rPr>
                <m:sty m:val="p"/>
              </m:rPr>
              <m:t>d</m:t>
            </m:r>
            <m:r>
              <m:rPr>
                <m:sty m:val="i"/>
              </m:rPr>
              <m:t>X</m:t>
            </m:r>
          </m:num>
          <m:den>
            <m:r>
              <m:rPr>
                <m:nor/>
              </m:rPr>
              <m:t xml:space="preserve"> </m:t>
            </m:r>
            <m:r>
              <m:rPr>
                <m:sty m:val="p"/>
              </m:rPr>
              <m:t>d</m:t>
            </m:r>
            <m:r>
              <m:rPr>
                <m:sty m:val="i"/>
              </m:rPr>
              <m:t>t</m:t>
            </m:r>
          </m:den>
        </m:f>
        <m:r>
          <m:rPr>
            <m:sty m:val="p"/>
          </m:rPr>
          <m:t>+</m:t>
        </m:r>
        <m:sSubSup>
          <m:sSubSupPr/>
          <m:e>
            <m:r>
              <m:rPr>
                <m:sty m:val="i"/>
              </m:rPr>
              <m:t>ω</m:t>
            </m:r>
          </m:e>
          <m:sub>
            <m:r>
              <m:rPr>
                <m:sty m:val="i"/>
              </m:rPr>
              <m:t>n</m:t>
            </m:r>
          </m:sub>
          <m:sup>
            <m:r>
              <m:rPr>
                <m:sty m:val="p"/>
              </m:rPr>
              <m:t>2</m:t>
            </m:r>
          </m:sup>
        </m:sSubSup>
        <m:r>
          <m:rPr>
            <m:sty m:val="i"/>
          </m:rPr>
          <m:t>X</m:t>
        </m:r>
        <m:r>
          <m:rPr>
            <m:sty m:val="p"/>
          </m:rPr>
          <m:t>=</m:t>
        </m:r>
        <m:r>
          <m:rPr>
            <m:sty m:val="i"/>
          </m:rPr>
          <m:t>A</m:t>
        </m:r>
        <m:r>
          <m:rPr>
            <m:sty m:val="p"/>
          </m:rPr>
          <m:t>sin</m:t>
        </m:r>
        <m:r>
          <m:rPr>
            <m:sty m:val="p"/>
          </m:rPr>
          <m:t>⁡</m:t>
        </m:r>
        <m:d>
          <m:dPr>
            <m:begChr m:val="("/>
            <m:endChr m:val=")"/>
            <m:ctrlPr>
              <w:rPr>
                <w:rFonts w:ascii="Cambria Math" w:hAnsi="Cambria Math"/>
              </w:rPr>
            </m:ctrlPr>
          </m:dPr>
          <m:e>
            <m:sSub>
              <m:sSubPr/>
              <m:e>
                <m:r>
                  <m:rPr>
                    <m:sty m:val="i"/>
                  </m:rPr>
                  <m:t>ω</m:t>
                </m:r>
              </m:e>
              <m:sub>
                <m:r>
                  <m:rPr>
                    <m:sty m:val="i"/>
                  </m:rPr>
                  <m:t>e</m:t>
                </m:r>
              </m:sub>
            </m:sSub>
            <m:r>
              <m:rPr>
                <m:sty m:val="i"/>
              </m:rPr>
              <m:t>t</m:t>
            </m:r>
          </m:e>
        </m:d>
      </m:oMath>
      <w:r>
        <w:rPr/>
        <w:t xml:space="preserve">.</w:t>
      </w:r>
      <w:r>
        <w:rPr/>
        <w:br w:type="textWrapping"/>
      </w:r>
      <m:oMath>
        <m:r>
          <m:rPr>
            <m:sty m:val="i"/>
          </m:rPr>
          <m:t>◻</m:t>
        </m:r>
        <m:r>
          <m:rPr>
            <m:sty m:val="p"/>
          </m:rPr>
          <m:t>6</m:t>
        </m:r>
      </m:oMath>
      <w:r>
        <w:rPr>
          <w:rFonts w:eastAsia="Georgia" w:cs="Georgia" w:ascii="Georgia" w:hAnsi="Georgia"/>
        </w:rPr>
        <w:t xml:space="preserve"> - Déterminer, en régime établi et en fonction de </w:t>
      </w:r>
      <m:oMath>
        <m:r>
          <m:rPr>
            <m:sty m:val="i"/>
          </m:rPr>
          <m:t>u</m:t>
        </m:r>
        <m:r>
          <m:rPr>
            <m:sty m:val="p"/>
          </m:rPr>
          <m:t>=</m:t>
        </m:r>
        <m:f>
          <m:fPr>
            <m:ctrlPr>
              <w:rPr>
                <w:rFonts w:ascii="Cambria Math" w:hAnsi="Cambria Math"/>
              </w:rPr>
            </m:ctrlPr>
          </m:fPr>
          <m:num>
            <m:r>
              <m:rPr>
                <m:sty m:val="i"/>
              </m:rPr>
              <m:t>ω</m:t>
            </m:r>
          </m:num>
          <m:den>
            <m:sSub>
              <m:sSubPr/>
              <m:e>
                <m:r>
                  <m:rPr>
                    <m:sty m:val="i"/>
                  </m:rPr>
                  <m:t>ω</m:t>
                </m:r>
              </m:e>
              <m:sub>
                <m:r>
                  <m:rPr>
                    <m:sty m:val="i"/>
                  </m:rPr>
                  <m:t>n</m:t>
                </m:r>
              </m:sub>
            </m:sSub>
          </m:den>
        </m:f>
      </m:oMath>
      <w:r>
        <w:rPr/>
        <w:t xml:space="preserve">, l'amplitude </w:t>
      </w:r>
      <m:oMath>
        <m:r>
          <m:rPr>
            <m:sty m:val="p"/>
          </m:rPr>
          <m:t>Ψ</m:t>
        </m:r>
      </m:oMath>
      <w:r>
        <w:rPr>
          <w:rFonts w:eastAsia="Georgia" w:cs="Georgia" w:ascii="Georgia" w:hAnsi="Georgia"/>
        </w:rPr>
        <w:t xml:space="preserve"> de la réponse de la céramique à cette excitation.</w:t>
      </w:r>
      <w:r>
        <w:rPr/>
        <w:br w:type="textWrapping"/>
      </w:r>
      <m:oMath>
        <m:r>
          <m:rPr>
            <m:sty m:val="i"/>
          </m:rPr>
          <m:t>◻</m:t>
        </m:r>
        <m:r>
          <m:rPr>
            <m:sty m:val="p"/>
          </m:rPr>
          <m:t>7</m:t>
        </m:r>
      </m:oMath>
      <w:r>
        <w:rPr>
          <w:rFonts w:eastAsia="Georgia" w:cs="Georgia" w:ascii="Georgia" w:hAnsi="Georgia"/>
        </w:rPr>
        <w:t xml:space="preserve"> - On veut produire des ultrasons de forte puissance ; comment doit-on choisir le coefficient d'amortissement de la céramique ? justifier votre choix à l'aide des courbes mises à disposition dans l'annexe A. On veut maintenant produire des "impulsions" ultrasonores de faible durée, mais répétitives à fréquence de répétition variable ; comment doit-on choisir le coefficient d'amortissement </w:t>
      </w:r>
      <m:oMath>
        <m:r>
          <m:rPr>
            <m:sty m:val="bi"/>
          </m:rPr>
          <m:t>ξ</m:t>
        </m:r>
      </m:oMath>
      <w:r>
        <w:rPr/>
        <w:t xml:space="preserve"> ?</w:t>
      </w:r>
    </w:p>
    <w:p>
      <w:pPr>
        <w:spacing w:line="271" w:before="330" w:lineRule="auto"/>
      </w:pPr>
      <w:r>
        <w:rPr>
          <w:rFonts w:eastAsia="Georgia" w:cs="Georgia" w:ascii="Georgia" w:hAnsi="Georgia"/>
          <w:b/>
          <w:sz w:val="42"/>
        </w:rPr>
        <w:t xml:space="preserve">Aspects expérimentaux</w:t>
      </w:r>
    </w:p>
    <w:p>
      <w:pPr>
        <w:spacing w:after="220" w:lineRule="auto"/>
      </w:pPr>
      <m:oMath>
        <m:r>
          <m:rPr>
            <m:sty m:val="i"/>
          </m:rPr>
          <m:t>◻</m:t>
        </m:r>
        <m:r>
          <m:rPr>
            <m:sty m:val="p"/>
          </m:rPr>
          <m:t>8</m:t>
        </m:r>
      </m:oMath>
      <w:r>
        <w:rPr>
          <w:rFonts w:eastAsia="Georgia" w:cs="Georgia" w:ascii="Georgia" w:hAnsi="Georgia"/>
        </w:rPr>
        <w:t xml:space="preserve"> - Les figures 3, 4, 5 et 6 (page 9) représentent les résultats des mesures effectuées sur deux émetteurs identiques, excités dans les mêmes conditions mais amortis de façon différente. Déterminer quelles sont les courbes associées au capteur le plus amorti et au capteur le moins amorti. Mesurer dans chaque cas la largeur de bande à - 6 dB . Comparer les avantages et les inconvénients des deux émetteurs.</w:t>
      </w:r>
      <w:r>
        <w:rPr/>
        <w:br w:type="textWrapping"/>
      </w:r>
      <m:oMath>
        <m:r>
          <m:rPr>
            <m:sty m:val="i"/>
          </m:rPr>
          <m:t>◻</m:t>
        </m:r>
        <m:r>
          <m:rPr>
            <m:sty m:val="p"/>
          </m:rPr>
          <m:t>9</m:t>
        </m:r>
      </m:oMath>
      <w:r>
        <w:rPr>
          <w:rFonts w:eastAsia="Georgia" w:cs="Georgia" w:ascii="Georgia" w:hAnsi="Georgia"/>
        </w:rPr>
        <w:t xml:space="preserve"> - La résolution spatiale, capacité à séparer les</w:t>
      </w:r>
    </w:p>
    <w:p>
      <w:pPr>
        <w:spacing w:lineRule="auto"/>
        <w:jc w:val="center"/>
      </w:pPr>
      <w:r>
        <w:rPr/>
        <w:drawing>
          <wp:inline distB="0" distL="0" distR="0" distT="0">
            <wp:extent cx="3952875" cy="2705100"/>
            <wp:effectExtent b="0" l="0" r="0" t="0"/>
            <wp:docPr id="3" name="image-0b9a1fe9838fb1ca200353436fe20f4a06d83aa3.jpg"/>
            <a:graphic>
              <a:graphicData uri="http://schemas.openxmlformats.org/drawingml/2006/picture">
                <pic:pic>
                  <pic:nvPicPr>
                    <pic:cNvPr id="3" name="image-0b9a1fe9838fb1ca200353436fe20f4a06d83aa3.jpg" descr=""/>
                    <pic:cNvPicPr/>
                  </pic:nvPicPr>
                  <pic:blipFill>
                    <a:blip r:embed="rId7" cstate="print"/>
                    <a:srcRect b="0" l="0" r="0" t="0"/>
                    <a:stretch>
                      <a:fillRect/>
                    </a:stretch>
                  </pic:blipFill>
                  <pic:spPr>
                    <a:xfrm>
                      <a:off x="0" y="0"/>
                      <a:ext cx="3952875" cy="2705100"/>
                    </a:xfrm>
                    <a:prstGeom prst="rect"/>
                  </pic:spPr>
                </pic:pic>
              </a:graphicData>
            </a:graphic>
          </wp:inline>
        </w:drawing>
      </w:r>
    </w:p>
    <w:p>
      <w:pPr>
        <w:spacing w:lineRule="auto"/>
      </w:pPr>
      <w:r>
        <w:rPr>
          <w:rFonts w:eastAsia="Georgia" w:cs="Georgia" w:ascii="Georgia" w:hAnsi="Georgia"/>
        </w:rPr>
        <w:t xml:space="preserve">Fig. 7 : Cône d'ouverture et shamn nrosho d'un ómottour</w:t>
      </w:r>
    </w:p>
    <w:p>
      <w:pPr>
        <w:spacing w:after="220" w:lineRule="auto"/>
      </w:pPr>
      <w:r>
        <w:rPr>
          <w:rFonts w:eastAsia="Georgia" w:cs="Georgia" w:ascii="Georgia" w:hAnsi="Georgia"/>
        </w:rPr>
        <w:t xml:space="preserve">défauts, est déterminée par la répartition spatiale de la pression ultrasonore. Pour un transducteur de diamètre </w:t>
      </w:r>
      <m:oMath>
        <m:r>
          <m:rPr>
            <m:sty m:val="i"/>
          </m:rPr>
          <m:t>D</m:t>
        </m:r>
      </m:oMath>
      <w:r>
        <w:rPr>
          <w:rFonts w:eastAsia="Georgia" w:cs="Georgia" w:ascii="Georgia" w:hAnsi="Georgia"/>
        </w:rPr>
        <w:t xml:space="preserve">, cette répartition est spécifiée par : d'une part la directivité, caractérisée par un cône de demi-angle au sommet </w:t>
      </w:r>
      <m:oMath>
        <m:r>
          <m:rPr>
            <m:sty m:val="p"/>
          </m:rPr>
          <m:t>sin</m:t>
        </m:r>
        <m:r>
          <m:rPr>
            <m:sty m:val="p"/>
          </m:rPr>
          <m:t>⁡</m:t>
        </m:r>
        <m:r>
          <m:rPr>
            <m:sty m:val="p"/>
          </m:rPr>
          <m:t>(</m:t>
        </m:r>
        <m:r>
          <m:rPr>
            <m:sty m:val="i"/>
          </m:rPr>
          <m:t>α</m:t>
        </m:r>
        <m:r>
          <m:rPr>
            <m:sty m:val="p"/>
          </m:rPr>
          <m:t>)</m:t>
        </m:r>
        <m:r>
          <m:rPr>
            <m:sty m:val="p"/>
          </m:rPr>
          <m:t>=</m:t>
        </m:r>
        <m:r>
          <m:rPr>
            <m:sty m:val="p"/>
          </m:rPr>
          <m:t>1</m:t>
        </m:r>
        <m:r>
          <m:rPr>
            <m:sty m:val="p"/>
          </m:rPr>
          <m:t>,</m:t>
        </m:r>
        <m:r>
          <m:rPr>
            <m:sty m:val="p"/>
          </m:rPr>
          <m:t>22</m:t>
        </m:r>
        <m:r>
          <m:rPr>
            <m:sty m:val="p"/>
          </m:rPr>
          <m:t>.</m:t>
        </m:r>
        <m:r>
          <m:rPr>
            <m:sty m:val="i"/>
          </m:rPr>
          <m:t>λ</m:t>
        </m:r>
        <m:r>
          <m:rPr>
            <m:sty m:val="p"/>
          </m:rPr>
          <m:t>/</m:t>
        </m:r>
        <m:r>
          <m:rPr>
            <m:sty m:val="i"/>
          </m:rPr>
          <m:t>D</m:t>
        </m:r>
      </m:oMath>
      <w:r>
        <w:rPr>
          <w:rFonts w:eastAsia="Georgia" w:cs="Georgia" w:ascii="Georgia" w:hAnsi="Georgia"/>
        </w:rPr>
        <w:t xml:space="preserve"> à l'intérieur duquel est localisée la plus grande partie de l’énergie acoustique («cône à -6 dB »), d'autre part la zone de champ proche du faisceau, très perturbée, d'extension </w:t>
      </w:r>
      <m:oMath>
        <m:sSub>
          <m:sSubPr/>
          <m:e>
            <m:r>
              <m:rPr>
                <m:sty m:val="i"/>
              </m:rPr>
              <m:t>Z</m:t>
            </m:r>
          </m:e>
          <m:sub>
            <m:r>
              <m:rPr>
                <m:sty m:val="p"/>
              </m:rPr>
              <m:t>0</m:t>
            </m:r>
          </m:sub>
        </m:sSub>
        <m:r>
          <m:rPr>
            <m:sty m:val="p"/>
          </m:rPr>
          <m:t>=</m:t>
        </m:r>
        <m:sSup>
          <m:sSupPr/>
          <m:e>
            <m:r>
              <m:rPr>
                <m:sty m:val="i"/>
              </m:rPr>
              <m:t>D</m:t>
            </m:r>
          </m:e>
          <m:sup>
            <m:r>
              <m:rPr>
                <m:sty m:val="p"/>
              </m:rPr>
              <m:t>2</m:t>
            </m:r>
          </m:sup>
        </m:sSup>
        <m:r>
          <m:rPr>
            <m:sty m:val="p"/>
          </m:rPr>
          <m:t>/</m:t>
        </m:r>
        <m:r>
          <m:rPr>
            <m:sty m:val="p"/>
          </m:rPr>
          <m:t>4</m:t>
        </m:r>
        <m:r>
          <m:rPr>
            <m:sty m:val="i"/>
          </m:rPr>
          <m:t>λ</m:t>
        </m:r>
      </m:oMath>
      <w:r>
        <w:rPr/>
        <w:t xml:space="preserve"> (fig. 7). Calculer </w:t>
      </w:r>
      <m:oMath>
        <m:r>
          <m:rPr>
            <m:sty m:val="i"/>
          </m:rPr>
          <m:t>α</m:t>
        </m:r>
      </m:oMath>
      <w:r>
        <w:rPr/>
        <w:t xml:space="preserve"> et </w:t>
      </w:r>
      <m:oMath>
        <m:sSub>
          <m:sSubPr/>
          <m:e>
            <m:r>
              <m:rPr>
                <m:sty m:val="i"/>
              </m:rPr>
              <m:t>Z</m:t>
            </m:r>
          </m:e>
          <m:sub>
            <m:r>
              <m:rPr>
                <m:sty m:val="p"/>
              </m:rPr>
              <m:t>0</m:t>
            </m:r>
          </m:sub>
        </m:sSub>
      </m:oMath>
      <w:r>
        <w:rPr/>
        <w:t xml:space="preserve"> dans l'air (vitesse du son dans l'air : 330 </w:t>
      </w:r>
      <m:oMath>
        <m:r>
          <m:rPr>
            <m:sty m:val="p"/>
          </m:rPr>
          <m:t>m</m:t>
        </m:r>
        <m:r>
          <m:rPr>
            <m:sty m:val="p"/>
          </m:rPr>
          <m:t>.</m:t>
        </m:r>
        <m:sSup>
          <m:sSupPr/>
          <m:e>
            <m:r>
              <m:rPr>
                <m:sty m:val="p"/>
              </m:rPr>
              <m:t>s</m:t>
            </m:r>
          </m:e>
          <m:sup>
            <m:r>
              <m:rPr>
                <m:sty m:val="p"/>
              </m:rPr>
              <m:t>−</m:t>
            </m:r>
            <m:r>
              <m:rPr>
                <m:sty m:val="p"/>
              </m:rPr>
              <m:t>1</m:t>
            </m:r>
          </m:sup>
        </m:sSup>
      </m:oMath>
      <w:r>
        <w:rPr/>
        <w:t xml:space="preserve"> ), d'abord pour </w:t>
      </w:r>
      <m:oMath>
        <m:sSub>
          <m:sSubPr/>
          <m:e>
            <m:r>
              <m:rPr>
                <m:sty m:val="i"/>
              </m:rPr>
              <m:t>D</m:t>
            </m:r>
          </m:e>
          <m:sub>
            <m:r>
              <m:rPr>
                <m:sty m:val="p"/>
              </m:rPr>
              <m:t>0</m:t>
            </m:r>
          </m:sub>
        </m:sSub>
        <m:r>
          <m:rPr>
            <m:sty m:val="p"/>
          </m:rPr>
          <m:t>=</m:t>
        </m:r>
        <m:r>
          <m:rPr>
            <m:sty m:val="p"/>
          </m:rPr>
          <m:t>10</m:t>
        </m:r>
        <m:r>
          <m:rPr>
            <m:nor/>
          </m:rPr>
          <m:t xml:space="preserve"> </m:t>
        </m:r>
        <m:r>
          <m:rPr>
            <m:sty m:val="p"/>
          </m:rPr>
          <m:t>mm</m:t>
        </m:r>
      </m:oMath>
      <w:r>
        <w:rPr/>
        <w:t xml:space="preserve"> et </w:t>
      </w:r>
      <m:oMath>
        <m:sSub>
          <m:sSubPr/>
          <m:e>
            <m:r>
              <m:rPr>
                <m:sty m:val="i"/>
              </m:rPr>
              <m:t>ν</m:t>
            </m:r>
          </m:e>
          <m:sub>
            <m:r>
              <m:rPr>
                <m:sty m:val="p"/>
              </m:rPr>
              <m:t>0</m:t>
            </m:r>
          </m:sub>
        </m:sSub>
        <m:r>
          <m:rPr>
            <m:sty m:val="p"/>
          </m:rPr>
          <m:t>=</m:t>
        </m:r>
        <m:r>
          <m:rPr>
            <m:sty m:val="p"/>
          </m:rPr>
          <m:t>4</m:t>
        </m:r>
        <m:r>
          <m:rPr>
            <m:sty m:val="p"/>
          </m:rPr>
          <m:t>,</m:t>
        </m:r>
        <m:r>
          <m:rPr>
            <m:sty m:val="p"/>
          </m:rPr>
          <m:t>2</m:t>
        </m:r>
        <m:r>
          <m:rPr>
            <m:sty m:val="p"/>
          </m:rPr>
          <m:t>MHz</m:t>
        </m:r>
      </m:oMath>
      <w:r>
        <w:rPr/>
        <w:t xml:space="preserve">, puis pour </w:t>
      </w:r>
      <m:oMath>
        <m:sSub>
          <m:sSubPr/>
          <m:e>
            <m:r>
              <m:rPr>
                <m:sty m:val="i"/>
              </m:rPr>
              <m:t>D</m:t>
            </m:r>
          </m:e>
          <m:sub>
            <m:r>
              <m:rPr>
                <m:sty m:val="p"/>
              </m:rPr>
              <m:t>1</m:t>
            </m:r>
          </m:sub>
        </m:sSub>
        <m:r>
          <m:rPr>
            <m:sty m:val="p"/>
          </m:rPr>
          <m:t>=</m:t>
        </m:r>
        <m:sSub>
          <m:sSubPr/>
          <m:e>
            <m:r>
              <m:rPr>
                <m:sty m:val="i"/>
              </m:rPr>
              <m:t>D</m:t>
            </m:r>
          </m:e>
          <m:sub>
            <m:r>
              <m:rPr>
                <m:sty m:val="p"/>
              </m:rPr>
              <m:t>0</m:t>
            </m:r>
          </m:sub>
        </m:sSub>
        <m:r>
          <m:rPr>
            <m:sty m:val="p"/>
          </m:rPr>
          <m:t>/</m:t>
        </m:r>
        <m:r>
          <m:rPr>
            <m:sty m:val="p"/>
          </m:rPr>
          <m:t>2</m:t>
        </m:r>
      </m:oMath>
      <w:r>
        <w:rPr/>
        <w:t xml:space="preserve"> et </w:t>
      </w:r>
      <m:oMath>
        <m:sSub>
          <m:sSubPr/>
          <m:e>
            <m:r>
              <m:rPr>
                <m:sty m:val="i"/>
              </m:rPr>
              <m:t>ν</m:t>
            </m:r>
          </m:e>
          <m:sub>
            <m:r>
              <m:rPr>
                <m:sty m:val="p"/>
              </m:rPr>
              <m:t>1</m:t>
            </m:r>
          </m:sub>
        </m:sSub>
        <m:r>
          <m:rPr>
            <m:sty m:val="p"/>
          </m:rPr>
          <m:t>=</m:t>
        </m:r>
        <m:r>
          <m:rPr>
            <m:sty m:val="p"/>
          </m:rPr>
          <m:t>2</m:t>
        </m:r>
        <m:sSub>
          <m:sSubPr/>
          <m:e>
            <m:r>
              <m:rPr>
                <m:sty m:val="i"/>
              </m:rPr>
              <m:t>ν</m:t>
            </m:r>
          </m:e>
          <m:sub>
            <m:r>
              <m:rPr>
                <m:sty m:val="p"/>
              </m:rPr>
              <m:t>0</m:t>
            </m:r>
          </m:sub>
        </m:sSub>
      </m:oMath>
      <w:r>
        <w:rPr>
          <w:rFonts w:eastAsia="Georgia" w:cs="Georgia" w:ascii="Georgia" w:hAnsi="Georgia"/>
        </w:rPr>
        <w:t xml:space="preserve">. Quel émetteur a-t-on intérêt à choisir ?</w:t>
      </w:r>
    </w:p>
    <w:p>
      <w:pPr>
        <w:spacing w:lineRule="auto"/>
        <w:jc w:val="center"/>
      </w:pPr>
      <w:r>
        <w:rPr/>
        <w:drawing>
          <wp:inline distB="0" distL="0" distR="0" distT="0">
            <wp:extent cx="5486400" cy="2349423"/>
            <wp:effectExtent b="0" l="0" r="0" t="0"/>
            <wp:docPr id="4" name="image-2e73f17867b6c458988b7854db1dd21ee61ad0cb.jpg"/>
            <a:graphic>
              <a:graphicData uri="http://schemas.openxmlformats.org/drawingml/2006/picture">
                <pic:pic>
                  <pic:nvPicPr>
                    <pic:cNvPr id="4" name="image-2e73f17867b6c458988b7854db1dd21ee61ad0cb.jpg" descr=""/>
                    <pic:cNvPicPr/>
                  </pic:nvPicPr>
                  <pic:blipFill>
                    <a:blip r:embed="rId8" cstate="print"/>
                    <a:srcRect b="0" l="0" r="0" t="0"/>
                    <a:stretch>
                      <a:fillRect/>
                    </a:stretch>
                  </pic:blipFill>
                  <pic:spPr>
                    <a:xfrm>
                      <a:off x="0" y="0"/>
                      <a:ext cx="5486400" cy="2349423"/>
                    </a:xfrm>
                    <a:prstGeom prst="rect"/>
                  </pic:spPr>
                </pic:pic>
              </a:graphicData>
            </a:graphic>
          </wp:inline>
        </w:drawing>
      </w:r>
    </w:p>
    <w:p>
      <w:pPr>
        <w:spacing w:lineRule="auto"/>
      </w:pPr>
      <w:r>
        <w:rPr>
          <w:rFonts w:eastAsia="Georgia" w:cs="Georgia" w:ascii="Georgia" w:hAnsi="Georgia"/>
        </w:rPr>
        <w:t xml:space="preserve">Fig. 8 : Transducteur, relais, coupleur et matériau</w:t>
      </w:r>
    </w:p>
    <w:p>
      <w:pPr>
        <w:spacing w:after="220" w:lineRule="auto"/>
      </w:pPr>
      <w:r>
        <w:rPr>
          <w:rFonts w:eastAsia="Georgia" w:cs="Georgia" w:ascii="Georgia" w:hAnsi="Georgia"/>
        </w:rPr>
        <w:t xml:space="preserve">10 - L'échantillon doit être placé à la limite du champ proche de l'émetteur (voir annexe B). On souhaite que l'échantillon soit le plus rapproché possible de l'émetteur, tout en étant hors de la zone de champ proche. Pour ce but, on place un relais de Plexiglas contre l'émetteur (fig. 8). Déterminer l'épaisseur </w:t>
      </w:r>
      <m:oMath>
        <m:sSub>
          <m:sSubPr/>
          <m:e>
            <m:r>
              <m:rPr>
                <m:sty m:val="i"/>
              </m:rPr>
              <m:t>e</m:t>
            </m:r>
          </m:e>
          <m:sub>
            <m:r>
              <m:rPr>
                <m:sty m:val="p"/>
              </m:rPr>
              <m:t>r</m:t>
            </m:r>
          </m:sub>
        </m:sSub>
      </m:oMath>
      <w:r>
        <w:rPr>
          <w:rFonts w:eastAsia="Georgia" w:cs="Georgia" w:ascii="Georgia" w:hAnsi="Georgia"/>
        </w:rPr>
        <w:t xml:space="preserve"> du relais permettant la réduction maximale de </w:t>
      </w:r>
      <m:oMath>
        <m:sSub>
          <m:sSubPr/>
          <m:e>
            <m:r>
              <m:rPr>
                <m:sty m:val="i"/>
              </m:rPr>
              <m:t>Z</m:t>
            </m:r>
          </m:e>
          <m:sub>
            <m:r>
              <m:rPr>
                <m:sty m:val="p"/>
              </m:rPr>
              <m:t>0</m:t>
            </m:r>
          </m:sub>
        </m:sSub>
      </m:oMath>
      <w:r>
        <w:rPr>
          <w:rFonts w:eastAsia="Georgia" w:cs="Georgia" w:ascii="Georgia" w:hAnsi="Georgia"/>
        </w:rPr>
        <w:t xml:space="preserve"> et calculer sa valeur numérique pour </w:t>
      </w:r>
      <m:oMath>
        <m:r>
          <m:rPr>
            <m:sty m:val="i"/>
          </m:rPr>
          <m:t>D</m:t>
        </m:r>
        <m:r>
          <m:rPr>
            <m:sty m:val="p"/>
          </m:rPr>
          <m:t>=</m:t>
        </m:r>
        <m:r>
          <m:rPr>
            <m:sty m:val="p"/>
          </m:rPr>
          <m:t>2</m:t>
        </m:r>
        <m:r>
          <m:rPr>
            <m:sty m:val="p"/>
          </m:rPr>
          <m:t>,</m:t>
        </m:r>
        <m:r>
          <m:rPr>
            <m:sty m:val="p"/>
          </m:rPr>
          <m:t>6</m:t>
        </m:r>
        <m:r>
          <m:rPr>
            <m:nor/>
          </m:rPr>
          <m:t xml:space="preserve"> </m:t>
        </m:r>
        <m:r>
          <m:rPr>
            <m:sty m:val="p"/>
          </m:rPr>
          <m:t>mm</m:t>
        </m:r>
      </m:oMath>
      <w:r>
        <w:rPr/>
        <w:t xml:space="preserve"> et </w:t>
      </w:r>
      <m:oMath>
        <m:r>
          <m:rPr>
            <m:sty m:val="i"/>
          </m:rPr>
          <m:t>ν</m:t>
        </m:r>
        <m:r>
          <m:rPr>
            <m:sty m:val="p"/>
          </m:rPr>
          <m:t>=</m:t>
        </m:r>
        <m:r>
          <m:rPr>
            <m:sty m:val="p"/>
          </m:rPr>
          <m:t>4</m:t>
        </m:r>
        <m:r>
          <m:rPr>
            <m:sty m:val="p"/>
          </m:rPr>
          <m:t>,</m:t>
        </m:r>
        <m:r>
          <m:rPr>
            <m:sty m:val="p"/>
          </m:rPr>
          <m:t>2</m:t>
        </m:r>
        <m:r>
          <m:rPr>
            <m:sty m:val="p"/>
          </m:rPr>
          <m:t>MHz</m:t>
        </m:r>
      </m:oMath>
      <w:r>
        <w:rPr>
          <w:rFonts w:eastAsia="Georgia" w:cs="Georgia" w:ascii="Georgia" w:hAnsi="Georgia"/>
        </w:rPr>
        <w:t xml:space="preserve">, la vitesse du son dans le Plexiglas étant </w:t>
      </w:r>
      <m:oMath>
        <m:sSub>
          <m:sSubPr/>
          <m:e>
            <m:r>
              <m:rPr>
                <m:sty m:val="i"/>
              </m:rPr>
              <m:t>c</m:t>
            </m:r>
          </m:e>
          <m:sub>
            <m:r>
              <m:rPr>
                <m:sty m:val="p"/>
              </m:rPr>
              <m:t>P</m:t>
            </m:r>
          </m:sub>
        </m:sSub>
        <m:r>
          <m:rPr>
            <m:sty m:val="p"/>
          </m:rPr>
          <m:t>=</m:t>
        </m:r>
        <m:r>
          <m:rPr>
            <m:sty m:val="p"/>
          </m:rPr>
          <m:t>2300</m:t>
        </m:r>
        <m:r>
          <m:rPr>
            <m:nor/>
          </m:rPr>
          <m:t xml:space="preserve"> </m:t>
        </m:r>
        <m:r>
          <m:rPr>
            <m:sty m:val="p"/>
          </m:rPr>
          <m:t>m</m:t>
        </m:r>
        <m:r>
          <m:rPr>
            <m:sty m:val="p"/>
          </m:rPr>
          <m:t>.</m:t>
        </m:r>
        <m:sSup>
          <m:sSupPr/>
          <m:e>
            <m:r>
              <m:rPr>
                <m:sty m:val="p"/>
              </m:rPr>
              <m:t>s</m:t>
            </m:r>
          </m:e>
          <m:sup>
            <m:r>
              <m:rPr>
                <m:sty m:val="p"/>
              </m:rPr>
              <m:t>−</m:t>
            </m:r>
            <m:r>
              <m:rPr>
                <m:sty m:val="p"/>
              </m:rPr>
              <m:t>1</m:t>
            </m:r>
          </m:sup>
        </m:sSup>
      </m:oMath>
      <w:r>
        <w:rPr/>
        <w:t xml:space="preserve">.</w:t>
      </w:r>
    </w:p>
    <w:p>
      <w:pPr>
        <w:spacing w:lineRule="auto"/>
        <w:jc w:val="center"/>
      </w:pPr>
      <w:r>
        <w:rPr/>
        <w:drawing>
          <wp:inline distB="0" distL="0" distR="0" distT="0">
            <wp:extent cx="4029075" cy="2047875"/>
            <wp:effectExtent b="0" l="0" r="0" t="0"/>
            <wp:docPr id="5" name="image-2b0de963fec08a2e0f25d361fe0f67744894b337.jpg"/>
            <a:graphic>
              <a:graphicData uri="http://schemas.openxmlformats.org/drawingml/2006/picture">
                <pic:pic>
                  <pic:nvPicPr>
                    <pic:cNvPr id="5" name="image-2b0de963fec08a2e0f25d361fe0f67744894b337.jpg" descr=""/>
                    <pic:cNvPicPr/>
                  </pic:nvPicPr>
                  <pic:blipFill>
                    <a:blip r:embed="rId9" cstate="print"/>
                    <a:srcRect b="0" l="0" r="0" t="0"/>
                    <a:stretch>
                      <a:fillRect/>
                    </a:stretch>
                  </pic:blipFill>
                  <pic:spPr>
                    <a:xfrm>
                      <a:off x="0" y="0"/>
                      <a:ext cx="4029075" cy="2047875"/>
                    </a:xfrm>
                    <a:prstGeom prst="rect"/>
                  </pic:spPr>
                </pic:pic>
              </a:graphicData>
            </a:graphic>
          </wp:inline>
        </w:drawing>
      </w:r>
    </w:p>
    <w:p>
      <w:pPr>
        <w:spacing w:lineRule="auto"/>
      </w:pPr>
      <w:r>
        <w:rPr/>
        <w:t xml:space="preserve">Fig. 9 : Traitement du faisceau par surface concave</w:t>
      </w:r>
    </w:p>
    <w:p>
      <w:pPr>
        <w:spacing w:after="220" w:lineRule="auto"/>
      </w:pPr>
      <m:oMath>
        <m:r>
          <m:rPr>
            <m:sty m:val="i"/>
          </m:rPr>
          <m:t>◻</m:t>
        </m:r>
        <m:r>
          <m:rPr>
            <m:sty m:val="p"/>
          </m:rPr>
          <m:t>11</m:t>
        </m:r>
      </m:oMath>
      <w:r>
        <w:rPr>
          <w:rFonts w:eastAsia="Georgia" w:cs="Georgia" w:ascii="Georgia" w:hAnsi="Georgia"/>
        </w:rPr>
        <w:t xml:space="preserve"> - En plaçant une pastille concave contre la céramique (fig. 9), on peut obtenir une focalisation du faisceau à la distance </w:t>
      </w:r>
      <m:oMath>
        <m:r>
          <m:rPr>
            <m:sty m:val="i"/>
          </m:rPr>
          <m:t>Z</m:t>
        </m:r>
        <m:r>
          <m:rPr>
            <m:sty m:val="p"/>
          </m:rPr>
          <m:t>=</m:t>
        </m:r>
        <m:sSub>
          <m:sSubPr/>
          <m:e>
            <m:r>
              <m:rPr>
                <m:sty m:val="i"/>
              </m:rPr>
              <m:t>f</m:t>
            </m:r>
          </m:e>
          <m:sub>
            <m:r>
              <m:rPr>
                <m:sty m:val="p"/>
              </m:rPr>
              <m:t>ac</m:t>
            </m:r>
          </m:sub>
        </m:sSub>
      </m:oMath>
      <w:r>
        <w:rPr>
          <w:rFonts w:eastAsia="Georgia" w:cs="Georgia" w:ascii="Georgia" w:hAnsi="Georgia"/>
        </w:rPr>
        <w:t xml:space="preserve">. Est-il intéressant d'obtenir une focalisation en un point ? Comment faudrait-il procéder pour analyser un échantillon d'épaisseur </w:t>
      </w:r>
      <m:oMath>
        <m:sSub>
          <m:sSubPr/>
          <m:e>
            <m:r>
              <m:rPr>
                <m:sty m:val="i"/>
              </m:rPr>
              <m:t>e</m:t>
            </m:r>
          </m:e>
          <m:sub>
            <m:r>
              <m:rPr>
                <m:sty m:val="p"/>
              </m:rPr>
              <m:t>c</m:t>
            </m:r>
          </m:sub>
        </m:sSub>
      </m:oMath>
      <w:r>
        <w:rPr/>
        <w:t xml:space="preserve"> ?</w:t>
      </w:r>
      <w:r>
        <w:rPr/>
        <w:br w:type="textWrapping"/>
      </w:r>
      <m:oMath>
        <m:r>
          <m:rPr>
            <m:sty m:val="i"/>
          </m:rPr>
          <m:t>◻</m:t>
        </m:r>
        <m:r>
          <m:rPr>
            <m:sty m:val="p"/>
          </m:rPr>
          <m:t>12</m:t>
        </m:r>
      </m:oMath>
      <w:r>
        <w:rPr>
          <w:rFonts w:eastAsia="Georgia" w:cs="Georgia" w:ascii="Georgia" w:hAnsi="Georgia"/>
        </w:rPr>
        <w:t xml:space="preserve"> - En pratique on obtient une tache focale. Dans le cas de la sonde plane, émetteur associé à une pastille concave de façon que </w:t>
      </w:r>
      <m:oMath>
        <m:sSub>
          <m:sSubPr/>
          <m:e>
            <m:r>
              <m:rPr>
                <m:sty m:val="i"/>
              </m:rPr>
              <m:t>f</m:t>
            </m:r>
          </m:e>
          <m:sub>
            <m:r>
              <m:rPr>
                <m:sty m:val="p"/>
              </m:rPr>
              <m:t>ac</m:t>
            </m:r>
          </m:sub>
        </m:sSub>
        <m:r>
          <m:rPr>
            <m:sty m:val="p"/>
          </m:rPr>
          <m:t>=</m:t>
        </m:r>
        <m:sSub>
          <m:sSubPr/>
          <m:e>
            <m:r>
              <m:rPr>
                <m:sty m:val="i"/>
              </m:rPr>
              <m:t>Z</m:t>
            </m:r>
          </m:e>
          <m:sub>
            <m:r>
              <m:rPr>
                <m:sty m:val="p"/>
              </m:rPr>
              <m:t>0</m:t>
            </m:r>
          </m:sub>
        </m:sSub>
      </m:oMath>
      <w:r>
        <w:rPr>
          <w:rFonts w:eastAsia="Georgia" w:cs="Georgia" w:ascii="Georgia" w:hAnsi="Georgia"/>
        </w:rPr>
        <w:t xml:space="preserve">, la tache focale à -6 dB peut être assimilée à un cylindre de diamètre </w:t>
      </w:r>
      <m:oMath>
        <m:sSub>
          <m:sSubPr/>
          <m:e>
            <m:r>
              <m:rPr>
                <m:sty m:val="p"/>
              </m:rPr>
              <m:t>Φ</m:t>
            </m:r>
          </m:e>
          <m:sub>
            <m:r>
              <m:rPr>
                <m:sty m:val="p"/>
              </m:rPr>
              <m:t>f</m:t>
            </m:r>
          </m:sub>
        </m:sSub>
        <m:r>
          <m:rPr>
            <m:sty m:val="p"/>
          </m:rPr>
          <m:t>=</m:t>
        </m:r>
        <m:r>
          <m:rPr>
            <m:sty m:val="i"/>
          </m:rPr>
          <m:t>D</m:t>
        </m:r>
        <m:r>
          <m:rPr>
            <m:sty m:val="p"/>
          </m:rPr>
          <m:t>/</m:t>
        </m:r>
        <m:r>
          <m:rPr>
            <m:sty m:val="p"/>
          </m:rPr>
          <m:t>4</m:t>
        </m:r>
      </m:oMath>
      <w:r>
        <w:rPr/>
        <w:t xml:space="preserve"> entre les abscisses </w:t>
      </w:r>
      <m:oMath>
        <m:sSub>
          <m:sSubPr/>
          <m:e>
            <m:r>
              <m:rPr>
                <m:sty m:val="i"/>
              </m:rPr>
              <m:t>Z</m:t>
            </m:r>
          </m:e>
          <m:sub>
            <m:r>
              <m:rPr>
                <m:sty m:val="p"/>
              </m:rPr>
              <m:t>1</m:t>
            </m:r>
          </m:sub>
        </m:sSub>
        <m:r>
          <m:rPr>
            <m:sty m:val="p"/>
          </m:rPr>
          <m:t>=</m:t>
        </m:r>
        <m:r>
          <m:rPr>
            <m:sty m:val="p"/>
          </m:rPr>
          <m:t>(</m:t>
        </m:r>
        <m:r>
          <m:rPr>
            <m:sty m:val="p"/>
          </m:rPr>
          <m:t>2</m:t>
        </m:r>
        <m:r>
          <m:rPr>
            <m:sty m:val="p"/>
          </m:rPr>
          <m:t>/</m:t>
        </m:r>
        <m:r>
          <m:rPr>
            <m:sty m:val="p"/>
          </m:rPr>
          <m:t>3</m:t>
        </m:r>
        <m:r>
          <m:rPr>
            <m:sty m:val="p"/>
          </m:rPr>
          <m:t>)</m:t>
        </m:r>
        <m:sSub>
          <m:sSubPr/>
          <m:e>
            <m:r>
              <m:rPr>
                <m:sty m:val="i"/>
              </m:rPr>
              <m:t>Z</m:t>
            </m:r>
          </m:e>
          <m:sub>
            <m:r>
              <m:rPr>
                <m:sty m:val="p"/>
              </m:rPr>
              <m:t>0</m:t>
            </m:r>
          </m:sub>
        </m:sSub>
      </m:oMath>
      <w:r>
        <w:rPr/>
        <w:t xml:space="preserve"> et </w:t>
      </w:r>
      <m:oMath>
        <m:sSub>
          <m:sSubPr/>
          <m:e>
            <m:r>
              <m:rPr>
                <m:sty m:val="i"/>
              </m:rPr>
              <m:t>Z</m:t>
            </m:r>
          </m:e>
          <m:sub>
            <m:r>
              <m:rPr>
                <m:sty m:val="p"/>
              </m:rPr>
              <m:t>2</m:t>
            </m:r>
          </m:sub>
        </m:sSub>
        <m:r>
          <m:rPr>
            <m:sty m:val="p"/>
          </m:rPr>
          <m:t>=</m:t>
        </m:r>
        <m:r>
          <m:rPr>
            <m:sty m:val="p"/>
          </m:rPr>
          <m:t>2</m:t>
        </m:r>
        <m:sSub>
          <m:sSubPr/>
          <m:e>
            <m:r>
              <m:rPr>
                <m:sty m:val="i"/>
              </m:rPr>
              <m:t>Z</m:t>
            </m:r>
          </m:e>
          <m:sub>
            <m:r>
              <m:rPr>
                <m:sty m:val="p"/>
              </m:rPr>
              <m:t>0</m:t>
            </m:r>
          </m:sub>
        </m:sSub>
      </m:oMath>
      <w:r>
        <w:rPr>
          <w:rFonts w:eastAsia="Georgia" w:cs="Georgia" w:ascii="Georgia" w:hAnsi="Georgia"/>
        </w:rPr>
        <w:t xml:space="preserve">. La focalisation par la pastille s'oppose en effet à la divergence naturelle du faisceau. Déterminer la longueur </w:t>
      </w:r>
      <m:oMath>
        <m:sSub>
          <m:sSubPr/>
          <m:e>
            <m:r>
              <m:rPr>
                <m:sty m:val="i"/>
              </m:rPr>
              <m:t>d</m:t>
            </m:r>
          </m:e>
          <m:sub>
            <m:r>
              <m:rPr>
                <m:sty m:val="p"/>
              </m:rPr>
              <m:t>f</m:t>
            </m:r>
          </m:sub>
        </m:sSub>
      </m:oMath>
      <w:r>
        <w:rPr>
          <w:rFonts w:eastAsia="Georgia" w:cs="Georgia" w:ascii="Georgia" w:hAnsi="Georgia"/>
        </w:rPr>
        <w:t xml:space="preserve"> de la tache focale à -6 dB en fonction de </w:t>
      </w:r>
      <m:oMath>
        <m:r>
          <m:rPr>
            <m:sty m:val="i"/>
          </m:rPr>
          <m:t>D</m:t>
        </m:r>
        <m:r>
          <m:rPr>
            <m:sty m:val="p"/>
          </m:rPr>
          <m:t>,</m:t>
        </m:r>
        <m:r>
          <m:rPr>
            <m:sty m:val="i"/>
          </m:rPr>
          <m:t>v</m:t>
        </m:r>
      </m:oMath>
      <w:r>
        <w:rPr/>
        <w:t xml:space="preserve"> et </w:t>
      </w:r>
      <m:oMath>
        <m:sSub>
          <m:sSubPr/>
          <m:e>
            <m:r>
              <m:rPr>
                <m:sty m:val="i"/>
              </m:rPr>
              <m:t>c</m:t>
            </m:r>
          </m:e>
          <m:sub>
            <m:r>
              <m:rPr>
                <m:sty m:val="p"/>
              </m:rPr>
              <m:t>c</m:t>
            </m:r>
          </m:sub>
        </m:sSub>
      </m:oMath>
      <w:r>
        <w:rPr>
          <w:rFonts w:eastAsia="Georgia" w:cs="Georgia" w:ascii="Georgia" w:hAnsi="Georgia"/>
        </w:rPr>
        <w:t xml:space="preserve">, célérité dans l'échantillon.</w:t>
      </w:r>
      <w:r>
        <w:rPr/>
        <w:br w:type="textWrapping"/>
      </w:r>
      <m:oMath>
        <m:r>
          <m:rPr>
            <m:sty m:val="i"/>
          </m:rPr>
          <m:t>◻</m:t>
        </m:r>
        <m:r>
          <m:rPr>
            <m:sty m:val="p"/>
          </m:rPr>
          <m:t>13</m:t>
        </m:r>
      </m:oMath>
      <w:r>
        <w:rPr>
          <w:rFonts w:eastAsia="Georgia" w:cs="Georgia" w:ascii="Georgia" w:hAnsi="Georgia"/>
        </w:rPr>
        <w:t xml:space="preserve"> - À la distance </w:t>
      </w:r>
      <m:oMath>
        <m:r>
          <m:rPr>
            <m:sty m:val="i"/>
          </m:rPr>
          <m:t>Z</m:t>
        </m:r>
      </m:oMath>
      <w:r>
        <w:rPr>
          <w:rFonts w:eastAsia="Georgia" w:cs="Georgia" w:ascii="Georgia" w:hAnsi="Georgia"/>
        </w:rPr>
        <w:t xml:space="preserve"> de l'émetteur, le diamètre du faisceau à - 6 dB est </w:t>
      </w:r>
      <m:oMath>
        <m:r>
          <m:rPr>
            <m:sty m:val="p"/>
          </m:rPr>
          <m:t>Φ</m:t>
        </m:r>
        <m:r>
          <m:rPr>
            <m:sty m:val="p"/>
          </m:rPr>
          <m:t>(</m:t>
        </m:r>
        <m:r>
          <m:rPr>
            <m:sty m:val="i"/>
          </m:rPr>
          <m:t>Z</m:t>
        </m:r>
        <m:r>
          <m:rPr>
            <m:sty m:val="p"/>
          </m:rPr>
          <m:t>)</m:t>
        </m:r>
        <m:r>
          <m:rPr>
            <m:sty m:val="p"/>
          </m:rPr>
          <m:t>=</m:t>
        </m:r>
        <m:r>
          <m:rPr>
            <m:sty m:val="i"/>
          </m:rPr>
          <m:t>λ</m:t>
        </m:r>
        <m:r>
          <m:rPr>
            <m:sty m:val="i"/>
          </m:rPr>
          <m:t>Z</m:t>
        </m:r>
        <m:r>
          <m:rPr>
            <m:sty m:val="p"/>
          </m:rPr>
          <m:t>/</m:t>
        </m:r>
        <m:r>
          <m:rPr>
            <m:sty m:val="i"/>
          </m:rPr>
          <m:t>D</m:t>
        </m:r>
      </m:oMath>
      <w:r>
        <w:rPr/>
        <w:t xml:space="preserve">. Donner l'expression de </w:t>
      </w:r>
      <m:oMath>
        <m:r>
          <m:rPr>
            <m:sty m:val="p"/>
          </m:rPr>
          <m:t>Φ</m:t>
        </m:r>
        <m:r>
          <m:rPr>
            <m:sty m:val="p"/>
          </m:rPr>
          <m:t>(</m:t>
        </m:r>
        <m:r>
          <m:rPr>
            <m:sty m:val="i"/>
          </m:rPr>
          <m:t>Z</m:t>
        </m:r>
        <m:r>
          <m:rPr>
            <m:sty m:val="p"/>
          </m:rPr>
          <m:t>)</m:t>
        </m:r>
      </m:oMath>
      <w:r>
        <w:rPr/>
        <w:t xml:space="preserve"> en fonction de </w:t>
      </w:r>
      <m:oMath>
        <m:r>
          <m:rPr>
            <m:sty m:val="i"/>
          </m:rPr>
          <m:t>D</m:t>
        </m:r>
        <m:r>
          <m:rPr>
            <m:sty m:val="p"/>
          </m:rPr>
          <m:t>,</m:t>
        </m:r>
        <m:r>
          <m:rPr>
            <m:sty m:val="i"/>
          </m:rPr>
          <m:t>Z</m:t>
        </m:r>
      </m:oMath>
      <w:r>
        <w:rPr/>
        <w:t xml:space="preserve"> et </w:t>
      </w:r>
      <m:oMath>
        <m:sSub>
          <m:sSubPr/>
          <m:e>
            <m:r>
              <m:rPr>
                <m:sty m:val="i"/>
              </m:rPr>
              <m:t>Z</m:t>
            </m:r>
          </m:e>
          <m:sub>
            <m:r>
              <m:rPr>
                <m:sty m:val="p"/>
              </m:rPr>
              <m:t>0</m:t>
            </m:r>
          </m:sub>
        </m:sSub>
      </m:oMath>
      <w:r>
        <w:rPr>
          <w:rFonts w:eastAsia="Georgia" w:cs="Georgia" w:ascii="Georgia" w:hAnsi="Georgia"/>
        </w:rPr>
        <w:t xml:space="preserve">. Calculer la valeur numérique de l'extension </w:t>
      </w:r>
      <m:oMath>
        <m:sSub>
          <m:sSubPr/>
          <m:e>
            <m:r>
              <m:rPr>
                <m:sty m:val="i"/>
              </m:rPr>
              <m:t>d</m:t>
            </m:r>
          </m:e>
          <m:sub>
            <m:r>
              <m:rPr>
                <m:sty m:val="p"/>
              </m:rPr>
              <m:t>f</m:t>
            </m:r>
          </m:sub>
        </m:sSub>
      </m:oMath>
      <w:r>
        <w:rPr>
          <w:rFonts w:eastAsia="Georgia" w:cs="Georgia" w:ascii="Georgia" w:hAnsi="Georgia"/>
        </w:rPr>
        <w:t xml:space="preserve"> de la tache focale à -6 dB dans un matériau où </w:t>
      </w:r>
      <m:oMath>
        <m:sSub>
          <m:sSubPr/>
          <m:e>
            <m:r>
              <m:rPr>
                <m:sty m:val="i"/>
              </m:rPr>
              <m:t>c</m:t>
            </m:r>
          </m:e>
          <m:sub>
            <m:r>
              <m:rPr>
                <m:sty m:val="p"/>
              </m:rPr>
              <m:t>c</m:t>
            </m:r>
          </m:sub>
        </m:sSub>
        <m:r>
          <m:rPr>
            <m:sty m:val="p"/>
          </m:rPr>
          <m:t>=</m:t>
        </m:r>
        <m:r>
          <m:rPr>
            <m:sty m:val="p"/>
          </m:rPr>
          <m:t>3000</m:t>
        </m:r>
        <m:r>
          <m:rPr>
            <m:nor/>
          </m:rPr>
          <m:t xml:space="preserve"> </m:t>
        </m:r>
        <m:r>
          <m:rPr>
            <m:sty m:val="p"/>
          </m:rPr>
          <m:t>m</m:t>
        </m:r>
        <m:r>
          <m:rPr>
            <m:sty m:val="p"/>
          </m:rPr>
          <m:t>.</m:t>
        </m:r>
        <m:sSup>
          <m:sSupPr/>
          <m:e>
            <m:r>
              <m:rPr>
                <m:sty m:val="p"/>
              </m:rPr>
              <m:t>s</m:t>
            </m:r>
          </m:e>
          <m:sup>
            <m:r>
              <m:rPr>
                <m:sty m:val="p"/>
              </m:rPr>
              <m:t>−</m:t>
            </m:r>
            <m:r>
              <m:rPr>
                <m:sty m:val="p"/>
              </m:rPr>
              <m:t>1</m:t>
            </m:r>
          </m:sup>
        </m:sSup>
      </m:oMath>
      <w:r>
        <w:rPr/>
        <w:t xml:space="preserve"> dans les deux cas suivants : </w:t>
      </w:r>
      <m:oMath>
        <m:r>
          <m:rPr>
            <m:sty m:val="i"/>
          </m:rPr>
          <m:t>ν</m:t>
        </m:r>
        <m:r>
          <m:rPr>
            <m:sty m:val="p"/>
          </m:rPr>
          <m:t>=</m:t>
        </m:r>
        <m:r>
          <m:rPr>
            <m:sty m:val="p"/>
          </m:rPr>
          <m:t>4</m:t>
        </m:r>
        <m:r>
          <m:rPr>
            <m:sty m:val="p"/>
          </m:rPr>
          <m:t>,</m:t>
        </m:r>
        <m:r>
          <m:rPr>
            <m:sty m:val="p"/>
          </m:rPr>
          <m:t>2</m:t>
        </m:r>
        <m:r>
          <m:rPr>
            <m:sty m:val="p"/>
          </m:rPr>
          <m:t>MHz</m:t>
        </m:r>
      </m:oMath>
      <w:r>
        <w:rPr/>
        <w:t xml:space="preserve"> et </w:t>
      </w:r>
      <m:oMath>
        <m:r>
          <m:rPr>
            <m:sty m:val="i"/>
          </m:rPr>
          <m:t>D</m:t>
        </m:r>
        <m:r>
          <m:rPr>
            <m:sty m:val="p"/>
          </m:rPr>
          <m:t>=</m:t>
        </m:r>
        <m:r>
          <m:rPr>
            <m:sty m:val="p"/>
          </m:rPr>
          <m:t>5</m:t>
        </m:r>
        <m:r>
          <m:rPr>
            <m:nor/>
          </m:rPr>
          <m:t xml:space="preserve"> </m:t>
        </m:r>
        <m:r>
          <m:rPr>
            <m:sty m:val="p"/>
          </m:rPr>
          <m:t>mm</m:t>
        </m:r>
      </m:oMath>
      <w:r>
        <w:rPr/>
        <w:t xml:space="preserve">, puis </w:t>
      </w:r>
      <m:oMath>
        <m:r>
          <m:rPr>
            <m:sty m:val="i"/>
          </m:rPr>
          <m:t>ν</m:t>
        </m:r>
        <m:r>
          <m:rPr>
            <m:sty m:val="p"/>
          </m:rPr>
          <m:t>=</m:t>
        </m:r>
        <m:r>
          <m:rPr>
            <m:sty m:val="p"/>
          </m:rPr>
          <m:t>8</m:t>
        </m:r>
        <m:r>
          <m:rPr>
            <m:sty m:val="p"/>
          </m:rPr>
          <m:t>,</m:t>
        </m:r>
        <m:r>
          <m:rPr>
            <m:sty m:val="p"/>
          </m:rPr>
          <m:t>4</m:t>
        </m:r>
        <m:r>
          <m:rPr>
            <m:sty m:val="p"/>
          </m:rPr>
          <m:t>MHz</m:t>
        </m:r>
      </m:oMath>
      <w:r>
        <w:rPr/>
        <w:t xml:space="preserve"> et </w:t>
      </w:r>
      <m:oMath>
        <m:r>
          <m:rPr>
            <m:sty m:val="i"/>
          </m:rPr>
          <m:t>D</m:t>
        </m:r>
        <m:r>
          <m:rPr>
            <m:sty m:val="p"/>
          </m:rPr>
          <m:t>=</m:t>
        </m:r>
        <m:r>
          <m:rPr>
            <m:sty m:val="p"/>
          </m:rPr>
          <m:t>10</m:t>
        </m:r>
        <m:r>
          <m:rPr>
            <m:nor/>
          </m:rPr>
          <m:t xml:space="preserve"> </m:t>
        </m:r>
        <m:r>
          <m:rPr>
            <m:sty m:val="p"/>
          </m:rPr>
          <m:t>mm</m:t>
        </m:r>
      </m:oMath>
      <w:r>
        <w:rPr/>
        <w:t xml:space="preserve">. Donner l'allure du faisceau.</w:t>
      </w:r>
      <w:r>
        <w:rPr/>
        <w:br w:type="textWrapping"/>
      </w:r>
      <m:oMath>
        <m:r>
          <m:rPr>
            <m:sty m:val="i"/>
          </m:rPr>
          <m:t>◻</m:t>
        </m:r>
        <m:r>
          <m:rPr>
            <m:sty m:val="p"/>
          </m:rPr>
          <m:t>14</m:t>
        </m:r>
      </m:oMath>
      <w:r>
        <w:rPr/>
        <w:t xml:space="preserve"> - Pourquoi faut-il que la longueur </w:t>
      </w:r>
      <m:oMath>
        <m:sSub>
          <m:sSubPr/>
          <m:e>
            <m:r>
              <m:rPr>
                <m:sty m:val="i"/>
              </m:rPr>
              <m:t>d</m:t>
            </m:r>
          </m:e>
          <m:sub>
            <m:r>
              <m:rPr>
                <m:sty m:val="p"/>
              </m:rPr>
              <m:t>f</m:t>
            </m:r>
          </m:sub>
        </m:sSub>
      </m:oMath>
      <w:r>
        <w:rPr>
          <w:rFonts w:eastAsia="Georgia" w:cs="Georgia" w:ascii="Georgia" w:hAnsi="Georgia"/>
        </w:rPr>
        <w:t xml:space="preserve"> de la tache focale à -6 dB soit au moins égale à l'épaisseur </w:t>
      </w:r>
      <m:oMath>
        <m:sSub>
          <m:sSubPr/>
          <m:e>
            <m:r>
              <m:rPr>
                <m:sty m:val="i"/>
              </m:rPr>
              <m:t>e</m:t>
            </m:r>
          </m:e>
          <m:sub>
            <m:r>
              <m:rPr>
                <m:sty m:val="p"/>
              </m:rPr>
              <m:t>c</m:t>
            </m:r>
          </m:sub>
        </m:sSub>
      </m:oMath>
      <w:r>
        <w:rPr>
          <w:rFonts w:eastAsia="Georgia" w:cs="Georgia" w:ascii="Georgia" w:hAnsi="Georgia"/>
        </w:rPr>
        <w:t xml:space="preserve"> de l'échantillon à analyser ? Déterminer </w:t>
      </w:r>
      <m:oMath>
        <m:r>
          <m:rPr>
            <m:sty m:val="i"/>
          </m:rPr>
          <m:t>D</m:t>
        </m:r>
      </m:oMath>
      <w:r>
        <w:rPr>
          <w:rFonts w:eastAsia="Georgia" w:cs="Georgia" w:ascii="Georgia" w:hAnsi="Georgia"/>
        </w:rPr>
        <w:t xml:space="preserve"> pour une épaisseur</w:t>
      </w:r>
      <w:r>
        <w:rPr/>
        <w:br w:type="textWrapping"/>
      </w:r>
      <w:r>
        <w:rPr>
          <w:rFonts w:eastAsia="Georgia" w:cs="Georgia" w:ascii="Georgia" w:hAnsi="Georgia"/>
        </w:rPr>
        <w:t xml:space="preserve">d'échantillon </w:t>
      </w:r>
      <m:oMath>
        <m:sSub>
          <m:sSubPr/>
          <m:e>
            <m:r>
              <m:rPr>
                <m:sty m:val="i"/>
              </m:rPr>
              <m:t>e</m:t>
            </m:r>
          </m:e>
          <m:sub>
            <m:r>
              <m:rPr>
                <m:sty m:val="p"/>
              </m:rPr>
              <m:t>c</m:t>
            </m:r>
          </m:sub>
        </m:sSub>
        <m:r>
          <m:rPr>
            <m:sty m:val="p"/>
          </m:rPr>
          <m:t>=</m:t>
        </m:r>
        <m:r>
          <m:rPr>
            <m:sty m:val="p"/>
          </m:rPr>
          <m:t>3</m:t>
        </m:r>
        <m:r>
          <m:rPr>
            <m:nor/>
          </m:rPr>
          <m:t xml:space="preserve"> </m:t>
        </m:r>
        <m:r>
          <m:rPr>
            <m:sty m:val="p"/>
          </m:rPr>
          <m:t>mm</m:t>
        </m:r>
      </m:oMath>
      <w:r>
        <w:rPr>
          <w:rFonts w:eastAsia="Georgia" w:cs="Georgia" w:ascii="Georgia" w:hAnsi="Georgia"/>
        </w:rPr>
        <w:t xml:space="preserve"> dans les deux cas d'émetteur envisagés (amorti et peu amorti) de la question 7. Lequel de ces émetteurs aura-t-il la meilleure résolution spatiale ?</w:t>
      </w:r>
    </w:p>
    <w:p>
      <w:pPr>
        <w:spacing w:line="271" w:before="330" w:lineRule="auto"/>
      </w:pPr>
      <w:r>
        <w:rPr>
          <w:rFonts w:eastAsia="Georgia" w:cs="Georgia" w:ascii="Georgia" w:hAnsi="Georgia"/>
          <w:b/>
          <w:sz w:val="42"/>
        </w:rPr>
        <w:t xml:space="preserve">Propagation en milieu non homogène</w:t>
      </w:r>
    </w:p>
    <w:p>
      <w:pPr>
        <w:spacing w:after="220" w:lineRule="auto"/>
      </w:pPr>
      <w:r>
        <w:rPr>
          <w:rFonts w:eastAsia="Georgia" w:cs="Georgia" w:ascii="Georgia" w:hAnsi="Georgia"/>
        </w:rPr>
        <w:t xml:space="preserve">15-Un onde acoustique harmonique, plane et progressive, représentée par l'amplitude complexe de la surpression : </w:t>
      </w:r>
      <m:oMath>
        <m:r>
          <m:rPr>
            <m:sty m:val="i"/>
          </m:rPr>
          <m:t>p</m:t>
        </m:r>
        <m:r>
          <m:rPr>
            <m:sty m:val="p"/>
          </m:rPr>
          <m:t>(</m:t>
        </m:r>
        <m:r>
          <m:rPr>
            <m:sty m:val="i"/>
          </m:rPr>
          <m:t>z</m:t>
        </m:r>
        <m:r>
          <m:rPr>
            <m:sty m:val="p"/>
          </m:rPr>
          <m:t>,</m:t>
        </m:r>
        <m:r>
          <m:rPr>
            <m:sty m:val="i"/>
          </m:rPr>
          <m:t>t</m:t>
        </m:r>
        <m:r>
          <m:rPr>
            <m:sty m:val="p"/>
          </m:rPr>
          <m:t>)</m:t>
        </m:r>
        <m:r>
          <m:rPr>
            <m:sty m:val="p"/>
          </m:rPr>
          <m:t>=</m:t>
        </m:r>
        <m:sSub>
          <m:sSubPr/>
          <m:e>
            <m:r>
              <m:rPr>
                <m:sty m:val="i"/>
              </m:rPr>
              <m:t>p</m:t>
            </m:r>
          </m:e>
          <m:sub>
            <m:r>
              <m:rPr>
                <m:sty m:val="p"/>
              </m:rPr>
              <m:t>0</m:t>
            </m:r>
          </m:sub>
        </m:sSub>
        <m:r>
          <m:rPr>
            <m:sty m:val="p"/>
          </m:rPr>
          <m:t>exp</m:t>
        </m:r>
        <m:r>
          <m:rPr>
            <m:sty m:val="p"/>
          </m:rPr>
          <m:t>⁡</m:t>
        </m:r>
        <m:r>
          <m:rPr>
            <m:sty m:val="i"/>
          </m:rPr>
          <m:t>j</m:t>
        </m:r>
        <m:r>
          <m:rPr>
            <m:sty m:val="p"/>
          </m:rPr>
          <m:t>(</m:t>
        </m:r>
        <m:r>
          <m:rPr>
            <m:sty m:val="i"/>
          </m:rPr>
          <m:t>ω</m:t>
        </m:r>
        <m:r>
          <m:rPr>
            <m:sty m:val="i"/>
          </m:rPr>
          <m:t>t</m:t>
        </m:r>
        <m:r>
          <m:rPr>
            <m:sty m:val="p"/>
          </m:rPr>
          <m:t>−</m:t>
        </m:r>
        <m:r>
          <m:rPr>
            <m:sty m:val="i"/>
          </m:rPr>
          <m:t>k</m:t>
        </m:r>
        <m:r>
          <m:rPr>
            <m:sty m:val="i"/>
          </m:rPr>
          <m:t>z</m:t>
        </m:r>
        <m:r>
          <m:rPr>
            <m:sty m:val="p"/>
          </m:rPr>
          <m:t>)</m:t>
        </m:r>
      </m:oMath>
      <w:r>
        <w:rPr>
          <w:rFonts w:eastAsia="Georgia" w:cs="Georgia" w:ascii="Georgia" w:hAnsi="Georgia"/>
        </w:rPr>
        <w:t xml:space="preserve"> se propage avec la célérité </w:t>
      </w:r>
      <m:oMath>
        <m:r>
          <m:rPr>
            <m:sty m:val="i"/>
          </m:rPr>
          <m:t>c</m:t>
        </m:r>
      </m:oMath>
      <w:r>
        <w:rPr>
          <w:rFonts w:eastAsia="Georgia" w:cs="Georgia" w:ascii="Georgia" w:hAnsi="Georgia"/>
        </w:rPr>
        <w:t xml:space="preserve"> dans un milieu homogène de masse volumique </w:t>
      </w:r>
      <m:oMath>
        <m:r>
          <m:rPr>
            <m:sty m:val="i"/>
          </m:rPr>
          <m:t>ρ</m:t>
        </m:r>
      </m:oMath>
      <w:r>
        <w:rPr>
          <w:rFonts w:eastAsia="Georgia" w:cs="Georgia" w:ascii="Georgia" w:hAnsi="Georgia"/>
        </w:rPr>
        <w:t xml:space="preserve">. En revenant éventuellement à la première question, déterminer la relation entre la surpression </w:t>
      </w:r>
      <m:oMath>
        <m:r>
          <m:rPr>
            <m:sty m:val="i"/>
          </m:rPr>
          <m:t>p</m:t>
        </m:r>
      </m:oMath>
      <w:r>
        <w:rPr/>
        <w:t xml:space="preserve"> et la vitesse </w:t>
      </w:r>
      <m:oMath>
        <m:r>
          <m:rPr>
            <m:sty m:val="i"/>
          </m:rPr>
          <m:t>u</m:t>
        </m:r>
        <m:r>
          <m:rPr>
            <m:sty m:val="p"/>
          </m:rPr>
          <m:t>(</m:t>
        </m:r>
        <m:r>
          <m:rPr>
            <m:sty m:val="i"/>
          </m:rPr>
          <m:t>z</m:t>
        </m:r>
        <m:r>
          <m:rPr>
            <m:sty m:val="p"/>
          </m:rPr>
          <m:t>,</m:t>
        </m:r>
        <m:r>
          <m:rPr>
            <m:sty m:val="i"/>
          </m:rPr>
          <m:t>t</m:t>
        </m:r>
        <m:r>
          <m:rPr>
            <m:sty m:val="p"/>
          </m:rPr>
          <m:t>)</m:t>
        </m:r>
        <m:r>
          <m:rPr>
            <m:sty m:val="p"/>
          </m:rPr>
          <m:t>=</m:t>
        </m:r>
        <m:f>
          <m:fPr>
            <m:ctrlPr>
              <w:rPr>
                <w:rFonts w:ascii="Cambria Math" w:hAnsi="Cambria Math"/>
              </w:rPr>
            </m:ctrlPr>
          </m:fPr>
          <m:num>
            <m:r>
              <m:rPr>
                <m:sty m:val="i"/>
              </m:rPr>
              <m:t>∂</m:t>
            </m:r>
            <m:r>
              <m:rPr>
                <m:sty m:val="i"/>
              </m:rPr>
              <m:t>a</m:t>
            </m:r>
          </m:num>
          <m:den>
            <m:r>
              <m:rPr>
                <m:sty m:val="i"/>
              </m:rPr>
              <m:t>∂</m:t>
            </m:r>
            <m:r>
              <m:rPr>
                <m:sty m:val="i"/>
              </m:rPr>
              <m:t>t</m:t>
            </m:r>
          </m:den>
        </m:f>
      </m:oMath>
      <w:r>
        <w:rPr>
          <w:rFonts w:eastAsia="Georgia" w:cs="Georgia" w:ascii="Georgia" w:hAnsi="Georgia"/>
        </w:rPr>
        <w:t xml:space="preserve"> en un point de côte </w:t>
      </w:r>
      <m:oMath>
        <m:r>
          <m:rPr>
            <m:sty m:val="i"/>
          </m:rPr>
          <m:t>z</m:t>
        </m:r>
      </m:oMath>
      <w:r>
        <w:rPr/>
        <w:t xml:space="preserve">.</w:t>
      </w:r>
    </w:p>
    <w:p>
      <w:pPr>
        <w:spacing w:after="220" w:lineRule="auto"/>
      </w:pPr>
      <w:r>
        <w:rPr>
          <w:rFonts w:eastAsia="Georgia" w:cs="Georgia" w:ascii="Georgia" w:hAnsi="Georgia"/>
        </w:rPr>
        <w:t xml:space="preserve">16 - Lorsque l'onde ultrasonore rencontre un milieu de nature différente, elle est en partie réfléchie et en partie transmise. On admettra que la relation établie à la question 15 reste valable, au signe près, pour l'onde réfléchie. Établir l'expression des coefficients de réflexion </w:t>
      </w:r>
      <m:oMath>
        <m:r>
          <m:rPr>
            <m:sty m:val="i"/>
          </m:rPr>
          <m:t>r</m:t>
        </m:r>
      </m:oMath>
      <w:r>
        <w:rPr/>
        <w:t xml:space="preserve"> et de transmission </w:t>
      </w:r>
      <m:oMath>
        <m:r>
          <m:rPr>
            <m:sty m:val="i"/>
          </m:rPr>
          <m:t>t</m:t>
        </m:r>
      </m:oMath>
      <w:r>
        <w:rPr/>
        <w:t xml:space="preserve"> de la surpression </w:t>
      </w:r>
      <m:oMath>
        <m:r>
          <m:rPr>
            <m:sty m:val="i"/>
          </m:rPr>
          <m:t>p</m:t>
        </m:r>
      </m:oMath>
      <w:r>
        <w:rPr>
          <w:rFonts w:eastAsia="Georgia" w:cs="Georgia" w:ascii="Georgia" w:hAnsi="Georgia"/>
        </w:rPr>
        <w:t xml:space="preserve"> à la traversée d'une interface entre deux milieux différents 1 et 2 sous incidence normale.</w:t>
      </w:r>
      <w:r>
        <w:rPr/>
        <w:br w:type="textWrapping"/>
      </w:r>
      <m:oMath>
        <m:r>
          <m:rPr>
            <m:sty m:val="i"/>
          </m:rPr>
          <m:t>◻</m:t>
        </m:r>
        <m:r>
          <m:rPr>
            <m:sty m:val="p"/>
          </m:rPr>
          <m:t>17</m:t>
        </m:r>
      </m:oMath>
      <w:r>
        <w:rPr>
          <w:rFonts w:eastAsia="Georgia" w:cs="Georgia" w:ascii="Georgia" w:hAnsi="Georgia"/>
        </w:rPr>
        <w:t xml:space="preserve"> - Calculer les valeurs numériques de </w:t>
      </w:r>
      <m:oMath>
        <m:r>
          <m:rPr>
            <m:sty m:val="i"/>
          </m:rPr>
          <m:t>r</m:t>
        </m:r>
      </m:oMath>
      <w:r>
        <w:rPr/>
        <w:t xml:space="preserve"> et </w:t>
      </w:r>
      <m:oMath>
        <m:r>
          <m:rPr>
            <m:sty m:val="i"/>
          </m:rPr>
          <m:t>t</m:t>
        </m:r>
      </m:oMath>
      <w:r>
        <w:rPr/>
        <w:t xml:space="preserve"> pour diverses interfaces planes. En SI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i"/>
                  </m:rPr>
                  <m:t xml:space="preserve"> </m:t>
                </m:r>
                <m:r>
                  <m:rPr>
                    <m:sty m:val="p"/>
                  </m:rPr>
                  <m:t>(</m:t>
                </m:r>
                <m:r>
                  <m:rPr>
                    <m:sty m:val="i"/>
                  </m:rPr>
                  <m:t>ρ</m:t>
                </m:r>
                <m:r>
                  <m:rPr>
                    <m:sty m:val="i"/>
                  </m:rPr>
                  <m:t>c</m:t>
                </m:r>
                <m:sSub>
                  <m:sSubPr/>
                  <m:e>
                    <m:r>
                      <m:rPr>
                        <m:sty m:val="p"/>
                      </m:rPr>
                      <m:t>)</m:t>
                    </m:r>
                  </m:e>
                  <m:sub>
                    <m:r>
                      <m:rPr>
                        <m:nor/>
                      </m:rPr>
                      <m:t>verre </m:t>
                    </m:r>
                  </m:sub>
                </m:sSub>
                <m:r>
                  <m:rPr>
                    <m:sty m:val="p"/>
                  </m:rPr>
                  <m:t>=</m:t>
                </m:r>
                <m:r>
                  <m:rPr>
                    <m:sty m:val="p"/>
                  </m:rPr>
                  <m:t>15</m:t>
                </m:r>
                <m:r>
                  <m:rPr>
                    <m:sty m:val="p"/>
                  </m:rPr>
                  <m:t>,</m:t>
                </m:r>
                <m:r>
                  <m:rPr>
                    <m:sty m:val="p"/>
                  </m:rPr>
                  <m:t>5</m:t>
                </m:r>
                <m:r>
                  <m:rPr>
                    <m:sty m:val="p"/>
                  </m:rPr>
                  <m:t>×</m:t>
                </m:r>
                <m:sSup>
                  <m:sSupPr/>
                  <m:e>
                    <m:r>
                      <m:rPr>
                        <m:sty m:val="p"/>
                      </m:rPr>
                      <m:t>10</m:t>
                    </m:r>
                  </m:e>
                  <m:sup>
                    <m:r>
                      <m:rPr>
                        <m:sty m:val="p"/>
                      </m:rPr>
                      <m:t>6</m:t>
                    </m:r>
                  </m:sup>
                </m:sSup>
                <m:r>
                  <m:rPr>
                    <m:sty m:val="p"/>
                  </m:rPr>
                  <m:t>,</m:t>
                </m:r>
                <m:r>
                  <m:rPr>
                    <m:sty m:val="p"/>
                  </m:rPr>
                  <m:t xml:space="preserve"> </m:t>
                </m:r>
                <m:r>
                  <m:rPr>
                    <m:sty m:val="p"/>
                  </m:rPr>
                  <m:t>(</m:t>
                </m:r>
                <m:r>
                  <m:rPr>
                    <m:sty m:val="i"/>
                  </m:rPr>
                  <m:t>ρ</m:t>
                </m:r>
                <m:r>
                  <m:rPr>
                    <m:sty m:val="i"/>
                  </m:rPr>
                  <m:t>c</m:t>
                </m:r>
                <m:sSub>
                  <m:sSubPr/>
                  <m:e>
                    <m:r>
                      <m:rPr>
                        <m:sty m:val="p"/>
                      </m:rPr>
                      <m:t>)</m:t>
                    </m:r>
                  </m:e>
                  <m:sub>
                    <m:r>
                      <m:rPr>
                        <m:nor/>
                      </m:rPr>
                      <m:t>eau </m:t>
                    </m:r>
                  </m:sub>
                </m:sSub>
                <m:r>
                  <m:rPr>
                    <m:sty m:val="p"/>
                  </m:rPr>
                  <m:t>=</m:t>
                </m:r>
                <m:r>
                  <m:rPr>
                    <m:sty m:val="p"/>
                  </m:rPr>
                  <m:t>1</m:t>
                </m:r>
                <m:r>
                  <m:rPr>
                    <m:sty m:val="p"/>
                  </m:rPr>
                  <m:t>,</m:t>
                </m:r>
                <m:r>
                  <m:rPr>
                    <m:sty m:val="p"/>
                  </m:rPr>
                  <m:t>5</m:t>
                </m:r>
                <m:r>
                  <m:rPr>
                    <m:sty m:val="p"/>
                  </m:rPr>
                  <m:t>×</m:t>
                </m:r>
                <m:sSup>
                  <m:sSupPr/>
                  <m:e>
                    <m:r>
                      <m:rPr>
                        <m:sty m:val="p"/>
                      </m:rPr>
                      <m:t>10</m:t>
                    </m:r>
                  </m:e>
                  <m:sup>
                    <m:r>
                      <m:rPr>
                        <m:sty m:val="p"/>
                      </m:rPr>
                      <m:t>6</m:t>
                    </m:r>
                  </m:sup>
                </m:sSup>
                <m:r>
                  <m:rPr>
                    <m:sty m:val="p"/>
                  </m:rPr>
                  <m:t>,</m:t>
                </m:r>
                <m:r>
                  <m:rPr>
                    <m:sty m:val="p"/>
                  </m:rPr>
                  <m:t xml:space="preserve"> </m:t>
                </m:r>
                <m:r>
                  <m:rPr>
                    <m:sty m:val="p"/>
                  </m:rPr>
                  <m:t>(</m:t>
                </m:r>
                <m:r>
                  <m:rPr>
                    <m:sty m:val="i"/>
                  </m:rPr>
                  <m:t>ρ</m:t>
                </m:r>
                <m:r>
                  <m:rPr>
                    <m:sty m:val="i"/>
                  </m:rPr>
                  <m:t>c</m:t>
                </m:r>
                <m:sSub>
                  <m:sSubPr/>
                  <m:e>
                    <m:r>
                      <m:rPr>
                        <m:sty m:val="p"/>
                      </m:rPr>
                      <m:t>)</m:t>
                    </m:r>
                  </m:e>
                  <m:sub>
                    <m:r>
                      <m:rPr>
                        <m:nor/>
                      </m:rPr>
                      <m:t>Plexiglas </m:t>
                    </m:r>
                  </m:sub>
                </m:sSub>
                <m:r>
                  <m:rPr>
                    <m:sty m:val="p"/>
                  </m:rPr>
                  <m:t>=</m:t>
                </m:r>
                <m:r>
                  <m:rPr>
                    <m:sty m:val="p"/>
                  </m:rPr>
                  <m:t>2</m:t>
                </m:r>
                <m:r>
                  <m:rPr>
                    <m:sty m:val="p"/>
                  </m:rPr>
                  <m:t>,</m:t>
                </m:r>
                <m:r>
                  <m:rPr>
                    <m:sty m:val="p"/>
                  </m:rPr>
                  <m:t>3</m:t>
                </m:r>
                <m:r>
                  <m:rPr>
                    <m:sty m:val="p"/>
                  </m:rPr>
                  <m:t>×</m:t>
                </m:r>
                <m:sSup>
                  <m:sSupPr/>
                  <m:e>
                    <m:r>
                      <m:rPr>
                        <m:sty m:val="p"/>
                      </m:rPr>
                      <m:t>10</m:t>
                    </m:r>
                  </m:e>
                  <m:sup>
                    <m:r>
                      <m:rPr>
                        <m:sty m:val="p"/>
                      </m:rPr>
                      <m:t>6</m:t>
                    </m:r>
                  </m:sup>
                </m:sSup>
              </m:e>
            </m:mr>
            <m:mr>
              <m:e/>
              <m:e>
                <m:r>
                  <m:rPr>
                    <m:sty m:val="i"/>
                  </m:rPr>
                  <m:t xml:space="preserve"> </m:t>
                </m:r>
                <m:r>
                  <m:rPr>
                    <m:sty m:val="p"/>
                  </m:rPr>
                  <m:t>(</m:t>
                </m:r>
                <m:r>
                  <m:rPr>
                    <m:sty m:val="i"/>
                  </m:rPr>
                  <m:t>ρ</m:t>
                </m:r>
                <m:r>
                  <m:rPr>
                    <m:sty m:val="i"/>
                  </m:rPr>
                  <m:t>c</m:t>
                </m:r>
                <m:sSub>
                  <m:sSubPr/>
                  <m:e>
                    <m:r>
                      <m:rPr>
                        <m:sty m:val="p"/>
                      </m:rPr>
                      <m:t>)</m:t>
                    </m:r>
                  </m:e>
                  <m:sub>
                    <m:r>
                      <m:rPr>
                        <m:nor/>
                      </m:rPr>
                      <m:t>composite </m:t>
                    </m:r>
                  </m:sub>
                </m:sSub>
                <m:r>
                  <m:rPr>
                    <m:sty m:val="p"/>
                  </m:rPr>
                  <m:t>=</m:t>
                </m:r>
                <m:r>
                  <m:rPr>
                    <m:sty m:val="p"/>
                  </m:rPr>
                  <m:t>4</m:t>
                </m:r>
                <m:r>
                  <m:rPr>
                    <m:sty m:val="p"/>
                  </m:rPr>
                  <m:t>,</m:t>
                </m:r>
                <m:r>
                  <m:rPr>
                    <m:sty m:val="p"/>
                  </m:rPr>
                  <m:t>5</m:t>
                </m:r>
                <m:r>
                  <m:rPr>
                    <m:sty m:val="p"/>
                  </m:rPr>
                  <m:t>×</m:t>
                </m:r>
                <m:sSup>
                  <m:sSupPr/>
                  <m:e>
                    <m:r>
                      <m:rPr>
                        <m:sty m:val="p"/>
                      </m:rPr>
                      <m:t>10</m:t>
                    </m:r>
                  </m:e>
                  <m:sup>
                    <m:r>
                      <m:rPr>
                        <m:sty m:val="p"/>
                      </m:rPr>
                      <m:t>6</m:t>
                    </m:r>
                  </m:sup>
                </m:sSup>
              </m:e>
            </m:mr>
            <m:mr>
              <m:e/>
              <m:e>
                <m:r>
                  <m:rPr>
                    <m:sty m:val="i"/>
                  </m:rPr>
                  <m:t xml:space="preserve"> </m:t>
                </m:r>
                <m:r>
                  <m:rPr>
                    <m:sty m:val="p"/>
                  </m:rPr>
                  <m:t>(</m:t>
                </m:r>
                <m:r>
                  <m:rPr>
                    <m:sty m:val="i"/>
                  </m:rPr>
                  <m:t>ρ</m:t>
                </m:r>
                <m:r>
                  <m:rPr>
                    <m:sty m:val="i"/>
                  </m:rPr>
                  <m:t>c</m:t>
                </m:r>
                <m:sSub>
                  <m:sSubPr/>
                  <m:e>
                    <m:r>
                      <m:rPr>
                        <m:sty m:val="p"/>
                      </m:rPr>
                      <m:t>)</m:t>
                    </m:r>
                  </m:e>
                  <m:sub>
                    <m:r>
                      <m:rPr>
                        <m:nor/>
                      </m:rPr>
                      <m:t>air </m:t>
                    </m:r>
                  </m:sub>
                </m:sSub>
                <m:r>
                  <m:rPr>
                    <m:sty m:val="p"/>
                  </m:rPr>
                  <m:t>=</m:t>
                </m:r>
                <m:r>
                  <m:rPr>
                    <m:sty m:val="p"/>
                  </m:rPr>
                  <m:t>0</m:t>
                </m:r>
                <m:r>
                  <m:rPr>
                    <m:sty m:val="p"/>
                  </m:rPr>
                  <m:t>,</m:t>
                </m:r>
                <m:r>
                  <m:rPr>
                    <m:sty m:val="p"/>
                  </m:rPr>
                  <m:t>33</m:t>
                </m:r>
              </m:e>
            </m:mr>
          </m:m>
        </m:oMath>
      </m:oMathPara>
    </w:p>
    <w:p>
      <w:pPr>
        <w:spacing w:after="220" w:lineRule="auto"/>
      </w:pPr>
      <w:r>
        <w:rPr>
          <w:rFonts w:eastAsia="Georgia" w:cs="Georgia" w:ascii="Georgia" w:hAnsi="Georgia"/>
        </w:rPr>
        <w:t xml:space="preserve">Quel est l'intérêt du couplage par un filet d'eau entre l'émetteur et l'échantillon ? Comment s'interprète le signe (-) qui apparaît dans </w:t>
      </w:r>
      <m:oMath>
        <m:r>
          <m:rPr>
            <m:sty m:val="i"/>
          </m:rPr>
          <m:t>r</m:t>
        </m:r>
      </m:oMath>
      <w:r>
        <w:rPr/>
        <w:t xml:space="preserve"> ?</w:t>
      </w:r>
    </w:p>
    <w:p>
      <w:pPr>
        <w:spacing w:line="271" w:before="330" w:lineRule="auto"/>
      </w:pPr>
      <w:r>
        <w:rPr>
          <w:rFonts w:eastAsia="Georgia" w:cs="Georgia" w:ascii="Georgia" w:hAnsi="Georgia"/>
          <w:b/>
          <w:sz w:val="42"/>
        </w:rPr>
        <w:t xml:space="preserve">Dispositif expérimental</w:t>
      </w:r>
    </w:p>
    <w:p>
      <w:pPr>
        <w:spacing w:lineRule="auto"/>
        <w:jc w:val="center"/>
      </w:pPr>
      <w:r>
        <w:rPr/>
        <w:drawing>
          <wp:inline distB="0" distL="0" distR="0" distT="0">
            <wp:extent cx="5486400" cy="4538682"/>
            <wp:effectExtent b="0" l="0" r="0" t="0"/>
            <wp:docPr id="6" name="image-5bbc2f43ffd520c74b3fb36c033d2f8b6ef86e8f.jpg"/>
            <a:graphic>
              <a:graphicData uri="http://schemas.openxmlformats.org/drawingml/2006/picture">
                <pic:pic>
                  <pic:nvPicPr>
                    <pic:cNvPr id="6" name="image-5bbc2f43ffd520c74b3fb36c033d2f8b6ef86e8f.jpg" descr=""/>
                    <pic:cNvPicPr/>
                  </pic:nvPicPr>
                  <pic:blipFill>
                    <a:blip r:embed="rId10" cstate="print"/>
                    <a:srcRect b="0" l="0" r="0" t="0"/>
                    <a:stretch>
                      <a:fillRect/>
                    </a:stretch>
                  </pic:blipFill>
                  <pic:spPr>
                    <a:xfrm>
                      <a:off x="0" y="0"/>
                      <a:ext cx="5486400" cy="4538682"/>
                    </a:xfrm>
                    <a:prstGeom prst="rect"/>
                  </pic:spPr>
                </pic:pic>
              </a:graphicData>
            </a:graphic>
          </wp:inline>
        </w:drawing>
      </w:r>
    </w:p>
    <w:p>
      <w:pPr>
        <w:spacing w:lineRule="auto"/>
      </w:pPr>
      <w:r>
        <w:rPr>
          <w:rFonts w:eastAsia="Georgia" w:cs="Georgia" w:ascii="Georgia" w:hAnsi="Georgia"/>
        </w:rPr>
        <w:t xml:space="preserve">Fig. 10 : Méthode de double transmission. L'ensemble est immergé dans l'eau, l'échantillon est retiré ou inséré sans autre changement dans le dispositif</w:t>
      </w:r>
    </w:p>
    <w:p>
      <w:pPr>
        <w:spacing w:after="220" w:lineRule="auto"/>
      </w:pPr>
      <w:r>
        <w:rPr>
          <w:rFonts w:eastAsia="Georgia" w:cs="Georgia" w:ascii="Georgia" w:hAnsi="Georgia"/>
        </w:rPr>
        <w:t xml:space="preserve">18 - Dans la méthode dite de double transmission, un transducteur unique (qui fonctionne donc en émetteur et en récepteur) analyse l'écho réfléchi par une plaque plane en verre épais placée derrière l'échantillon à contrôler (fig. 10). On mesure </w:t>
      </w:r>
      <m:oMath>
        <m:sSub>
          <m:sSubPr/>
          <m:e>
            <m:r>
              <m:rPr>
                <m:sty m:val="i"/>
              </m:rPr>
              <m:t>P</m:t>
            </m:r>
          </m:e>
          <m:sub>
            <m:r>
              <m:rPr>
                <m:sty m:val="p"/>
              </m:rPr>
              <m:t>R</m:t>
            </m:r>
          </m:sub>
        </m:sSub>
      </m:oMath>
      <w:r>
        <w:rPr>
          <w:rFonts w:eastAsia="Georgia" w:cs="Georgia" w:ascii="Georgia" w:hAnsi="Georgia"/>
        </w:rPr>
        <w:t xml:space="preserve"> sans cet échantillon puis on insère ce dernier et on mesure </w:t>
      </w:r>
      <m:oMath>
        <m:sSub>
          <m:sSubPr/>
          <m:e>
            <m:r>
              <m:rPr>
                <m:sty m:val="i"/>
              </m:rPr>
              <m:t>P</m:t>
            </m:r>
          </m:e>
          <m:sub>
            <m:r>
              <m:rPr>
                <m:sty m:val="p"/>
              </m:rPr>
              <m:t>Rm</m:t>
            </m:r>
          </m:sub>
        </m:sSub>
      </m:oMath>
      <w:r>
        <w:rPr>
          <w:rFonts w:eastAsia="Georgia" w:cs="Georgia" w:ascii="Georgia" w:hAnsi="Georgia"/>
        </w:rPr>
        <w:t xml:space="preserve"> dans ces conditions. Établir l'expression et calculer la valeur numérique en dB de l'atténuation :</w:t>
      </w:r>
    </w:p>
    <w:p>
      <w:pPr>
        <w:spacing w:after="220" w:lineRule="auto"/>
      </w:pPr>
      <m:oMathPara>
        <m:oMath>
          <m:sSub>
            <m:sSubPr/>
            <m:e>
              <m:r>
                <m:rPr>
                  <m:sty m:val="i"/>
                </m:rPr>
                <m:t>A</m:t>
              </m:r>
            </m:e>
            <m:sub>
              <m:r>
                <m:rPr>
                  <m:sty m:val="i"/>
                </m:rPr>
                <m:t>i</m:t>
              </m:r>
            </m:sub>
          </m:sSub>
          <m:r>
            <m:rPr>
              <m:sty m:val="p"/>
            </m:rPr>
            <m:t>=</m:t>
          </m:r>
          <m:r>
            <m:rPr>
              <m:sty m:val="p"/>
            </m:rPr>
            <m:t>20</m:t>
          </m:r>
          <m:r>
            <m:rPr>
              <m:sty m:val="p"/>
            </m:rPr>
            <m:t>log</m:t>
          </m:r>
          <m:r>
            <m:rPr>
              <m:sty m:val="p"/>
            </m:rPr>
            <m:t>⁡</m:t>
          </m:r>
          <m:d>
            <m:dPr>
              <m:begChr m:val="|"/>
              <m:endChr m:val="|"/>
              <m:ctrlPr>
                <w:rPr>
                  <w:rFonts w:ascii="Cambria Math" w:hAnsi="Cambria Math"/>
                </w:rPr>
              </m:ctrlPr>
            </m:dPr>
            <m:e>
              <m:f>
                <m:fPr>
                  <m:ctrlPr>
                    <w:rPr>
                      <w:rFonts w:ascii="Cambria Math" w:hAnsi="Cambria Math"/>
                    </w:rPr>
                  </m:ctrlPr>
                </m:fPr>
                <m:num>
                  <m:sSub>
                    <m:sSubPr/>
                    <m:e>
                      <m:r>
                        <m:rPr>
                          <m:sty m:val="i"/>
                        </m:rPr>
                        <m:t>P</m:t>
                      </m:r>
                    </m:e>
                    <m:sub>
                      <m:r>
                        <m:rPr>
                          <m:sty m:val="i"/>
                        </m:rPr>
                        <m:t>R</m:t>
                      </m:r>
                      <m:r>
                        <m:rPr>
                          <m:sty m:val="i"/>
                        </m:rPr>
                        <m:t>m</m:t>
                      </m:r>
                    </m:sub>
                  </m:sSub>
                </m:num>
                <m:den>
                  <m:sSub>
                    <m:sSubPr/>
                    <m:e>
                      <m:r>
                        <m:rPr>
                          <m:sty m:val="i"/>
                        </m:rPr>
                        <m:t>P</m:t>
                      </m:r>
                    </m:e>
                    <m:sub>
                      <m:r>
                        <m:rPr>
                          <m:sty m:val="i"/>
                        </m:rPr>
                        <m:t>R</m:t>
                      </m:r>
                    </m:sub>
                  </m:sSub>
                </m:den>
              </m:f>
            </m:e>
          </m:d>
        </m:oMath>
      </m:oMathPara>
    </w:p>
    <w:p>
      <w:pPr>
        <w:spacing w:after="220" w:lineRule="auto"/>
      </w:pPr>
      <w:r>
        <w:rPr>
          <w:rFonts w:eastAsia="Georgia" w:cs="Georgia" w:ascii="Georgia" w:hAnsi="Georgia"/>
        </w:rPr>
        <w:t xml:space="preserve">19 - Le récepteur reçoit l'onde ultrasonore (l'écho) et délivre une tension qui est amplifiée et filtrée des signaux parasites avant d'être visualisée. La bande passante de l'amplificateur est très grande devant la fréquence de l'émetteur. Justifier ce choix.</w:t>
      </w:r>
    </w:p>
    <w:p>
      <w:pPr>
        <w:spacing w:after="220" w:lineRule="auto"/>
      </w:pPr>
      <w:r>
        <w:rPr>
          <w:rFonts w:eastAsia="Georgia" w:cs="Georgia" w:ascii="Georgia" w:hAnsi="Georgia"/>
        </w:rPr>
        <w:t xml:space="preserve">20-L'utilisation d'un relais de Plexiglas entraîne des réflexions multiples (fig. 8).</w:t>
      </w:r>
    </w:p>
    <w:p>
      <w:pPr>
        <w:spacing w:after="220" w:lineRule="auto"/>
      </w:pPr>
      <w:r>
        <w:rPr>
          <w:rFonts w:eastAsia="Georgia" w:cs="Georgia" w:ascii="Georgia" w:hAnsi="Georgia"/>
        </w:rPr>
        <w:t xml:space="preserve">Déterminer l'écart </w:t>
      </w:r>
      <m:oMath>
        <m:r>
          <m:rPr>
            <m:sty m:val="p"/>
          </m:rPr>
          <m:t>Δ</m:t>
        </m:r>
        <m:r>
          <m:rPr>
            <m:sty m:val="i"/>
          </m:rPr>
          <m:t>t</m:t>
        </m:r>
      </m:oMath>
      <w:r>
        <w:rPr/>
        <w:t xml:space="preserve"> au niveau de la face de sortie du relais entre les signaux </w:t>
      </w:r>
      <m:oMath>
        <m:sSub>
          <m:sSubPr/>
          <m:e>
            <m:r>
              <m:rPr>
                <m:sty m:val="i"/>
              </m:rPr>
              <m:t>P</m:t>
            </m:r>
          </m:e>
          <m:sub>
            <m:r>
              <m:rPr>
                <m:sty m:val="p"/>
              </m:rPr>
              <m:t>c</m:t>
            </m:r>
          </m:sub>
        </m:sSub>
      </m:oMath>
      <w:r>
        <w:rPr>
          <w:rFonts w:eastAsia="Georgia" w:cs="Georgia" w:ascii="Georgia" w:hAnsi="Georgia"/>
        </w:rPr>
        <w:t xml:space="preserve"> (réfléchi par le composite) et </w:t>
      </w:r>
      <m:oMath>
        <m:sSub>
          <m:sSubPr/>
          <m:e>
            <m:r>
              <m:rPr>
                <m:sty m:val="i"/>
              </m:rPr>
              <m:t>P</m:t>
            </m:r>
          </m:e>
          <m:sub>
            <m:r>
              <m:rPr>
                <m:sty m:val="p"/>
              </m:rPr>
              <m:t>r</m:t>
            </m:r>
          </m:sub>
        </m:sSub>
      </m:oMath>
      <w:r>
        <w:rPr>
          <w:rFonts w:eastAsia="Georgia" w:cs="Georgia" w:ascii="Georgia" w:hAnsi="Georgia"/>
        </w:rPr>
        <w:t xml:space="preserve"> (résultant de réflexions multiples dans le relais)</w:t>
      </w:r>
      <w:r>
        <w:rPr/>
        <w:br w:type="textWrapping"/>
      </w:r>
      <m:oMath>
        <m:r>
          <m:rPr>
            <m:sty m:val="i"/>
          </m:rPr>
          <m:t>◻</m:t>
        </m:r>
        <m:r>
          <m:rPr>
            <m:sty m:val="p"/>
          </m:rPr>
          <m:t>21</m:t>
        </m:r>
      </m:oMath>
      <w:r>
        <w:rPr>
          <w:rFonts w:eastAsia="Georgia" w:cs="Georgia" w:ascii="Georgia" w:hAnsi="Georgia"/>
        </w:rPr>
        <w:t xml:space="preserve"> - L'épaisseur du relais étant de 3 mm et le signal </w:t>
      </w:r>
      <m:oMath>
        <m:sSub>
          <m:sSubPr/>
          <m:e>
            <m:r>
              <m:rPr>
                <m:sty m:val="i"/>
              </m:rPr>
              <m:t>P</m:t>
            </m:r>
          </m:e>
          <m:sub>
            <m:r>
              <m:rPr>
                <m:sty m:val="p"/>
              </m:rPr>
              <m:t>c</m:t>
            </m:r>
          </m:sub>
        </m:sSub>
      </m:oMath>
      <w:r>
        <w:rPr>
          <w:rFonts w:eastAsia="Georgia" w:cs="Georgia" w:ascii="Georgia" w:hAnsi="Georgia"/>
        </w:rPr>
        <w:t xml:space="preserve"> devant être reçu avant le signal </w:t>
      </w:r>
      <m:oMath>
        <m:sSub>
          <m:sSubPr/>
          <m:e>
            <m:r>
              <m:rPr>
                <m:sty m:val="i"/>
              </m:rPr>
              <m:t>P</m:t>
            </m:r>
          </m:e>
          <m:sub>
            <m:r>
              <m:rPr>
                <m:sty m:val="p"/>
              </m:rPr>
              <m:t>r</m:t>
            </m:r>
          </m:sub>
        </m:sSub>
      </m:oMath>
      <w:r>
        <w:rPr>
          <w:rFonts w:eastAsia="Georgia" w:cs="Georgia" w:ascii="Georgia" w:hAnsi="Georgia"/>
        </w:rPr>
        <w:t xml:space="preserve">, quelle est l'épaisseur maximale du composite que l'on peut analyser dans ces conditions ( </w:t>
      </w:r>
      <m:oMath>
        <m:sSub>
          <m:sSubPr/>
          <m:e>
            <m:r>
              <m:rPr>
                <m:sty m:val="i"/>
              </m:rPr>
              <m:t>c</m:t>
            </m:r>
          </m:e>
          <m:sub>
            <m:r>
              <m:rPr>
                <m:sty m:val="p"/>
              </m:rPr>
              <m:t>c</m:t>
            </m:r>
          </m:sub>
        </m:sSub>
        <m:r>
          <m:rPr>
            <m:sty m:val="p"/>
          </m:rPr>
          <m:t>=</m:t>
        </m:r>
        <m:r>
          <m:rPr>
            <m:sty m:val="p"/>
          </m:rPr>
          <m:t>3000</m:t>
        </m:r>
        <m:r>
          <m:rPr>
            <m:nor/>
          </m:rPr>
          <m:t xml:space="preserve"> </m:t>
        </m:r>
        <m:r>
          <m:rPr>
            <m:sty m:val="p"/>
          </m:rPr>
          <m:t>m</m:t>
        </m:r>
        <m:r>
          <m:rPr>
            <m:sty m:val="p"/>
          </m:rPr>
          <m:t>.</m:t>
        </m:r>
        <m:sSup>
          <m:sSupPr/>
          <m:e>
            <m:r>
              <m:rPr>
                <m:sty m:val="p"/>
              </m:rPr>
              <m:t>s</m:t>
            </m:r>
          </m:e>
          <m:sup>
            <m:r>
              <m:rPr>
                <m:sty m:val="p"/>
              </m:rPr>
              <m:t>−</m:t>
            </m:r>
            <m:r>
              <m:rPr>
                <m:sty m:val="p"/>
              </m:rPr>
              <m:t>1</m:t>
            </m:r>
          </m:sup>
        </m:sSup>
      </m:oMath>
      <w:r>
        <w:rPr/>
        <w:t xml:space="preserve"> et </w:t>
      </w:r>
      <m:oMath>
        <m:sSub>
          <m:sSubPr/>
          <m:e>
            <m:r>
              <m:rPr>
                <m:sty m:val="i"/>
              </m:rPr>
              <m:t>c</m:t>
            </m:r>
          </m:e>
          <m:sub>
            <m:r>
              <m:rPr>
                <m:sty m:val="p"/>
              </m:rPr>
              <m:t>P</m:t>
            </m:r>
          </m:sub>
        </m:sSub>
        <m:r>
          <m:rPr>
            <m:sty m:val="p"/>
          </m:rPr>
          <m:t>=</m:t>
        </m:r>
        <m:r>
          <m:rPr>
            <m:sty m:val="p"/>
          </m:rPr>
          <m:t>2300</m:t>
        </m:r>
        <m:r>
          <m:rPr>
            <m:nor/>
          </m:rPr>
          <m:t xml:space="preserve"> </m:t>
        </m:r>
        <m:r>
          <m:rPr>
            <m:sty m:val="p"/>
          </m:rPr>
          <m:t>m</m:t>
        </m:r>
        <m:r>
          <m:rPr>
            <m:sty m:val="p"/>
          </m:rPr>
          <m:t>.</m:t>
        </m:r>
        <m:sSup>
          <m:sSupPr/>
          <m:e>
            <m:r>
              <m:rPr>
                <m:sty m:val="p"/>
              </m:rPr>
              <m:t>s</m:t>
            </m:r>
          </m:e>
          <m:sup>
            <m:r>
              <m:rPr>
                <m:sty m:val="p"/>
              </m:rPr>
              <m:t>−</m:t>
            </m:r>
            <m:r>
              <m:rPr>
                <m:sty m:val="p"/>
              </m:rPr>
              <m:t>1</m:t>
            </m:r>
          </m:sup>
        </m:sSup>
      </m:oMath>
      <w:r>
        <w:rPr/>
        <w:t xml:space="preserve"> ) ?</w:t>
      </w:r>
    </w:p>
    <w:p>
      <w:pPr>
        <w:spacing w:after="220" w:lineRule="auto"/>
      </w:pPr>
      <w:r>
        <w:rPr>
          <w:rFonts w:eastAsia="Georgia" w:cs="Georgia" w:ascii="Georgia" w:hAnsi="Georgia"/>
        </w:rPr>
        <w:t xml:space="preserve">22 -Le relais étudié à la question 10 conviendrait-il pour l'analyse d'un composite d'épaisseur </w:t>
      </w:r>
      <m:oMath>
        <m:sSub>
          <m:sSubPr/>
          <m:e>
            <m:r>
              <m:rPr>
                <m:sty m:val="i"/>
              </m:rPr>
              <m:t>e</m:t>
            </m:r>
          </m:e>
          <m:sub>
            <m:r>
              <m:rPr>
                <m:sty m:val="p"/>
              </m:rPr>
              <m:t>c</m:t>
            </m:r>
          </m:sub>
        </m:sSub>
        <m:r>
          <m:rPr>
            <m:sty m:val="p"/>
          </m:rPr>
          <m:t>=</m:t>
        </m:r>
        <m:r>
          <m:rPr>
            <m:sty m:val="p"/>
          </m:rPr>
          <m:t>3</m:t>
        </m:r>
        <m:r>
          <m:rPr>
            <m:nor/>
          </m:rPr>
          <m:t xml:space="preserve"> </m:t>
        </m:r>
        <m:r>
          <m:rPr>
            <m:sty m:val="p"/>
          </m:rPr>
          <m:t>mm</m:t>
        </m:r>
      </m:oMath>
      <w:r>
        <w:rPr/>
        <w:t xml:space="preserve"> ?</w:t>
      </w:r>
    </w:p>
    <w:p>
      <w:pPr>
        <w:numPr>
          <w:ilvl w:val="0"/>
          <w:numId w:val="3"/>
        </w:numPr>
        <w:spacing w:lineRule="auto"/>
      </w:pPr>
      <w:r>
        <w:rPr>
          <w:rFonts w:eastAsia="Georgia" w:cs="Georgia" w:ascii="Georgia" w:hAnsi="Georgia"/>
        </w:rPr>
        <w:t xml:space="preserve">23 -Représenter schématiquement les trois premiers échos reçus par le capteur : on n'indiquera que les instants d'arrivée des échos sur le capteur sans se préoccuper de leur amplitude ni de leur forme et on négligera la durée de la traversée du milieu de couplage entre le relais et l'échantillon). Comment peut-on distinguer l'écho que l'on veut étudier parmi tous ceux ré émis par la pièce ?</w:t>
      </w:r>
    </w:p>
    <w:p>
      <w:pPr>
        <w:spacing w:after="220" w:lineRule="auto"/>
      </w:pPr>
      <w:r>
        <w:rPr>
          <w:rFonts w:eastAsia="Georgia" w:cs="Georgia" w:ascii="Georgia" w:hAnsi="Georgia"/>
        </w:rPr>
        <w:t xml:space="preserve">24 - L'absorption propre du matériau est mise en évidence par un contrôle en double transmission sur un échantillon constitué de 16 couches identiques et sans défaut. Avec un émetteur à </w:t>
      </w:r>
      <m:oMath>
        <m:r>
          <m:rPr>
            <m:sty m:val="p"/>
          </m:rPr>
          <m:t>4</m:t>
        </m:r>
        <m:r>
          <m:rPr>
            <m:sty m:val="p"/>
          </m:rPr>
          <m:t>,</m:t>
        </m:r>
        <m:r>
          <m:rPr>
            <m:sty m:val="p"/>
          </m:rPr>
          <m:t>2</m:t>
        </m:r>
        <m:r>
          <m:rPr>
            <m:sty m:val="p"/>
          </m:rPr>
          <m:t>MHz</m:t>
        </m:r>
      </m:oMath>
      <w:r>
        <w:rPr/>
        <w:t xml:space="preserve"> et une tache focale d'extension </w:t>
      </w:r>
      <m:oMath>
        <m:sSub>
          <m:sSubPr/>
          <m:e>
            <m:r>
              <m:rPr>
                <m:sty m:val="i"/>
              </m:rPr>
              <m:t>d</m:t>
            </m:r>
          </m:e>
          <m:sub>
            <m:r>
              <m:rPr>
                <m:sty m:val="p"/>
              </m:rPr>
              <m:t>f</m:t>
            </m:r>
          </m:sub>
        </m:sSub>
        <m:r>
          <m:rPr>
            <m:sty m:val="p"/>
          </m:rPr>
          <m:t>=</m:t>
        </m:r>
        <m:r>
          <m:rPr>
            <m:sty m:val="p"/>
          </m:rPr>
          <m:t>3</m:t>
        </m:r>
        <m:r>
          <m:rPr>
            <m:nor/>
          </m:rPr>
          <m:t xml:space="preserve"> </m:t>
        </m:r>
        <m:r>
          <m:rPr>
            <m:sty m:val="p"/>
          </m:rPr>
          <m:t>mm</m:t>
        </m:r>
      </m:oMath>
      <w:r>
        <w:rPr>
          <w:rFonts w:eastAsia="Georgia" w:cs="Georgia" w:ascii="Georgia" w:hAnsi="Georgia"/>
        </w:rPr>
        <w:t xml:space="preserve">, on mesure une atténuation </w:t>
      </w:r>
      <m:oMath>
        <m:r>
          <m:rPr>
            <m:sty m:val="i"/>
          </m:rPr>
          <m:t>A</m:t>
        </m:r>
        <m:r>
          <m:rPr>
            <m:sty m:val="p"/>
          </m:rPr>
          <m:t>=</m:t>
        </m:r>
        <m:r>
          <m:rPr>
            <m:sty m:val="p"/>
          </m:rPr>
          <m:t>20</m:t>
        </m:r>
        <m:r>
          <m:rPr>
            <m:sty m:val="p"/>
          </m:rPr>
          <m:t>log</m:t>
        </m:r>
        <m:r>
          <m:rPr>
            <m:sty m:val="p"/>
          </m:rPr>
          <m:t>⁡</m:t>
        </m:r>
        <m:d>
          <m:dPr>
            <m:begChr m:val="|"/>
            <m:endChr m:val="|"/>
            <m:ctrlPr>
              <w:rPr>
                <w:rFonts w:ascii="Cambria Math" w:hAnsi="Cambria Math"/>
              </w:rPr>
            </m:ctrlPr>
          </m:dPr>
          <m:e>
            <m:sSub>
              <m:sSubPr/>
              <m:e>
                <m:r>
                  <m:rPr>
                    <m:sty m:val="i"/>
                  </m:rPr>
                  <m:t>P</m:t>
                </m:r>
              </m:e>
              <m:sub>
                <m:r>
                  <m:rPr>
                    <m:sty m:val="i"/>
                  </m:rPr>
                  <m:t>R</m:t>
                </m:r>
                <m:r>
                  <m:rPr>
                    <m:sty m:val="i"/>
                  </m:rPr>
                  <m:t>m</m:t>
                </m:r>
              </m:sub>
            </m:sSub>
            <m:r>
              <m:rPr>
                <m:sty m:val="p"/>
              </m:rPr>
              <m:t>/</m:t>
            </m:r>
            <m:sSub>
              <m:sSubPr/>
              <m:e>
                <m:r>
                  <m:rPr>
                    <m:sty m:val="i"/>
                  </m:rPr>
                  <m:t>P</m:t>
                </m:r>
              </m:e>
              <m:sub>
                <m:r>
                  <m:rPr>
                    <m:sty m:val="i"/>
                  </m:rPr>
                  <m:t>R</m:t>
                </m:r>
              </m:sub>
            </m:sSub>
          </m:e>
        </m:d>
        <m:r>
          <m:rPr>
            <m:sty m:val="p"/>
          </m:rPr>
          <m:t>=</m:t>
        </m:r>
        <m:r>
          <m:rPr>
            <m:sty m:val="p"/>
          </m:rPr>
          <m:t>−</m:t>
        </m:r>
        <m:r>
          <m:rPr>
            <m:sty m:val="p"/>
          </m:rPr>
          <m:t>7</m:t>
        </m:r>
        <m:r>
          <m:rPr>
            <m:sty m:val="p"/>
          </m:rPr>
          <m:t>,</m:t>
        </m:r>
        <m:r>
          <m:rPr>
            <m:sty m:val="p"/>
          </m:rPr>
          <m:t>5</m:t>
        </m:r>
        <m:r>
          <m:rPr>
            <m:nor/>
          </m:rPr>
          <m:t xml:space="preserve"> </m:t>
        </m:r>
        <m:r>
          <m:rPr>
            <m:sty m:val="p"/>
          </m:rPr>
          <m:t>dB</m:t>
        </m:r>
      </m:oMath>
      <w:r>
        <w:rPr>
          <w:rFonts w:eastAsia="Georgia" w:cs="Georgia" w:ascii="Georgia" w:hAnsi="Georgia"/>
        </w:rPr>
        <w:t xml:space="preserve">. Une série de mesures sur des éprouvettes saines, de différentes épaisseurs et réalisées dans le matériau de l'échantillon à contrôler, donne les résultats suivants ( </w:t>
      </w:r>
      <m:oMath>
        <m:sSub>
          <m:sSubPr/>
          <m:e>
            <m:r>
              <m:rPr>
                <m:sty m:val="i"/>
              </m:rPr>
              <m:t>N</m:t>
            </m:r>
          </m:e>
          <m:sub>
            <m:r>
              <m:rPr>
                <m:sty m:val="i"/>
              </m:rPr>
              <m:t>c</m:t>
            </m:r>
          </m:sub>
        </m:sSub>
        <m:r>
          <m:rPr>
            <m:sty m:val="p"/>
          </m:rPr>
          <m:t>=</m:t>
        </m:r>
      </m:oMath>
      <w:r>
        <w:rPr/>
        <w:t xml:space="preserve"> nombre de couches, </w:t>
      </w:r>
      <m:oMath>
        <m:r>
          <m:rPr>
            <m:sty m:val="i"/>
          </m:rPr>
          <m:t>A</m:t>
        </m:r>
      </m:oMath>
      <w:r>
        <w:rPr/>
        <w:t xml:space="preserve"> en dB ).</w:t>
      </w:r>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N</m:t>
                    </m:r>
                  </m:e>
                  <m:sub>
                    <m:r>
                      <m:rPr>
                        <m:sty m:val="i"/>
                      </m:rPr>
                      <m:t>c</m:t>
                    </m:r>
                  </m:sub>
                </m:sSub>
              </m:oMath>
            </m:oMathPara>
          </w:p>
        </w:tc>
        <w:tc>
          <w:tcPr>
            <w:tcBorders>
              <w:top w:val="single" w:sz="8" w:space="0" w:color="000000"/>
              <w:bottom w:val="single" w:sz="8" w:space="0" w:color="000000"/>
              <w:right w:val="single" w:sz="8" w:space="0" w:color="000000"/>
            </w:tcBorders>
            <w:vAlign w:val="center"/>
          </w:tcPr>
          <w:p>
            <w:pPr>
              <w:spacing w:lineRule="auto"/>
              <w:jc w:val="left"/>
            </w:pPr>
            <w:r>
              <w:rPr/>
              <w:t xml:space="preserve">4</w:t>
            </w:r>
          </w:p>
        </w:tc>
        <w:tc>
          <w:tcPr>
            <w:tcBorders>
              <w:top w:val="single" w:sz="8" w:space="0" w:color="000000"/>
              <w:bottom w:val="single" w:sz="8" w:space="0" w:color="000000"/>
              <w:right w:val="single" w:sz="8" w:space="0" w:color="000000"/>
            </w:tcBorders>
            <w:vAlign w:val="center"/>
          </w:tcPr>
          <w:p>
            <w:pPr>
              <w:spacing w:lineRule="auto"/>
              <w:jc w:val="left"/>
            </w:pPr>
            <w:r>
              <w:rPr/>
              <w:t xml:space="preserve">5</w:t>
            </w:r>
          </w:p>
        </w:tc>
        <w:tc>
          <w:tcPr>
            <w:tcBorders>
              <w:top w:val="single" w:sz="8" w:space="0" w:color="000000"/>
              <w:bottom w:val="single" w:sz="8" w:space="0" w:color="000000"/>
              <w:right w:val="single" w:sz="8" w:space="0" w:color="000000"/>
            </w:tcBorders>
            <w:vAlign w:val="center"/>
          </w:tcPr>
          <w:p>
            <w:pPr>
              <w:spacing w:lineRule="auto"/>
              <w:jc w:val="left"/>
            </w:pPr>
            <w:r>
              <w:rPr/>
              <w:t xml:space="preserve">6</w:t>
            </w:r>
          </w:p>
        </w:tc>
        <w:tc>
          <w:tcPr>
            <w:tcBorders>
              <w:top w:val="single" w:sz="8" w:space="0" w:color="000000"/>
              <w:bottom w:val="single" w:sz="8" w:space="0" w:color="000000"/>
              <w:right w:val="single" w:sz="8" w:space="0" w:color="000000"/>
            </w:tcBorders>
            <w:vAlign w:val="center"/>
          </w:tcPr>
          <w:p>
            <w:pPr>
              <w:spacing w:lineRule="auto"/>
              <w:jc w:val="left"/>
            </w:pPr>
            <w:r>
              <w:rPr/>
              <w:t xml:space="preserve">10</w:t>
            </w:r>
          </w:p>
        </w:tc>
        <w:tc>
          <w:tcPr>
            <w:tcBorders>
              <w:top w:val="single" w:sz="8" w:space="0" w:color="000000"/>
              <w:bottom w:val="single" w:sz="8" w:space="0" w:color="000000"/>
              <w:right w:val="single" w:sz="8" w:space="0" w:color="000000"/>
            </w:tcBorders>
            <w:vAlign w:val="center"/>
          </w:tcPr>
          <w:p>
            <w:pPr>
              <w:spacing w:lineRule="auto"/>
              <w:jc w:val="left"/>
            </w:pPr>
            <w:r>
              <w:rPr/>
              <w:t xml:space="preserve">13</w:t>
            </w:r>
          </w:p>
        </w:tc>
        <w:tc>
          <w:tcPr>
            <w:tcBorders>
              <w:top w:val="single" w:sz="8" w:space="0" w:color="000000"/>
              <w:bottom w:val="single" w:sz="8" w:space="0" w:color="000000"/>
              <w:right w:val="single" w:sz="8" w:space="0" w:color="000000"/>
            </w:tcBorders>
            <w:vAlign w:val="center"/>
          </w:tcPr>
          <w:p>
            <w:pPr>
              <w:spacing w:lineRule="auto"/>
              <w:jc w:val="left"/>
            </w:pPr>
            <w:r>
              <w:rPr/>
              <w:t xml:space="preserve">16</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A</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5</m:t>
                </m:r>
                <m:r>
                  <m:rPr>
                    <m:sty m:val="p"/>
                  </m:rPr>
                  <m:t>,</m:t>
                </m:r>
                <m:r>
                  <m:rPr>
                    <m:sty m:val="p"/>
                  </m:rPr>
                  <m:t>58</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5</m:t>
                </m:r>
                <m:r>
                  <m:rPr>
                    <m:sty m:val="p"/>
                  </m:rPr>
                  <m:t>,</m:t>
                </m:r>
                <m:r>
                  <m:rPr>
                    <m:sty m:val="p"/>
                  </m:rPr>
                  <m:t>73</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5</m:t>
                </m:r>
                <m:r>
                  <m:rPr>
                    <m:sty m:val="p"/>
                  </m:rPr>
                  <m:t>,</m:t>
                </m:r>
                <m:r>
                  <m:rPr>
                    <m:sty m:val="p"/>
                  </m:rPr>
                  <m:t>87</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6</m:t>
                </m:r>
                <m:r>
                  <m:rPr>
                    <m:sty m:val="p"/>
                  </m:rPr>
                  <m:t>,</m:t>
                </m:r>
                <m:r>
                  <m:rPr>
                    <m:sty m:val="p"/>
                  </m:rPr>
                  <m:t>45</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6</m:t>
                </m:r>
                <m:r>
                  <m:rPr>
                    <m:sty m:val="p"/>
                  </m:rPr>
                  <m:t>,</m:t>
                </m:r>
                <m:r>
                  <m:rPr>
                    <m:sty m:val="p"/>
                  </m:rPr>
                  <m:t>9</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7</m:t>
                </m:r>
                <m:r>
                  <m:rPr>
                    <m:sty m:val="p"/>
                  </m:rPr>
                  <m:t>,</m:t>
                </m:r>
                <m:r>
                  <m:rPr>
                    <m:sty m:val="p"/>
                  </m:rPr>
                  <m:t>5</m:t>
                </m:r>
              </m:oMath>
            </m:oMathPara>
          </w:p>
        </w:tc>
      </w:tr>
    </w:tbl>
    <w:p>
      <w:pPr>
        <w:spacing w:lineRule="auto"/>
      </w:pPr>
    </w:p>
    <w:p>
      <w:pPr>
        <w:spacing w:after="220" w:lineRule="auto"/>
      </w:pPr>
      <w:r>
        <w:rPr>
          <w:rFonts w:eastAsia="Georgia" w:cs="Georgia" w:ascii="Georgia" w:hAnsi="Georgia"/>
        </w:rPr>
        <w:t xml:space="preserve">Déterminer la relation entre </w:t>
      </w:r>
      <m:oMath>
        <m:r>
          <m:rPr>
            <m:sty m:val="i"/>
          </m:rPr>
          <m:t>A</m:t>
        </m:r>
      </m:oMath>
      <w:r>
        <w:rPr/>
        <w:t xml:space="preserve"> et </w:t>
      </w:r>
      <m:oMath>
        <m:sSub>
          <m:sSubPr/>
          <m:e>
            <m:r>
              <m:rPr>
                <m:sty m:val="i"/>
              </m:rPr>
              <m:t>N</m:t>
            </m:r>
          </m:e>
          <m:sub>
            <m:r>
              <m:rPr>
                <m:sty m:val="i"/>
              </m:rPr>
              <m:t>c</m:t>
            </m:r>
          </m:sub>
        </m:sSub>
      </m:oMath>
      <w:r>
        <w:rPr>
          <w:rFonts w:eastAsia="Georgia" w:cs="Georgia" w:ascii="Georgia" w:hAnsi="Georgia"/>
        </w:rPr>
        <w:t xml:space="preserve">. En déduire, en dB par couche et pour un trajet double, l'atténuation </w:t>
      </w:r>
      <m:oMath>
        <m:sSub>
          <m:sSubPr/>
          <m:e>
            <m:r>
              <m:rPr>
                <m:sty m:val="i"/>
              </m:rPr>
              <m:t>A</m:t>
            </m:r>
          </m:e>
          <m:sub>
            <m:r>
              <m:rPr>
                <m:sty m:val="p"/>
              </m:rPr>
              <m:t>P</m:t>
            </m:r>
          </m:sub>
        </m:sSub>
      </m:oMath>
      <w:r>
        <w:rPr>
          <w:rFonts w:eastAsia="Georgia" w:cs="Georgia" w:ascii="Georgia" w:hAnsi="Georgia"/>
        </w:rPr>
        <w:t xml:space="preserve"> due à l'absorption propre du matériau. L'épaisseur de chaque couche étant </w:t>
      </w:r>
      <m:oMath>
        <m:sSub>
          <m:sSubPr/>
          <m:e>
            <m:r>
              <m:rPr>
                <m:sty m:val="i"/>
              </m:rPr>
              <m:t>e</m:t>
            </m:r>
          </m:e>
          <m:sub>
            <m:r>
              <m:rPr>
                <m:sty m:val="p"/>
              </m:rPr>
              <m:t>0</m:t>
            </m:r>
          </m:sub>
        </m:sSub>
        <m:r>
          <m:rPr>
            <m:sty m:val="p"/>
          </m:rPr>
          <m:t>=</m:t>
        </m:r>
        <m:r>
          <m:rPr>
            <m:sty m:val="p"/>
          </m:rPr>
          <m:t>0</m:t>
        </m:r>
        <m:r>
          <m:rPr>
            <m:sty m:val="p"/>
          </m:rPr>
          <m:t>,</m:t>
        </m:r>
        <m:r>
          <m:rPr>
            <m:sty m:val="p"/>
          </m:rPr>
          <m:t>13</m:t>
        </m:r>
        <m:r>
          <m:rPr>
            <m:nor/>
          </m:rPr>
          <m:t xml:space="preserve"> </m:t>
        </m:r>
        <m:r>
          <m:rPr>
            <m:sty m:val="p"/>
          </m:rPr>
          <m:t>mm</m:t>
        </m:r>
      </m:oMath>
      <w:r>
        <w:rPr>
          <w:rFonts w:eastAsia="Georgia" w:cs="Georgia" w:ascii="Georgia" w:hAnsi="Georgia"/>
        </w:rPr>
        <w:t xml:space="preserve">, donner l'atténuation en dB par mm .</w:t>
      </w:r>
      <w:r>
        <w:rPr/>
        <w:br w:type="textWrapping"/>
      </w:r>
      <m:oMath>
        <m:r>
          <m:rPr>
            <m:sty m:val="i"/>
          </m:rPr>
          <m:t>◻</m:t>
        </m:r>
        <m:r>
          <m:rPr>
            <m:sty m:val="p"/>
          </m:rPr>
          <m:t>25</m:t>
        </m:r>
      </m:oMath>
      <w:r>
        <w:rPr>
          <w:rFonts w:eastAsia="Georgia" w:cs="Georgia" w:ascii="Georgia" w:hAnsi="Georgia"/>
        </w:rPr>
        <w:t xml:space="preserve"> - L'expression théorique </w:t>
      </w:r>
      <m:oMath>
        <m:r>
          <m:rPr>
            <m:sty m:val="i"/>
          </m:rPr>
          <m:t>P</m:t>
        </m:r>
        <m:r>
          <m:rPr>
            <m:sty m:val="p"/>
          </m:rPr>
          <m:t>(</m:t>
        </m:r>
        <m:r>
          <m:rPr>
            <m:sty m:val="i"/>
          </m:rPr>
          <m:t>d</m:t>
        </m:r>
        <m:r>
          <m:rPr>
            <m:sty m:val="p"/>
          </m:rPr>
          <m:t>)</m:t>
        </m:r>
        <m:r>
          <m:rPr>
            <m:sty m:val="p"/>
          </m:rPr>
          <m:t>=</m:t>
        </m:r>
        <m:r>
          <m:rPr>
            <m:sty m:val="i"/>
          </m:rPr>
          <m:t>P</m:t>
        </m:r>
        <m:r>
          <m:rPr>
            <m:sty m:val="p"/>
          </m:rPr>
          <m:t>(</m:t>
        </m:r>
        <m:r>
          <m:rPr>
            <m:sty m:val="p"/>
          </m:rPr>
          <m:t>0</m:t>
        </m:r>
        <m:r>
          <m:rPr>
            <m:sty m:val="p"/>
          </m:rPr>
          <m:t>)</m:t>
        </m:r>
        <m:r>
          <m:rPr>
            <m:sty m:val="p"/>
          </m:rPr>
          <m:t>exp</m:t>
        </m:r>
        <m:r>
          <m:rPr>
            <m:sty m:val="p"/>
          </m:rPr>
          <m:t>⁡</m:t>
        </m:r>
        <m:d>
          <m:dPr>
            <m:begChr m:val="("/>
            <m:endChr m:val=")"/>
            <m:ctrlPr>
              <w:rPr>
                <w:rFonts w:ascii="Cambria Math" w:hAnsi="Cambria Math"/>
              </w:rPr>
            </m:ctrlPr>
          </m:dPr>
          <m:e>
            <m:r>
              <m:rPr>
                <m:sty m:val="p"/>
              </m:rPr>
              <m:t>−</m:t>
            </m:r>
            <m:r>
              <m:rPr>
                <m:sty m:val="i"/>
              </m:rPr>
              <m:t>α</m:t>
            </m:r>
            <m:r>
              <m:rPr>
                <m:sty m:val="p"/>
              </m:rPr>
              <m:t>⋅</m:t>
            </m:r>
            <m:sSup>
              <m:sSupPr/>
              <m:e>
                <m:r>
                  <m:rPr>
                    <m:sty m:val="i"/>
                  </m:rPr>
                  <m:t>ν</m:t>
                </m:r>
              </m:e>
              <m:sup>
                <m:r>
                  <m:rPr>
                    <m:sty m:val="p"/>
                  </m:rPr>
                  <m:t>2</m:t>
                </m:r>
              </m:sup>
            </m:sSup>
            <m:r>
              <m:rPr>
                <m:sty m:val="i"/>
              </m:rPr>
              <m:t>d</m:t>
            </m:r>
          </m:e>
        </m:d>
      </m:oMath>
      <w:r>
        <w:rPr>
          <w:rFonts w:eastAsia="Georgia" w:cs="Georgia" w:ascii="Georgia" w:hAnsi="Georgia"/>
        </w:rPr>
        <w:t xml:space="preserve">, où </w:t>
      </w:r>
      <m:oMath>
        <m:r>
          <m:rPr>
            <m:sty m:val="i"/>
          </m:rPr>
          <m:t>d</m:t>
        </m:r>
      </m:oMath>
      <w:r>
        <w:rPr>
          <w:rFonts w:eastAsia="Georgia" w:cs="Georgia" w:ascii="Georgia" w:hAnsi="Georgia"/>
        </w:rPr>
        <w:t xml:space="preserve"> est l'épaisseur de composite traversée et </w:t>
      </w:r>
      <m:oMath>
        <m:r>
          <m:rPr>
            <m:sty m:val="i"/>
          </m:rPr>
          <m:t>α</m:t>
        </m:r>
      </m:oMath>
      <w:r>
        <w:rPr>
          <w:rFonts w:eastAsia="Georgia" w:cs="Georgia" w:ascii="Georgia" w:hAnsi="Georgia"/>
        </w:rPr>
        <w:t xml:space="preserve"> un coefficient constant est-elle en accord avec la mesure ? Si oui, calculer la valeur numérique de </w:t>
      </w:r>
      <m:oMath>
        <m:r>
          <m:rPr>
            <m:sty m:val="i"/>
          </m:rPr>
          <m:t>α</m:t>
        </m:r>
      </m:oMath>
      <w:r>
        <w:rPr/>
        <w:t xml:space="preserve">.</w:t>
      </w:r>
    </w:p>
    <w:p>
      <w:pPr>
        <w:numPr>
          <w:ilvl w:val="0"/>
          <w:numId w:val="4"/>
        </w:numPr>
        <w:spacing w:lineRule="auto"/>
      </w:pPr>
      <w:r>
        <w:rPr>
          <w:rFonts w:eastAsia="Georgia" w:cs="Georgia" w:ascii="Georgia" w:hAnsi="Georgia"/>
        </w:rPr>
        <w:t xml:space="preserve">26 - Déterminer l'expression de l'atténuation globale </w:t>
      </w:r>
      <m:oMath>
        <m:r>
          <m:rPr>
            <m:sty m:val="i"/>
          </m:rPr>
          <m:t>A</m:t>
        </m:r>
      </m:oMath>
      <w:r>
        <w:rPr/>
        <w:t xml:space="preserve"> en fonction de </w:t>
      </w:r>
      <m:oMath>
        <m:r>
          <m:rPr>
            <m:sty m:val="i"/>
          </m:rPr>
          <m:t>N</m:t>
        </m:r>
        <m:r>
          <m:rPr>
            <m:sty m:val="p"/>
          </m:rPr>
          <m:t>,</m:t>
        </m:r>
        <m:sSub>
          <m:sSubPr/>
          <m:e>
            <m:r>
              <m:rPr>
                <m:sty m:val="i"/>
              </m:rPr>
              <m:t>A</m:t>
            </m:r>
          </m:e>
          <m:sub>
            <m:r>
              <m:rPr>
                <m:sty m:val="p"/>
              </m:rPr>
              <m:t>i</m:t>
            </m:r>
          </m:sub>
        </m:sSub>
      </m:oMath>
      <w:r>
        <w:rPr>
          <w:rFonts w:eastAsia="Georgia" w:cs="Georgia" w:ascii="Georgia" w:hAnsi="Georgia"/>
        </w:rPr>
        <w:t xml:space="preserve"> (atténuation en double transmission, définie à la question 18) et </w:t>
      </w:r>
      <m:oMath>
        <m:sSub>
          <m:sSubPr/>
          <m:e>
            <m:r>
              <m:rPr>
                <m:sty m:val="i"/>
              </m:rPr>
              <m:t>A</m:t>
            </m:r>
          </m:e>
          <m:sub>
            <m:r>
              <m:rPr>
                <m:sty m:val="p"/>
              </m:rPr>
              <m:t>P</m:t>
            </m:r>
          </m:sub>
        </m:sSub>
      </m:oMath>
      <w:r>
        <w:rPr>
          <w:rFonts w:eastAsia="Georgia" w:cs="Georgia" w:ascii="Georgia" w:hAnsi="Georgia"/>
        </w:rPr>
        <w:t xml:space="preserve"> (absorption propre du matériau, définie à la question 24). Calculer </w:t>
      </w:r>
      <m:oMath>
        <m:r>
          <m:rPr>
            <m:sty m:val="i"/>
          </m:rPr>
          <m:t>A</m:t>
        </m:r>
      </m:oMath>
      <w:r>
        <w:rPr>
          <w:rFonts w:eastAsia="Georgia" w:cs="Georgia" w:ascii="Georgia" w:hAnsi="Georgia"/>
        </w:rPr>
        <w:t xml:space="preserve"> pour une plaque de 16 couches; la valeur trouvée est-elle en accord avec la mesure ?</w:t>
      </w:r>
    </w:p>
    <w:p>
      <w:pPr>
        <w:spacing w:line="271" w:before="330" w:lineRule="auto"/>
      </w:pPr>
      <w:r>
        <w:rPr>
          <w:rFonts w:eastAsia="Georgia" w:cs="Georgia" w:ascii="Georgia" w:hAnsi="Georgia"/>
          <w:b/>
          <w:sz w:val="42"/>
        </w:rPr>
        <w:t xml:space="preserve">B Détection de défauts</w:t>
      </w:r>
    </w:p>
    <w:p>
      <w:pPr>
        <w:spacing w:after="220" w:lineRule="auto"/>
      </w:pPr>
      <w:r>
        <w:rPr>
          <w:rFonts w:eastAsia="Georgia" w:cs="Georgia" w:ascii="Georgia" w:hAnsi="Georgia"/>
        </w:rPr>
        <w:t xml:space="preserve">27 - Les imperfections de surface de l'échantillon (défauts parallèles à la surface, généralement dus à des bulles d'air emprisonnées entre deux couches) entraînent la diffraction du faisceau ultrasonore. Ce phénomène peut produire des variations de l'ordre de -3 dB . Préciser les caractéristiques de l'émetteur qu'il faut choisir dans ce cas.</w:t>
      </w:r>
    </w:p>
    <w:p>
      <w:pPr>
        <w:spacing w:line="271" w:before="330" w:lineRule="auto"/>
      </w:pPr>
      <w:r>
        <w:rPr>
          <w:rFonts w:eastAsia="Georgia" w:cs="Georgia" w:ascii="Georgia" w:hAnsi="Georgia"/>
          <w:b/>
          <w:sz w:val="42"/>
        </w:rPr>
        <w:t xml:space="preserve">Comparaison de méthodes</w:t>
      </w:r>
    </w:p>
    <w:p>
      <w:pPr>
        <w:spacing w:lineRule="auto"/>
        <w:jc w:val="center"/>
      </w:pPr>
      <w:r>
        <w:rPr/>
        <w:drawing>
          <wp:inline distB="0" distL="0" distR="0" distT="0">
            <wp:extent cx="5486400" cy="3485917"/>
            <wp:effectExtent b="0" l="0" r="0" t="0"/>
            <wp:docPr id="7" name="image-51105d40a2fbd87ebc462eb2b4f925916038b355.jpg"/>
            <a:graphic>
              <a:graphicData uri="http://schemas.openxmlformats.org/drawingml/2006/picture">
                <pic:pic>
                  <pic:nvPicPr>
                    <pic:cNvPr id="7" name="image-51105d40a2fbd87ebc462eb2b4f925916038b355.jpg" descr=""/>
                    <pic:cNvPicPr/>
                  </pic:nvPicPr>
                  <pic:blipFill>
                    <a:blip r:embed="rId11" cstate="print"/>
                    <a:srcRect b="0" l="0" r="0" t="0"/>
                    <a:stretch>
                      <a:fillRect/>
                    </a:stretch>
                  </pic:blipFill>
                  <pic:spPr>
                    <a:xfrm>
                      <a:off x="0" y="0"/>
                      <a:ext cx="5486400" cy="3485917"/>
                    </a:xfrm>
                    <a:prstGeom prst="rect"/>
                  </pic:spPr>
                </pic:pic>
              </a:graphicData>
            </a:graphic>
          </wp:inline>
        </w:drawing>
      </w:r>
    </w:p>
    <w:p>
      <w:pPr>
        <w:spacing w:lineRule="auto"/>
      </w:pPr>
      <w:r>
        <w:rPr>
          <w:rFonts w:eastAsia="Georgia" w:cs="Georgia" w:ascii="Georgia" w:hAnsi="Georgia"/>
        </w:rPr>
        <w:t xml:space="preserve">Fig. 11 : méthode par réflexion</w:t>
      </w:r>
    </w:p>
    <w:p>
      <w:pPr>
        <w:spacing w:after="220" w:lineRule="auto"/>
      </w:pPr>
      <m:oMath>
        <m:r>
          <m:rPr>
            <m:sty m:val="i"/>
          </m:rPr>
          <m:t>◻</m:t>
        </m:r>
        <m:r>
          <m:rPr>
            <m:sty m:val="p"/>
          </m:rPr>
          <m:t>28</m:t>
        </m:r>
      </m:oMath>
      <w:r>
        <w:rPr>
          <w:rFonts w:eastAsia="Georgia" w:cs="Georgia" w:ascii="Georgia" w:hAnsi="Georgia"/>
        </w:rPr>
        <w:t xml:space="preserve"> - Dans la méthode par réflexion : le même transducteur détecte les échos réfléchis par les faces avant </w:t>
      </w:r>
      <m:oMath>
        <m:sSub>
          <m:sSubPr/>
          <m:e>
            <m:r>
              <m:rPr>
                <m:sty m:val="i"/>
              </m:rPr>
              <m:t>P</m:t>
            </m:r>
          </m:e>
          <m:sub>
            <m:r>
              <m:rPr>
                <m:sty m:val="p"/>
              </m:rPr>
              <m:t>E</m:t>
            </m:r>
          </m:sub>
        </m:sSub>
      </m:oMath>
      <w:r>
        <w:rPr>
          <w:rFonts w:eastAsia="Georgia" w:cs="Georgia" w:ascii="Georgia" w:hAnsi="Georgia"/>
        </w:rPr>
        <w:t xml:space="preserve"> et arrière </w:t>
      </w:r>
      <m:oMath>
        <m:sSub>
          <m:sSubPr/>
          <m:e>
            <m:r>
              <m:rPr>
                <m:sty m:val="i"/>
              </m:rPr>
              <m:t>P</m:t>
            </m:r>
          </m:e>
          <m:sub>
            <m:r>
              <m:rPr>
                <m:sty m:val="p"/>
              </m:rPr>
              <m:t>S</m:t>
            </m:r>
          </m:sub>
        </m:sSub>
      </m:oMath>
      <w:r>
        <w:rPr>
          <w:rFonts w:eastAsia="Georgia" w:cs="Georgia" w:ascii="Georgia" w:hAnsi="Georgia"/>
        </w:rPr>
        <w:t xml:space="preserve"> de l'échantillon (fig. 11). Quel phénomène peut-on observer si la durée temporelle du signal ultrasonore émis est supérieure à son temps de parcours dans l'épaisseur de l'échantillon?</w:t>
      </w:r>
    </w:p>
    <w:p>
      <w:pPr>
        <w:numPr>
          <w:ilvl w:val="0"/>
          <w:numId w:val="5"/>
        </w:numPr>
        <w:spacing w:lineRule="auto"/>
      </w:pPr>
      <w:r>
        <w:rPr>
          <w:rFonts w:eastAsia="Georgia" w:cs="Georgia" w:ascii="Georgia" w:hAnsi="Georgia"/>
        </w:rPr>
        <w:t xml:space="preserve">29 - Déterminer le nombre minimal de couches nécessaires pour éviter ce phénomène, dans les deux cas d'amortissement d'émetteur (fort et faible) présentés à la question 8 .</w:t>
      </w:r>
      <w:r>
        <w:rPr/>
        <w:br w:type="textWrapping"/>
      </w:r>
      <m:oMath>
        <m:r>
          <m:rPr>
            <m:sty m:val="i"/>
          </m:rPr>
          <m:t>◻</m:t>
        </m:r>
        <m:r>
          <m:rPr>
            <m:sty m:val="p"/>
          </m:rPr>
          <m:t>30</m:t>
        </m:r>
      </m:oMath>
      <w:r>
        <w:rPr>
          <w:rFonts w:eastAsia="Georgia" w:cs="Georgia" w:ascii="Georgia" w:hAnsi="Georgia"/>
        </w:rPr>
        <w:t xml:space="preserve"> - Justifier théoriquement que l'on rencontre des problèmes de mesure avec un émetteur peu amorti et un échantillon contenant moins de dix couches, alors que l’on sépare très bien quatre couches avec un émetteur fortement amorti.</w:t>
      </w:r>
      <w:r>
        <w:rPr/>
        <w:br w:type="textWrapping"/>
      </w:r>
      <m:oMath>
        <m:r>
          <m:rPr>
            <m:sty m:val="i"/>
          </m:rPr>
          <m:t>◻</m:t>
        </m:r>
        <m:r>
          <m:rPr>
            <m:sty m:val="p"/>
          </m:rPr>
          <m:t>31</m:t>
        </m:r>
      </m:oMath>
      <w:r>
        <w:rPr>
          <w:rFonts w:eastAsia="Georgia" w:cs="Georgia" w:ascii="Georgia" w:hAnsi="Georgia"/>
        </w:rPr>
        <w:t xml:space="preserve"> - Quel avantage présente la méthode par double transmission sur la méthode par réflexion?</w:t>
      </w:r>
      <w:r>
        <w:rPr/>
        <w:br w:type="textWrapping"/>
      </w:r>
      <m:oMath>
        <m:r>
          <m:rPr>
            <m:sty m:val="i"/>
          </m:rPr>
          <m:t>◻</m:t>
        </m:r>
        <m:r>
          <m:rPr>
            <m:sty m:val="p"/>
          </m:rPr>
          <m:t>32</m:t>
        </m:r>
      </m:oMath>
      <w:r>
        <w:rPr>
          <w:rFonts w:eastAsia="Georgia" w:cs="Georgia" w:ascii="Georgia" w:hAnsi="Georgia"/>
        </w:rPr>
        <w:t xml:space="preserve"> - On considère les échos réfléchis par la face avant de l'échantillon et par la plaque de verre. L'émetteur peu amorti est utilisé pour analyser une plaque extrêmement mince, contenant quatre couches. La vitesse du son dans l'eau est </w:t>
      </w:r>
      <m:oMath>
        <m:sSub>
          <m:sSubPr/>
          <m:e>
            <m:r>
              <m:rPr>
                <m:sty m:val="i"/>
              </m:rPr>
              <m:t>c</m:t>
            </m:r>
          </m:e>
          <m:sub>
            <m:r>
              <m:rPr>
                <m:sty m:val="p"/>
              </m:rPr>
              <m:t>e</m:t>
            </m:r>
          </m:sub>
        </m:sSub>
        <m:r>
          <m:rPr>
            <m:sty m:val="p"/>
          </m:rPr>
          <m:t>=</m:t>
        </m:r>
        <m:r>
          <m:rPr>
            <m:sty m:val="p"/>
          </m:rPr>
          <m:t>1500</m:t>
        </m:r>
        <m:r>
          <m:rPr>
            <m:nor/>
          </m:rPr>
          <m:t xml:space="preserve"> </m:t>
        </m:r>
        <m:r>
          <m:rPr>
            <m:sty m:val="p"/>
          </m:rPr>
          <m:t>m</m:t>
        </m:r>
        <m:r>
          <m:rPr>
            <m:sty m:val="p"/>
          </m:rPr>
          <m:t>.</m:t>
        </m:r>
        <m:sSup>
          <m:sSupPr/>
          <m:e>
            <m:r>
              <m:rPr>
                <m:sty m:val="p"/>
              </m:rPr>
              <m:t>s</m:t>
            </m:r>
          </m:e>
          <m:sup>
            <m:r>
              <m:rPr>
                <m:sty m:val="p"/>
              </m:rPr>
              <m:t>−</m:t>
            </m:r>
            <m:r>
              <m:rPr>
                <m:sty m:val="p"/>
              </m:rPr>
              <m:t>1</m:t>
            </m:r>
          </m:sup>
        </m:sSup>
      </m:oMath>
      <w:r>
        <w:rPr>
          <w:rFonts w:eastAsia="Georgia" w:cs="Georgia" w:ascii="Georgia" w:hAnsi="Georgia"/>
        </w:rPr>
        <w:t xml:space="preserve">; quelle doit être la distance minimale entre le réflecteur et la face de sortie de la plaque?</w:t>
      </w:r>
    </w:p>
    <w:p>
      <w:pPr>
        <w:spacing w:line="271" w:before="330" w:lineRule="auto"/>
      </w:pPr>
      <w:r>
        <w:rPr>
          <w:rFonts w:eastAsia="Georgia" w:cs="Georgia" w:ascii="Georgia" w:hAnsi="Georgia"/>
          <w:b/>
          <w:sz w:val="42"/>
        </w:rPr>
        <w:t xml:space="preserve">Délaminage (défaut «étendu»)</w:t>
      </w:r>
    </w:p>
    <w:p>
      <w:pPr>
        <w:spacing w:after="220" w:lineRule="auto"/>
      </w:pPr>
      <m:oMath>
        <m:r>
          <m:rPr>
            <m:sty m:val="i"/>
          </m:rPr>
          <m:t>◻</m:t>
        </m:r>
        <m:r>
          <m:rPr>
            <m:sty m:val="p"/>
          </m:rPr>
          <m:t>33</m:t>
        </m:r>
      </m:oMath>
      <w:r>
        <w:rPr>
          <w:rFonts w:eastAsia="Georgia" w:cs="Georgia" w:ascii="Georgia" w:hAnsi="Georgia"/>
        </w:rPr>
        <w:t xml:space="preserve"> - Le défaut à détecter par la méthode de réflexion définie à la question 28 peut être un délaminage, fine lamelle d'air entre deux couches de matériau. Lorsque l'aire, </w:t>
      </w:r>
      <m:oMath>
        <m:r>
          <m:rPr>
            <m:sty m:val="i"/>
          </m:rPr>
          <m:t>S</m:t>
        </m:r>
      </m:oMath>
      <w:r>
        <w:rPr>
          <w:rFonts w:eastAsia="Georgia" w:cs="Georgia" w:ascii="Georgia" w:hAnsi="Georgia"/>
        </w:rPr>
        <w:t xml:space="preserve">, de la surface du délaminage est supérieure à celle de la surface, </w:t>
      </w:r>
      <m:oMath>
        <m:sSub>
          <m:sSubPr/>
          <m:e>
            <m:r>
              <m:rPr>
                <m:sty m:val="i"/>
              </m:rPr>
              <m:t>S</m:t>
            </m:r>
          </m:e>
          <m:sub>
            <m:r>
              <m:rPr>
                <m:sty m:val="p"/>
              </m:rPr>
              <m:t>0</m:t>
            </m:r>
          </m:sub>
        </m:sSub>
      </m:oMath>
      <w:r>
        <w:rPr>
          <w:rFonts w:eastAsia="Georgia" w:cs="Georgia" w:ascii="Georgia" w:hAnsi="Georgia"/>
        </w:rPr>
        <w:t xml:space="preserve">, de la tache focale, il n'y a plus d'écho de fond ( </w:t>
      </w:r>
      <m:oMath>
        <m:sSub>
          <m:sSubPr/>
          <m:e>
            <m:r>
              <m:rPr>
                <m:sty m:val="i"/>
              </m:rPr>
              <m:t>P</m:t>
            </m:r>
          </m:e>
          <m:sub>
            <m:r>
              <m:rPr>
                <m:sty m:val="p"/>
              </m:rPr>
              <m:t>S</m:t>
            </m:r>
          </m:sub>
        </m:sSub>
      </m:oMath>
      <w:r>
        <w:rPr/>
        <w:t xml:space="preserve"> ); dans le cas contraire ( </w:t>
      </w:r>
      <m:oMath>
        <m:r>
          <m:rPr>
            <m:sty m:val="i"/>
          </m:rPr>
          <m:t>S</m:t>
        </m:r>
        <m:r>
          <m:rPr>
            <m:sty m:val="p"/>
          </m:rPr>
          <m:t>&lt;</m:t>
        </m:r>
        <m:sSub>
          <m:sSubPr/>
          <m:e>
            <m:r>
              <m:rPr>
                <m:sty m:val="i"/>
              </m:rPr>
              <m:t>S</m:t>
            </m:r>
          </m:e>
          <m:sub>
            <m:r>
              <m:rPr>
                <m:sty m:val="p"/>
              </m:rPr>
              <m:t>0</m:t>
            </m:r>
          </m:sub>
        </m:sSub>
      </m:oMath>
      <w:r>
        <w:rPr>
          <w:rFonts w:eastAsia="Georgia" w:cs="Georgia" w:ascii="Georgia" w:hAnsi="Georgia"/>
        </w:rPr>
        <w:t xml:space="preserve"> ), l'amplitude de l'écho de fond est proportionnelle à ( </w:t>
      </w:r>
      <m:oMath>
        <m:r>
          <m:rPr>
            <m:sty m:val="p"/>
          </m:rPr>
          <m:t>1</m:t>
        </m:r>
        <m:r>
          <m:rPr>
            <m:sty m:val="p"/>
          </m:rPr>
          <m:t>−</m:t>
        </m:r>
        <m:r>
          <m:rPr>
            <m:sty m:val="i"/>
          </m:rPr>
          <m:t>S</m:t>
        </m:r>
        <m:r>
          <m:rPr>
            <m:sty m:val="p"/>
          </m:rPr>
          <m:t>/</m:t>
        </m:r>
        <m:sSub>
          <m:sSubPr/>
          <m:e>
            <m:r>
              <m:rPr>
                <m:sty m:val="i"/>
              </m:rPr>
              <m:t>S</m:t>
            </m:r>
          </m:e>
          <m:sub>
            <m:r>
              <m:rPr>
                <m:sty m:val="p"/>
              </m:rPr>
              <m:t>0</m:t>
            </m:r>
          </m:sub>
        </m:sSub>
      </m:oMath>
      <w:r>
        <w:rPr>
          <w:rFonts w:eastAsia="Georgia" w:cs="Georgia" w:ascii="Georgia" w:hAnsi="Georgia"/>
        </w:rPr>
        <w:t xml:space="preserve"> ). Comparer l'amplitude réfléchie par la face de sortie </w:t>
      </w:r>
      <m:oMath>
        <m:sSub>
          <m:sSubPr/>
          <m:e>
            <m:r>
              <m:rPr>
                <m:sty m:val="i"/>
              </m:rPr>
              <m:t>P</m:t>
            </m:r>
          </m:e>
          <m:sub>
            <m:r>
              <m:rPr>
                <m:sty m:val="p"/>
              </m:rPr>
              <m:t>S</m:t>
            </m:r>
          </m:sub>
        </m:sSub>
      </m:oMath>
      <w:r>
        <w:rPr>
          <w:rFonts w:eastAsia="Georgia" w:cs="Georgia" w:ascii="Georgia" w:hAnsi="Georgia"/>
        </w:rPr>
        <w:t xml:space="preserve"> (matériau sain) et par le délaminage </w:t>
      </w:r>
      <m:oMath>
        <m:sSub>
          <m:sSubPr/>
          <m:e>
            <m:r>
              <m:rPr>
                <m:sty m:val="i"/>
              </m:rPr>
              <m:t>P</m:t>
            </m:r>
          </m:e>
          <m:sub>
            <m:r>
              <m:rPr>
                <m:sty m:val="p"/>
              </m:rPr>
              <m:t>D</m:t>
            </m:r>
          </m:sub>
        </m:sSub>
        <m:d>
          <m:dPr>
            <m:begChr m:val="("/>
            <m:endChr m:val=")"/>
            <m:ctrlPr>
              <w:rPr>
                <w:rFonts w:ascii="Cambria Math" w:hAnsi="Cambria Math"/>
              </w:rPr>
            </m:ctrlPr>
          </m:dPr>
          <m:e>
            <m:r>
              <m:rPr>
                <m:sty m:val="i"/>
              </m:rPr>
              <m:t>S</m:t>
            </m:r>
            <m:r>
              <m:rPr>
                <m:sty m:val="p"/>
              </m:rPr>
              <m:t>&gt;</m:t>
            </m:r>
            <m:sSub>
              <m:sSubPr/>
              <m:e>
                <m:r>
                  <m:rPr>
                    <m:sty m:val="i"/>
                  </m:rPr>
                  <m:t>S</m:t>
                </m:r>
              </m:e>
              <m:sub>
                <m:r>
                  <m:rPr>
                    <m:sty m:val="p"/>
                  </m:rPr>
                  <m:t>0</m:t>
                </m:r>
              </m:sub>
            </m:sSub>
          </m:e>
        </m:d>
      </m:oMath>
      <w:r>
        <w:rPr>
          <w:rFonts w:eastAsia="Georgia" w:cs="Georgia" w:ascii="Georgia" w:hAnsi="Georgia"/>
        </w:rPr>
        <w:t xml:space="preserve"> en déterminant </w:t>
      </w:r>
      <m:oMath>
        <m:d>
          <m:dPr>
            <m:begChr m:val=""/>
            <m:endChr m:val=")"/>
            <m:ctrlPr>
              <w:rPr>
                <w:rFonts w:ascii="Cambria Math" w:hAnsi="Cambria Math"/>
              </w:rPr>
            </m:ctrlPr>
          </m:dPr>
          <m:e>
            <m:r>
              <m:rPr>
                <m:sty m:val="i"/>
              </m:rPr>
              <m:t>A</m:t>
            </m:r>
            <m:r>
              <m:rPr>
                <m:sty m:val="p"/>
              </m:rPr>
              <m:t>=</m:t>
            </m:r>
            <m:r>
              <m:rPr>
                <m:sty m:val="p"/>
              </m:rPr>
              <m:t>20</m:t>
            </m:r>
            <m:r>
              <m:rPr>
                <m:sty m:val="p"/>
              </m:rPr>
              <m:t>log</m:t>
            </m:r>
            <m:r>
              <m:rPr>
                <m:sty m:val="p"/>
              </m:rPr>
              <m:t>⁡</m:t>
            </m:r>
            <m:r>
              <m:rPr>
                <m:sty m:val="i"/>
              </m:rPr>
              <m:t>◻</m:t>
            </m:r>
            <m:sSub>
              <m:sSubPr/>
              <m:e>
                <m:r>
                  <m:rPr>
                    <m:sty m:val="i"/>
                  </m:rPr>
                  <m:t>P</m:t>
                </m:r>
              </m:e>
              <m:sub>
                <m:r>
                  <m:rPr>
                    <m:sty m:val="p"/>
                  </m:rPr>
                  <m:t>D</m:t>
                </m:r>
              </m:sub>
            </m:sSub>
            <m:r>
              <m:rPr>
                <m:sty m:val="p"/>
              </m:rPr>
              <m:t>/</m:t>
            </m:r>
            <m:sSub>
              <m:sSubPr/>
              <m:e>
                <m:r>
                  <m:rPr>
                    <m:sty m:val="i"/>
                  </m:rPr>
                  <m:t>P</m:t>
                </m:r>
              </m:e>
              <m:sub>
                <m:r>
                  <m:rPr>
                    <m:sty m:val="p"/>
                  </m:rPr>
                  <m:t>S</m:t>
                </m:r>
              </m:sub>
            </m:sSub>
          </m:e>
        </m:d>
        <m:r>
          <m:rPr>
            <m:sty m:val="i"/>
          </m:rPr>
          <m:t>◻</m:t>
        </m:r>
      </m:oMath>
      <w:r>
        <w:rPr>
          <w:rFonts w:eastAsia="Georgia" w:cs="Georgia" w:ascii="Georgia" w:hAnsi="Georgia"/>
        </w:rPr>
        <w:t xml:space="preserve">. On négligera dans le calcul l'absorption propre du matériau, mais on indiquera dans quel sens cette absorption affecte la valeur de </w:t>
      </w:r>
      <m:oMath>
        <m:r>
          <m:rPr>
            <m:sty m:val="i"/>
          </m:rPr>
          <m:t>A</m:t>
        </m:r>
      </m:oMath>
      <w:r>
        <w:rPr>
          <w:rFonts w:eastAsia="Georgia" w:cs="Georgia" w:ascii="Georgia" w:hAnsi="Georgia"/>
        </w:rPr>
        <w:t xml:space="preserve">. Comment reconnaître l'écho associé au délaminage?</w:t>
      </w:r>
      <w:r>
        <w:rPr/>
        <w:br w:type="textWrapping"/>
      </w:r>
      <m:oMath>
        <m:r>
          <m:rPr>
            <m:sty m:val="i"/>
          </m:rPr>
          <m:t>◻</m:t>
        </m:r>
        <m:r>
          <m:rPr>
            <m:sty m:val="p"/>
          </m:rPr>
          <m:t>34</m:t>
        </m:r>
      </m:oMath>
      <w:r>
        <w:rPr>
          <w:rFonts w:eastAsia="Georgia" w:cs="Georgia" w:ascii="Georgia" w:hAnsi="Georgia"/>
        </w:rPr>
        <w:t xml:space="preserve"> - L'écho </w:t>
      </w:r>
      <m:oMath>
        <m:sSub>
          <m:sSubPr/>
          <m:e>
            <m:r>
              <m:rPr>
                <m:sty m:val="i"/>
              </m:rPr>
              <m:t>P</m:t>
            </m:r>
          </m:e>
          <m:sub>
            <m:r>
              <m:rPr>
                <m:sty m:val="p"/>
              </m:rPr>
              <m:t>E</m:t>
            </m:r>
          </m:sub>
        </m:sSub>
      </m:oMath>
      <w:r>
        <w:rPr>
          <w:rFonts w:eastAsia="Georgia" w:cs="Georgia" w:ascii="Georgia" w:hAnsi="Georgia"/>
        </w:rPr>
        <w:t xml:space="preserve"> est pris comme référence : amplitude unitaire au temps initial. Sur le même repère (amplitude en fonction de l'instant d'arrivée), représenter :</w:t>
      </w:r>
    </w:p>
    <w:p>
      <w:pPr>
        <w:numPr>
          <w:ilvl w:val="0"/>
          <w:numId w:val="6"/>
        </w:numPr>
        <w:spacing w:lineRule="auto"/>
      </w:pPr>
      <w:r>
        <w:rPr>
          <w:rFonts w:eastAsia="Georgia" w:cs="Georgia" w:ascii="Georgia" w:hAnsi="Georgia"/>
        </w:rPr>
        <w:t xml:space="preserve">l'amplitude de l'écho de fond </w:t>
      </w:r>
      <m:oMath>
        <m:sSub>
          <m:sSubPr/>
          <m:e>
            <m:r>
              <m:rPr>
                <m:sty m:val="i"/>
              </m:rPr>
              <m:t>P</m:t>
            </m:r>
          </m:e>
          <m:sub>
            <m:r>
              <m:rPr>
                <m:sty m:val="p"/>
              </m:rPr>
              <m:t>s</m:t>
            </m:r>
          </m:sub>
        </m:sSub>
      </m:oMath>
      <w:r>
        <w:rPr>
          <w:rFonts w:eastAsia="Georgia" w:cs="Georgia" w:ascii="Georgia" w:hAnsi="Georgia"/>
        </w:rPr>
        <w:t xml:space="preserve"> pour un échantillon sain de trente couches,</w:t>
      </w:r>
    </w:p>
    <w:p>
      <w:pPr>
        <w:numPr>
          <w:ilvl w:val="0"/>
          <w:numId w:val="6"/>
        </w:numPr>
        <w:spacing w:lineRule="auto"/>
      </w:pPr>
      <w:r>
        <w:rPr>
          <w:rFonts w:eastAsia="Georgia" w:cs="Georgia" w:ascii="Georgia" w:hAnsi="Georgia"/>
        </w:rPr>
        <w:t xml:space="preserve">la courbe des échos de délaminage </w:t>
      </w:r>
      <m:oMath>
        <m:sSub>
          <m:sSubPr/>
          <m:e>
            <m:r>
              <m:rPr>
                <m:sty m:val="i"/>
              </m:rPr>
              <m:t>P</m:t>
            </m:r>
          </m:e>
          <m:sub>
            <m:r>
              <m:rPr>
                <m:sty m:val="p"/>
              </m:rPr>
              <m:t>D</m:t>
            </m:r>
          </m:sub>
        </m:sSub>
      </m:oMath>
      <w:r>
        <w:rPr/>
        <w:t xml:space="preserve">.</w:t>
      </w:r>
      <w:r>
        <w:rPr/>
        <w:br w:type="textWrapping"/>
      </w:r>
      <m:oMath>
        <m:r>
          <m:rPr>
            <m:sty m:val="i"/>
          </m:rPr>
          <m:t>◻</m:t>
        </m:r>
        <m:r>
          <m:rPr>
            <m:sty m:val="p"/>
          </m:rPr>
          <m:t>35</m:t>
        </m:r>
      </m:oMath>
      <w:r>
        <w:rPr>
          <w:rFonts w:eastAsia="Georgia" w:cs="Georgia" w:ascii="Georgia" w:hAnsi="Georgia"/>
        </w:rPr>
        <w:t xml:space="preserve"> - On analyse l'échantillon représenté fig. 12 ; représenter par un trait sur le graphe précédent les échos </w:t>
      </w:r>
      <m:oMath>
        <m:sSub>
          <m:sSubPr/>
          <m:e>
            <m:r>
              <m:rPr>
                <m:sty m:val="i"/>
              </m:rPr>
              <m:t>P</m:t>
            </m:r>
          </m:e>
          <m:sub>
            <m:r>
              <m:rPr>
                <m:sty m:val="p"/>
              </m:rPr>
              <m:t>S</m:t>
            </m:r>
            <m:r>
              <m:rPr>
                <m:sty m:val="p"/>
              </m:rPr>
              <m:t>1</m:t>
            </m:r>
          </m:sub>
        </m:sSub>
      </m:oMath>
      <w:r>
        <w:rPr>
          <w:rFonts w:eastAsia="Georgia" w:cs="Georgia" w:ascii="Georgia" w:hAnsi="Georgia"/>
        </w:rPr>
        <w:t xml:space="preserve"> associé à un échantillon sans défaut détectable et </w:t>
      </w:r>
      <m:oMath>
        <m:sSub>
          <m:sSubPr/>
          <m:e>
            <m:r>
              <m:rPr>
                <m:sty m:val="i"/>
              </m:rPr>
              <m:t>P</m:t>
            </m:r>
          </m:e>
          <m:sub>
            <m:r>
              <m:rPr>
                <m:sty m:val="p"/>
              </m:rPr>
              <m:t>D</m:t>
            </m:r>
            <m:r>
              <m:rPr>
                <m:sty m:val="p"/>
              </m:rPr>
              <m:t>1</m:t>
            </m:r>
          </m:sub>
        </m:sSub>
      </m:oMath>
      <w:r>
        <w:rPr>
          <w:rFonts w:eastAsia="Georgia" w:cs="Georgia" w:ascii="Georgia" w:hAnsi="Georgia"/>
        </w:rPr>
        <w:t xml:space="preserve"> associé à la rencontre du faisceau avec un délaminage.</w:t>
      </w:r>
      <w:r>
        <w:rPr/>
        <w:br w:type="textWrapping"/>
      </w:r>
      <m:oMath>
        <m:r>
          <m:rPr>
            <m:sty m:val="i"/>
          </m:rPr>
          <m:t>◻</m:t>
        </m:r>
        <m:r>
          <m:rPr>
            <m:sty m:val="p"/>
          </m:rPr>
          <m:t>36</m:t>
        </m:r>
      </m:oMath>
      <w:r>
        <w:rPr>
          <w:rFonts w:eastAsia="Georgia" w:cs="Georgia" w:ascii="Georgia" w:hAnsi="Georgia"/>
        </w:rPr>
        <w:t xml:space="preserve"> - Une mesure effectuée en un autre endroit du même échantillon donne deux échos : un écho d'amplitude </w:t>
      </w:r>
      <m:oMath>
        <m:sSub>
          <m:sSubPr/>
          <m:e>
            <m:r>
              <m:rPr>
                <m:sty m:val="i"/>
              </m:rPr>
              <m:t>P</m:t>
            </m:r>
          </m:e>
          <m:sub>
            <m:r>
              <m:rPr>
                <m:sty m:val="p"/>
              </m:rPr>
              <m:t>S</m:t>
            </m:r>
            <m:r>
              <m:rPr>
                <m:sty m:val="p"/>
              </m:rPr>
              <m:t>1</m:t>
            </m:r>
          </m:sub>
        </m:sSub>
        <m:r>
          <m:rPr>
            <m:sty m:val="p"/>
          </m:rPr>
          <m:t>/</m:t>
        </m:r>
        <m:r>
          <m:rPr>
            <m:sty m:val="p"/>
          </m:rPr>
          <m:t>2</m:t>
        </m:r>
      </m:oMath>
      <w:r>
        <w:rPr>
          <w:rFonts w:eastAsia="Georgia" w:cs="Georgia" w:ascii="Georgia" w:hAnsi="Georgia"/>
        </w:rPr>
        <w:t xml:space="preserve"> à la position de l'écho de fond </w:t>
      </w:r>
      <m:oMath>
        <m:sSub>
          <m:sSubPr/>
          <m:e>
            <m:r>
              <m:rPr>
                <m:sty m:val="i"/>
              </m:rPr>
              <m:t>P</m:t>
            </m:r>
          </m:e>
          <m:sub>
            <m:r>
              <m:rPr>
                <m:sty m:val="p"/>
              </m:rPr>
              <m:t>S</m:t>
            </m:r>
            <m:r>
              <m:rPr>
                <m:sty m:val="p"/>
              </m:rPr>
              <m:t>1</m:t>
            </m:r>
          </m:sub>
        </m:sSub>
      </m:oMath>
      <w:r>
        <w:rPr>
          <w:rFonts w:eastAsia="Georgia" w:cs="Georgia" w:ascii="Georgia" w:hAnsi="Georgia"/>
        </w:rPr>
        <w:t xml:space="preserve"> et un deuxième écho, d'amplitude </w:t>
      </w:r>
      <m:oMath>
        <m:sSub>
          <m:sSubPr/>
          <m:e>
            <m:r>
              <m:rPr>
                <m:sty m:val="i"/>
              </m:rPr>
              <m:t>P</m:t>
            </m:r>
          </m:e>
          <m:sub>
            <m:r>
              <m:rPr>
                <m:sty m:val="p"/>
              </m:rPr>
              <m:t>D</m:t>
            </m:r>
            <m:r>
              <m:rPr>
                <m:sty m:val="p"/>
              </m:rPr>
              <m:t>1</m:t>
            </m:r>
          </m:sub>
        </m:sSub>
        <m:r>
          <m:rPr>
            <m:sty m:val="p"/>
          </m:rPr>
          <m:t>/</m:t>
        </m:r>
        <m:r>
          <m:rPr>
            <m:sty m:val="p"/>
          </m:rPr>
          <m:t>2</m:t>
        </m:r>
      </m:oMath>
      <w:r>
        <w:rPr>
          <w:rFonts w:eastAsia="Georgia" w:cs="Georgia" w:ascii="Georgia" w:hAnsi="Georgia"/>
        </w:rPr>
        <w:t xml:space="preserve">. Que déduire de cette observation?</w:t>
      </w:r>
      <w:r>
        <w:rPr/>
        <w:br w:type="textWrapping"/>
      </w:r>
      <m:oMath>
        <m:r>
          <m:rPr>
            <m:sty m:val="i"/>
          </m:rPr>
          <m:t>◻</m:t>
        </m:r>
        <m:r>
          <m:rPr>
            <m:sty m:val="p"/>
          </m:rPr>
          <m:t>37</m:t>
        </m:r>
      </m:oMath>
      <w:r>
        <w:rPr>
          <w:rFonts w:eastAsia="Georgia" w:cs="Georgia" w:ascii="Georgia" w:hAnsi="Georgia"/>
        </w:rPr>
        <w:t xml:space="preserve"> - Le diamètre de l'émetteur, du type focalisé, est </w:t>
      </w:r>
      <m:oMath>
        <m:r>
          <m:rPr>
            <m:sty m:val="i"/>
          </m:rPr>
          <m:t>D</m:t>
        </m:r>
        <m:r>
          <m:rPr>
            <m:sty m:val="p"/>
          </m:rPr>
          <m:t>=</m:t>
        </m:r>
        <m:r>
          <m:rPr>
            <m:sty m:val="p"/>
          </m:rPr>
          <m:t>10</m:t>
        </m:r>
        <m:r>
          <m:rPr>
            <m:nor/>
          </m:rPr>
          <m:t xml:space="preserve"> </m:t>
        </m:r>
        <m:r>
          <m:rPr>
            <m:sty m:val="p"/>
          </m:rPr>
          <m:t>mm</m:t>
        </m:r>
      </m:oMath>
      <w:r>
        <w:rPr>
          <w:rFonts w:eastAsia="Georgia" w:cs="Georgia" w:ascii="Georgia" w:hAnsi="Georgia"/>
        </w:rPr>
        <w:t xml:space="preserve">. Quelle est la surface du délaminage ?</w:t>
      </w:r>
    </w:p>
    <w:p>
      <w:pPr>
        <w:spacing w:line="271" w:before="330" w:lineRule="auto"/>
      </w:pPr>
      <w:r>
        <w:rPr>
          <w:rFonts w:eastAsia="Georgia" w:cs="Georgia" w:ascii="Georgia" w:hAnsi="Georgia"/>
          <w:b/>
          <w:sz w:val="42"/>
        </w:rPr>
        <w:t xml:space="preserve">Porosité (défaut «ponctuel»)</w:t>
      </w:r>
    </w:p>
    <w:p>
      <w:pPr>
        <w:spacing w:after="220" w:lineRule="auto"/>
      </w:pPr>
      <m:oMath>
        <m:r>
          <m:rPr>
            <m:sty m:val="i"/>
          </m:rPr>
          <m:t>◻</m:t>
        </m:r>
        <m:r>
          <m:rPr>
            <m:sty m:val="p"/>
          </m:rPr>
          <m:t>38</m:t>
        </m:r>
      </m:oMath>
      <w:r>
        <w:rPr>
          <w:rFonts w:eastAsia="Georgia" w:cs="Georgia" w:ascii="Georgia" w:hAnsi="Georgia"/>
        </w:rPr>
        <w:t xml:space="preserve"> - Le défaut peut aussi bien être une porosité, ensemble de petites bulles d'air piégées entre les couches. Du fait de la présence de ce défaut, l'amplitude de l'écho de fond diminue. En s'appuyant sur l'observation faite à la question 33 dans le cas </w:t>
      </w:r>
      <m:oMath>
        <m:r>
          <m:rPr>
            <m:sty m:val="i"/>
          </m:rPr>
          <m:t>S</m:t>
        </m:r>
        <m:r>
          <m:rPr>
            <m:sty m:val="p"/>
          </m:rPr>
          <m:t>&lt;</m:t>
        </m:r>
        <m:sSub>
          <m:sSubPr/>
          <m:e>
            <m:r>
              <m:rPr>
                <m:sty m:val="i"/>
              </m:rPr>
              <m:t>S</m:t>
            </m:r>
          </m:e>
          <m:sub>
            <m:r>
              <m:rPr>
                <m:sty m:val="p"/>
              </m:rPr>
              <m:t>0</m:t>
            </m:r>
          </m:sub>
        </m:sSub>
      </m:oMath>
      <w:r>
        <w:rPr/>
        <w:t xml:space="preserve"> et en nommant </w:t>
      </w:r>
      <m:oMath>
        <m:r>
          <m:rPr>
            <m:sty m:val="i"/>
          </m:rPr>
          <m:t>n</m:t>
        </m:r>
      </m:oMath>
      <w:r>
        <w:rPr>
          <w:rFonts w:eastAsia="Georgia" w:cs="Georgia" w:ascii="Georgia" w:hAnsi="Georgia"/>
        </w:rPr>
        <w:t xml:space="preserve"> le nombre moyen de bulles par unité de surface et </w:t>
      </w:r>
      <m:oMath>
        <m:r>
          <m:rPr>
            <m:sty m:val="i"/>
          </m:rPr>
          <m:t>σ</m:t>
        </m:r>
      </m:oMath>
      <w:r>
        <w:rPr/>
        <w:t xml:space="preserve"> leur surface, </w:t>
      </w:r>
      <m:oMath>
        <m:sSub>
          <m:sSubPr/>
          <m:e>
            <m:r>
              <m:rPr>
                <m:sty m:val="i"/>
              </m:rPr>
              <m:t>P</m:t>
            </m:r>
          </m:e>
          <m:sub>
            <m:r>
              <m:rPr>
                <m:nor/>
              </m:rPr>
              <m:t>sp </m:t>
            </m:r>
          </m:sub>
        </m:sSub>
      </m:oMath>
      <w:r>
        <w:rPr>
          <w:rFonts w:eastAsia="Georgia" w:cs="Georgia" w:ascii="Georgia" w:hAnsi="Georgia"/>
        </w:rPr>
        <w:t xml:space="preserve"> l'amplitude de fond en présence de porosité et </w:t>
      </w:r>
      <m:oMath>
        <m:sSub>
          <m:sSubPr/>
          <m:e>
            <m:r>
              <m:rPr>
                <m:sty m:val="i"/>
              </m:rPr>
              <m:t>P</m:t>
            </m:r>
          </m:e>
          <m:sub>
            <m:r>
              <m:rPr>
                <m:sty m:val="p"/>
              </m:rPr>
              <m:t>S</m:t>
            </m:r>
          </m:sub>
        </m:sSub>
      </m:oMath>
      <w:r>
        <w:rPr>
          <w:rFonts w:eastAsia="Georgia" w:cs="Georgia" w:ascii="Georgia" w:hAnsi="Georgia"/>
        </w:rPr>
        <w:t xml:space="preserve"> l'amplitude de fond d'un échantillon sain, proposer une expression de </w:t>
      </w:r>
      <m:oMath>
        <m:sSub>
          <m:sSubPr/>
          <m:e>
            <m:r>
              <m:rPr>
                <m:sty m:val="i"/>
              </m:rPr>
              <m:t>A</m:t>
            </m:r>
          </m:e>
          <m:sub>
            <m:r>
              <m:rPr>
                <m:sty m:val="p"/>
              </m:rPr>
              <m:t>p</m:t>
            </m:r>
          </m:sub>
        </m:sSub>
        <m:r>
          <m:rPr>
            <m:sty m:val="p"/>
          </m:rPr>
          <m:t>=</m:t>
        </m:r>
        <m:r>
          <m:rPr>
            <m:sty m:val="p"/>
          </m:rPr>
          <m:t>20</m:t>
        </m:r>
        <m:r>
          <m:rPr>
            <m:sty m:val="p"/>
          </m:rPr>
          <m:t>log</m:t>
        </m:r>
        <m:r>
          <m:rPr>
            <m:sty m:val="p"/>
          </m:rPr>
          <m:t>⁡</m:t>
        </m:r>
        <m:r>
          <m:rPr>
            <m:sty m:val="i"/>
          </m:rPr>
          <m:t>◻</m:t>
        </m:r>
        <m:sSub>
          <m:sSubPr/>
          <m:e>
            <m:r>
              <m:rPr>
                <m:sty m:val="i"/>
              </m:rPr>
              <m:t>P</m:t>
            </m:r>
          </m:e>
          <m:sub>
            <m:r>
              <m:rPr>
                <m:sty m:val="p"/>
              </m:rPr>
              <m:t>Sp</m:t>
            </m:r>
          </m:sub>
        </m:sSub>
        <m:r>
          <m:rPr>
            <m:sty m:val="p"/>
          </m:rPr>
          <m:t>/</m:t>
        </m:r>
        <m:sSub>
          <m:sSubPr/>
          <m:e>
            <m:r>
              <m:rPr>
                <m:sty m:val="i"/>
              </m:rPr>
              <m:t>P</m:t>
            </m:r>
          </m:e>
          <m:sub>
            <m:r>
              <m:rPr>
                <m:sty m:val="p"/>
              </m:rPr>
              <m:t>S</m:t>
            </m:r>
          </m:sub>
        </m:sSub>
        <m:r>
          <m:rPr>
            <m:sty m:val="i"/>
          </m:rPr>
          <m:t>◻</m:t>
        </m:r>
      </m:oMath>
      <w:r>
        <w:rPr>
          <w:rFonts w:eastAsia="Georgia" w:cs="Georgia" w:ascii="Georgia" w:hAnsi="Georgia"/>
        </w:rPr>
        <w:t xml:space="preserve">. Le résultat sera exprimé en fonction de </w:t>
      </w:r>
      <m:oMath>
        <m:sSub>
          <m:sSubPr/>
          <m:e>
            <m:r>
              <m:rPr>
                <m:sty m:val="i"/>
              </m:rPr>
              <m:t>S</m:t>
            </m:r>
          </m:e>
          <m:sub>
            <m:r>
              <m:rPr>
                <m:sty m:val="p"/>
              </m:rPr>
              <m:t>0</m:t>
            </m:r>
          </m:sub>
        </m:sSub>
        <m:r>
          <m:rPr>
            <m:sty m:val="p"/>
          </m:rPr>
          <m:t>,</m:t>
        </m:r>
        <m:r>
          <m:rPr>
            <m:sty m:val="i"/>
          </m:rPr>
          <m:t>n</m:t>
        </m:r>
      </m:oMath>
      <w:r>
        <w:rPr/>
        <w:t xml:space="preserve"> et </w:t>
      </w:r>
      <m:oMath>
        <m:r>
          <m:rPr>
            <m:sty m:val="i"/>
          </m:rPr>
          <m:t>σ</m:t>
        </m:r>
      </m:oMath>
      <w:r>
        <w:rPr/>
        <w:t xml:space="preserve">.</w:t>
      </w:r>
    </w:p>
    <w:p>
      <w:pPr>
        <w:numPr>
          <w:ilvl w:val="0"/>
          <w:numId w:val="7"/>
        </w:numPr>
        <w:spacing w:lineRule="auto"/>
      </w:pPr>
      <w:r>
        <w:rPr>
          <w:rFonts w:eastAsia="Georgia" w:cs="Georgia" w:ascii="Georgia" w:hAnsi="Georgia"/>
        </w:rPr>
        <w:t xml:space="preserve">39 - L'expérience montre que l'expression obtenue par ce raisonnement est valable pour des épaisseurs de 10 à 80 couches. Peut-on être sûr qu'il s'agit bien de porosités ?</w:t>
      </w:r>
      <w:r>
        <w:rPr/>
        <w:br w:type="textWrapping"/>
      </w:r>
      <m:oMath>
        <m:r>
          <m:rPr>
            <m:sty m:val="i"/>
          </m:rPr>
          <m:t>◻</m:t>
        </m:r>
        <m:r>
          <m:rPr>
            <m:sty m:val="p"/>
          </m:rPr>
          <m:t>40</m:t>
        </m:r>
      </m:oMath>
      <w:r>
        <w:rPr>
          <w:rFonts w:eastAsia="Georgia" w:cs="Georgia" w:ascii="Georgia" w:hAnsi="Georgia"/>
        </w:rPr>
        <w:t xml:space="preserve"> - Un échantillon de 16 couches est contrôlé par la méthode de réflexion. Il est placé dans l'air, le milieu de couplage est l'eau. On mesure </w:t>
      </w:r>
      <m:oMath>
        <m:r>
          <m:rPr>
            <m:sty m:val="i"/>
          </m:rPr>
          <m:t>A</m:t>
        </m:r>
        <m:r>
          <m:rPr>
            <m:sty m:val="p"/>
          </m:rPr>
          <m:t>=</m:t>
        </m:r>
        <m:r>
          <m:rPr>
            <m:sty m:val="p"/>
          </m:rPr>
          <m:t>20</m:t>
        </m:r>
        <m:r>
          <m:rPr>
            <m:sty m:val="p"/>
          </m:rPr>
          <m:t>log</m:t>
        </m:r>
        <m:r>
          <m:rPr>
            <m:sty m:val="p"/>
          </m:rPr>
          <m:t>⁡</m:t>
        </m:r>
        <m:r>
          <m:rPr>
            <m:sty m:val="i"/>
          </m:rPr>
          <m:t>◻</m:t>
        </m:r>
        <m:sSub>
          <m:sSubPr/>
          <m:e>
            <m:r>
              <m:rPr>
                <m:sty m:val="i"/>
              </m:rPr>
              <m:t>P</m:t>
            </m:r>
          </m:e>
          <m:sub>
            <m:r>
              <m:rPr>
                <m:sty m:val="p"/>
              </m:rPr>
              <m:t>S</m:t>
            </m:r>
          </m:sub>
        </m:sSub>
        <m:r>
          <m:rPr>
            <m:sty m:val="p"/>
          </m:rPr>
          <m:t>/</m:t>
        </m:r>
        <m:sSub>
          <m:sSubPr/>
          <m:e>
            <m:r>
              <m:rPr>
                <m:sty m:val="i"/>
              </m:rPr>
              <m:t>P</m:t>
            </m:r>
          </m:e>
          <m:sub>
            <m:r>
              <m:rPr>
                <m:sty m:val="p"/>
              </m:rPr>
              <m:t>E</m:t>
            </m:r>
          </m:sub>
        </m:sSub>
        <m:r>
          <m:rPr>
            <m:sty m:val="i"/>
          </m:rPr>
          <m:t>◻</m:t>
        </m:r>
        <m:r>
          <m:rPr>
            <m:sty m:val="p"/>
          </m:rPr>
          <m:t>=</m:t>
        </m:r>
        <m:r>
          <m:rPr>
            <m:sty m:val="p"/>
          </m:rPr>
          <m:t>−</m:t>
        </m:r>
        <m:r>
          <m:rPr>
            <m:sty m:val="p"/>
          </m:rPr>
          <m:t>7</m:t>
        </m:r>
        <m:r>
          <m:rPr>
            <m:sty m:val="p"/>
          </m:rPr>
          <m:t>,</m:t>
        </m:r>
        <m:r>
          <m:rPr>
            <m:sty m:val="p"/>
          </m:rPr>
          <m:t>1</m:t>
        </m:r>
        <m:r>
          <m:rPr>
            <m:nor/>
          </m:rPr>
          <m:t xml:space="preserve"> </m:t>
        </m:r>
        <m:r>
          <m:rPr>
            <m:sty m:val="p"/>
          </m:rPr>
          <m:t>dB</m:t>
        </m:r>
      </m:oMath>
      <w:r>
        <w:rPr>
          <w:rFonts w:eastAsia="Georgia" w:cs="Georgia" w:ascii="Georgia" w:hAnsi="Georgia"/>
        </w:rPr>
        <w:t xml:space="preserve">. Calculer le taux de porosité surfacique </w:t>
      </w:r>
      <m:oMath>
        <m:sSub>
          <m:sSubPr/>
          <m:e>
            <m:r>
              <m:rPr>
                <m:sty m:val="i"/>
              </m:rPr>
              <m:t>τ</m:t>
            </m:r>
          </m:e>
          <m:sub>
            <m:r>
              <m:rPr>
                <m:sty m:val="p"/>
              </m:rPr>
              <m:t>p</m:t>
            </m:r>
          </m:sub>
        </m:sSub>
        <m:r>
          <m:rPr>
            <m:sty m:val="p"/>
          </m:rPr>
          <m:t>=</m:t>
        </m:r>
        <m:r>
          <m:rPr>
            <m:sty m:val="i"/>
          </m:rPr>
          <m:t>n</m:t>
        </m:r>
        <m:r>
          <m:rPr>
            <m:sty m:val="i"/>
          </m:rPr>
          <m:t>σ</m:t>
        </m:r>
        <m:r>
          <m:rPr>
            <m:sty m:val="p"/>
          </m:rPr>
          <m:t>/</m:t>
        </m:r>
        <m:sSub>
          <m:sSubPr/>
          <m:e>
            <m:r>
              <m:rPr>
                <m:sty m:val="p"/>
              </m:rPr>
              <m:t>S</m:t>
            </m:r>
          </m:e>
          <m:sub>
            <m:r>
              <m:rPr>
                <m:sty m:val="p"/>
              </m:rPr>
              <m:t>0</m:t>
            </m:r>
          </m:sub>
        </m:sSub>
      </m:oMath>
      <w:r>
        <w:rPr/>
        <w:t xml:space="preserve">.</w:t>
      </w:r>
      <w:r>
        <w:rPr/>
        <w:br w:type="textWrapping"/>
      </w:r>
      <m:oMath>
        <m:r>
          <m:rPr>
            <m:sty m:val="i"/>
          </m:rPr>
          <m:t>◻</m:t>
        </m:r>
        <m:r>
          <m:rPr>
            <m:sty m:val="p"/>
          </m:rPr>
          <m:t>41</m:t>
        </m:r>
      </m:oMath>
      <w:r>
        <w:rPr/>
        <w:t xml:space="preserve"> - On ne peut mesurer une valeur de </w:t>
      </w:r>
      <m:oMath>
        <m:r>
          <m:rPr>
            <m:sty m:val="i"/>
          </m:rPr>
          <m:t>◻</m:t>
        </m:r>
        <m:r>
          <m:rPr>
            <m:sty m:val="i"/>
          </m:rPr>
          <m:t>A</m:t>
        </m:r>
        <m:r>
          <m:rPr>
            <m:sty m:val="i"/>
          </m:rPr>
          <m:t>◻</m:t>
        </m:r>
      </m:oMath>
      <w:r>
        <w:rPr>
          <w:rFonts w:eastAsia="Georgia" w:cs="Georgia" w:ascii="Georgia" w:hAnsi="Georgia"/>
        </w:rPr>
        <w:t xml:space="preserve"> supérieure à 30 dB , quel est le taux de porosité maximal mesurable pour un échantillon à 80 couches ?</w:t>
      </w:r>
    </w:p>
    <w:p>
      <w:pPr>
        <w:spacing w:lineRule="auto"/>
        <w:jc w:val="center"/>
      </w:pPr>
      <w:r>
        <w:rPr/>
        <w:drawing>
          <wp:inline distB="0" distL="0" distR="0" distT="0">
            <wp:extent cx="5019675" cy="4381500"/>
            <wp:effectExtent b="0" l="0" r="0" t="0"/>
            <wp:docPr id="8" name="image-0f583e18d2d8b2f02a6a7d32ec534c690be6da85.jpg"/>
            <a:graphic>
              <a:graphicData uri="http://schemas.openxmlformats.org/drawingml/2006/picture">
                <pic:pic>
                  <pic:nvPicPr>
                    <pic:cNvPr id="8" name="image-0f583e18d2d8b2f02a6a7d32ec534c690be6da85.jpg" descr=""/>
                    <pic:cNvPicPr/>
                  </pic:nvPicPr>
                  <pic:blipFill>
                    <a:blip r:embed="rId12" cstate="print"/>
                    <a:srcRect b="0" l="0" r="0" t="0"/>
                    <a:stretch>
                      <a:fillRect/>
                    </a:stretch>
                  </pic:blipFill>
                  <pic:spPr>
                    <a:xfrm>
                      <a:off x="0" y="0"/>
                      <a:ext cx="5019675" cy="4381500"/>
                    </a:xfrm>
                    <a:prstGeom prst="rect"/>
                  </pic:spPr>
                </pic:pic>
              </a:graphicData>
            </a:graphic>
          </wp:inline>
        </w:drawing>
      </w:r>
    </w:p>
    <w:p>
      <w:pPr>
        <w:spacing w:lineRule="auto"/>
      </w:pPr>
      <w:r>
        <w:rPr>
          <w:rFonts w:eastAsia="Georgia" w:cs="Georgia" w:ascii="Georgia" w:hAnsi="Georgia"/>
        </w:rPr>
        <w:t xml:space="preserve">Fig. 12 : coupe d'un échantillon avec délaminage</w:t>
      </w:r>
    </w:p>
    <w:p>
      <w:pPr>
        <w:spacing w:lineRule="auto"/>
        <w:jc w:val="center"/>
      </w:pPr>
      <w:r>
        <w:rPr/>
        <w:drawing>
          <wp:inline distB="0" distL="0" distR="0" distT="0">
            <wp:extent cx="5486400" cy="4284795"/>
            <wp:effectExtent b="0" l="0" r="0" t="0"/>
            <wp:docPr id="9" name="image-1526f07196d5d50b1cdf1d72bbd8d79f393e4638.jpg"/>
            <a:graphic>
              <a:graphicData uri="http://schemas.openxmlformats.org/drawingml/2006/picture">
                <pic:pic>
                  <pic:nvPicPr>
                    <pic:cNvPr id="9" name="image-1526f07196d5d50b1cdf1d72bbd8d79f393e4638.jpg" descr=""/>
                    <pic:cNvPicPr/>
                  </pic:nvPicPr>
                  <pic:blipFill>
                    <a:blip r:embed="rId13" cstate="print"/>
                    <a:srcRect b="0" l="0" r="0" t="0"/>
                    <a:stretch>
                      <a:fillRect/>
                    </a:stretch>
                  </pic:blipFill>
                  <pic:spPr>
                    <a:xfrm>
                      <a:off x="0" y="0"/>
                      <a:ext cx="5486400" cy="4284795"/>
                    </a:xfrm>
                    <a:prstGeom prst="rect"/>
                  </pic:spPr>
                </pic:pic>
              </a:graphicData>
            </a:graphic>
          </wp:inline>
        </w:drawing>
      </w:r>
    </w:p>
    <w:p>
      <w:pPr>
        <w:spacing w:lineRule="auto"/>
      </w:pPr>
      <w:r>
        <w:rPr>
          <w:rFonts w:eastAsia="Georgia" w:cs="Georgia" w:ascii="Georgia" w:hAnsi="Georgia"/>
        </w:rPr>
        <w:t xml:space="preserve">Fig. 13 : porosité concentrée</w:t>
      </w:r>
    </w:p>
    <w:p>
      <w:pPr>
        <w:spacing w:line="271" w:before="330" w:lineRule="auto"/>
      </w:pPr>
      <w:r>
        <w:rPr>
          <w:rFonts w:eastAsia="Georgia" w:cs="Georgia" w:ascii="Georgia" w:hAnsi="Georgia"/>
          <w:b/>
          <w:sz w:val="42"/>
        </w:rPr>
        <w:t xml:space="preserve">DONNÉES EXPÉRIMENTALES SUR DEUX TYPES DE CAPTEUR</w:t>
      </w:r>
    </w:p>
    <w:p>
      <w:pPr>
        <w:spacing w:lineRule="auto"/>
        <w:jc w:val="center"/>
      </w:pPr>
      <w:r>
        <w:rPr/>
        <w:drawing>
          <wp:inline distB="0" distL="0" distR="0" distT="0">
            <wp:extent cx="5486400" cy="3297585"/>
            <wp:effectExtent b="0" l="0" r="0" t="0"/>
            <wp:docPr id="10" name="image-42d7272f6e71d29061c575652c8eb2fd0141d8d9.jpg"/>
            <a:graphic>
              <a:graphicData uri="http://schemas.openxmlformats.org/drawingml/2006/picture">
                <pic:pic>
                  <pic:nvPicPr>
                    <pic:cNvPr id="10" name="image-42d7272f6e71d29061c575652c8eb2fd0141d8d9.jpg" descr=""/>
                    <pic:cNvPicPr/>
                  </pic:nvPicPr>
                  <pic:blipFill>
                    <a:blip r:embed="rId14" cstate="print"/>
                    <a:srcRect b="0" l="0" r="0" t="0"/>
                    <a:stretch>
                      <a:fillRect/>
                    </a:stretch>
                  </pic:blipFill>
                  <pic:spPr>
                    <a:xfrm>
                      <a:off x="0" y="0"/>
                      <a:ext cx="5486400" cy="3297585"/>
                    </a:xfrm>
                    <a:prstGeom prst="rect"/>
                  </pic:spPr>
                </pic:pic>
              </a:graphicData>
            </a:graphic>
          </wp:inline>
        </w:drawing>
      </w:r>
    </w:p>
    <w:p>
      <w:pPr>
        <w:spacing w:lineRule="auto"/>
      </w:pPr>
      <w:r>
        <w:rPr>
          <w:rFonts w:eastAsia="Georgia" w:cs="Georgia" w:ascii="Georgia" w:hAnsi="Georgia"/>
        </w:rPr>
        <w:t xml:space="preserve">Fig. 3 : réponse temporelle</w:t>
      </w:r>
    </w:p>
    <w:p>
      <w:pPr>
        <w:spacing w:lineRule="auto"/>
        <w:jc w:val="center"/>
      </w:pPr>
      <w:r>
        <w:rPr/>
        <w:drawing>
          <wp:inline distB="0" distL="0" distR="0" distT="0">
            <wp:extent cx="4162425" cy="4362450"/>
            <wp:effectExtent b="0" l="0" r="0" t="0"/>
            <wp:docPr id="11" name="image-9db662265469486016dd6537531c198e03e1f86e.jpg"/>
            <a:graphic>
              <a:graphicData uri="http://schemas.openxmlformats.org/drawingml/2006/picture">
                <pic:pic>
                  <pic:nvPicPr>
                    <pic:cNvPr id="11" name="image-9db662265469486016dd6537531c198e03e1f86e.jpg" descr=""/>
                    <pic:cNvPicPr/>
                  </pic:nvPicPr>
                  <pic:blipFill>
                    <a:blip r:embed="rId15" cstate="print"/>
                    <a:srcRect b="0" l="0" r="0" t="0"/>
                    <a:stretch>
                      <a:fillRect/>
                    </a:stretch>
                  </pic:blipFill>
                  <pic:spPr>
                    <a:xfrm>
                      <a:off x="0" y="0"/>
                      <a:ext cx="4162425" cy="4362450"/>
                    </a:xfrm>
                    <a:prstGeom prst="rect"/>
                  </pic:spPr>
                </pic:pic>
              </a:graphicData>
            </a:graphic>
          </wp:inline>
        </w:drawing>
      </w:r>
    </w:p>
    <w:p>
      <w:pPr>
        <w:spacing w:lineRule="auto"/>
      </w:pPr>
      <w:r>
        <w:rPr>
          <w:rFonts w:eastAsia="Georgia" w:cs="Georgia" w:ascii="Georgia" w:hAnsi="Georgia"/>
        </w:rPr>
        <w:t xml:space="preserve">Fig. 4 : réponse fréquentielle</w:t>
      </w:r>
    </w:p>
    <w:p>
      <w:pPr>
        <w:spacing w:after="220" w:lineRule="auto"/>
      </w:pPr>
      <w:r>
        <w:rPr>
          <w:rFonts w:eastAsia="Georgia" w:cs="Georgia" w:ascii="Georgia" w:hAnsi="Georgia"/>
        </w:rPr>
        <w:t xml:space="preserve">Les figures 3 et 4 concernent un capteur de haute résolution. On lit sur la fig. 3 que l'amplitude du signal de réponse s'étend de </w:t>
      </w:r>
      <m:oMath>
        <m:r>
          <m:rPr>
            <m:sty m:val="p"/>
          </m:rPr>
          <m:t>−</m:t>
        </m:r>
        <m:r>
          <m:rPr>
            <m:sty m:val="p"/>
          </m:rPr>
          <m:t>0</m:t>
        </m:r>
        <m:r>
          <m:rPr>
            <m:sty m:val="p"/>
          </m:rPr>
          <m:t>,</m:t>
        </m:r>
        <m:r>
          <m:rPr>
            <m:sty m:val="p"/>
          </m:rPr>
          <m:t>14</m:t>
        </m:r>
        <m:r>
          <m:rPr>
            <m:nor/>
          </m:rPr>
          <m:t xml:space="preserve"> </m:t>
        </m:r>
        <m:r>
          <m:rPr>
            <m:sty m:val="p"/>
          </m:rPr>
          <m:t>V</m:t>
        </m:r>
      </m:oMath>
      <w:r>
        <w:rPr>
          <w:rFonts w:eastAsia="Georgia" w:cs="Georgia" w:ascii="Georgia" w:hAnsi="Georgia"/>
        </w:rPr>
        <w:t xml:space="preserve"> à </w:t>
      </w:r>
      <m:oMath>
        <m:r>
          <m:rPr>
            <m:sty m:val="p"/>
          </m:rPr>
          <m:t>+</m:t>
        </m:r>
        <m:r>
          <m:rPr>
            <m:sty m:val="p"/>
          </m:rPr>
          <m:t>0</m:t>
        </m:r>
        <m:r>
          <m:rPr>
            <m:sty m:val="p"/>
          </m:rPr>
          <m:t>,</m:t>
        </m:r>
        <m:r>
          <m:rPr>
            <m:sty m:val="p"/>
          </m:rPr>
          <m:t>1</m:t>
        </m:r>
        <m:r>
          <m:rPr>
            <m:nor/>
          </m:rPr>
          <m:t xml:space="preserve"> </m:t>
        </m:r>
        <m:r>
          <m:rPr>
            <m:sty m:val="p"/>
          </m:rPr>
          <m:t>V</m:t>
        </m:r>
      </m:oMath>
      <w:r>
        <w:rPr>
          <w:rFonts w:eastAsia="Georgia" w:cs="Georgia" w:ascii="Georgia" w:hAnsi="Georgia"/>
        </w:rPr>
        <w:t xml:space="preserve">. La durée du signal </w:t>
      </w:r>
      <m:oMath>
        <m:r>
          <m:rPr>
            <m:sty m:val="p"/>
          </m:rPr>
          <m:t>Δ</m:t>
        </m:r>
        <m:sSub>
          <m:sSubPr/>
          <m:e>
            <m:r>
              <m:rPr>
                <m:sty m:val="i"/>
              </m:rPr>
              <m:t>t</m:t>
            </m:r>
          </m:e>
          <m:sub>
            <m:r>
              <m:rPr>
                <m:sty m:val="p"/>
              </m:rPr>
              <m:t>s</m:t>
            </m:r>
          </m:sub>
        </m:sSub>
      </m:oMath>
      <w:r>
        <w:rPr>
          <w:rFonts w:eastAsia="Georgia" w:cs="Georgia" w:ascii="Georgia" w:hAnsi="Georgia"/>
        </w:rPr>
        <w:t xml:space="preserve"> à -20 dB est de </w:t>
      </w:r>
      <m:oMath>
        <m:r>
          <m:rPr>
            <m:sty m:val="p"/>
          </m:rPr>
          <m:t>0</m:t>
        </m:r>
        <m:r>
          <m:rPr>
            <m:sty m:val="p"/>
          </m:rPr>
          <m:t>,</m:t>
        </m:r>
        <m:r>
          <m:rPr>
            <m:sty m:val="p"/>
          </m:rPr>
          <m:t>28</m:t>
        </m:r>
        <m:r>
          <m:rPr>
            <m:sty m:val="i"/>
          </m:rPr>
          <m:t>μ</m:t>
        </m:r>
        <m:r>
          <m:rPr>
            <m:nor/>
          </m:rPr>
          <m:t xml:space="preserve"> </m:t>
        </m:r>
        <m:r>
          <m:rPr>
            <m:sty m:val="p"/>
          </m:rPr>
          <m:t>s</m:t>
        </m:r>
      </m:oMath>
      <w:r>
        <w:rPr>
          <w:rFonts w:eastAsia="Georgia" w:cs="Georgia" w:ascii="Georgia" w:hAnsi="Georgia"/>
        </w:rPr>
        <w:t xml:space="preserve">. L'ordonnée de la figure 4 est en dB , normalisés de 0 à 10 . La fréquence au maximum de réponse est de </w:t>
      </w:r>
      <m:oMath>
        <m:r>
          <m:rPr>
            <m:sty m:val="p"/>
          </m:rPr>
          <m:t>4</m:t>
        </m:r>
        <m:r>
          <m:rPr>
            <m:sty m:val="p"/>
          </m:rPr>
          <m:t>,</m:t>
        </m:r>
        <m:r>
          <m:rPr>
            <m:sty m:val="p"/>
          </m:rPr>
          <m:t>2</m:t>
        </m:r>
        <m:r>
          <m:rPr>
            <m:sty m:val="p"/>
          </m:rPr>
          <m:t>MHz</m:t>
        </m:r>
      </m:oMath>
      <w:r>
        <w:rPr/>
        <w:t xml:space="preserve">.</w:t>
      </w:r>
    </w:p>
    <w:p>
      <w:pPr>
        <w:spacing w:lineRule="auto"/>
        <w:jc w:val="center"/>
      </w:pPr>
      <w:r>
        <w:rPr/>
        <w:drawing>
          <wp:inline distB="0" distL="0" distR="0" distT="0">
            <wp:extent cx="5486400" cy="3352476"/>
            <wp:effectExtent b="0" l="0" r="0" t="0"/>
            <wp:docPr id="12" name="image-723bae8ac0c39a2db8560f0d7bf2806b5e25df6e.jpg"/>
            <a:graphic>
              <a:graphicData uri="http://schemas.openxmlformats.org/drawingml/2006/picture">
                <pic:pic>
                  <pic:nvPicPr>
                    <pic:cNvPr id="12" name="image-723bae8ac0c39a2db8560f0d7bf2806b5e25df6e.jpg" descr=""/>
                    <pic:cNvPicPr/>
                  </pic:nvPicPr>
                  <pic:blipFill>
                    <a:blip r:embed="rId16" cstate="print"/>
                    <a:srcRect b="0" l="0" r="0" t="0"/>
                    <a:stretch>
                      <a:fillRect/>
                    </a:stretch>
                  </pic:blipFill>
                  <pic:spPr>
                    <a:xfrm>
                      <a:off x="0" y="0"/>
                      <a:ext cx="5486400" cy="3352476"/>
                    </a:xfrm>
                    <a:prstGeom prst="rect"/>
                  </pic:spPr>
                </pic:pic>
              </a:graphicData>
            </a:graphic>
          </wp:inline>
        </w:drawing>
      </w:r>
    </w:p>
    <w:p>
      <w:pPr>
        <w:spacing w:lineRule="auto"/>
      </w:pPr>
      <w:r>
        <w:rPr>
          <w:rFonts w:eastAsia="Georgia" w:cs="Georgia" w:ascii="Georgia" w:hAnsi="Georgia"/>
        </w:rPr>
        <w:t xml:space="preserve">Fig. 5 : réponse temporelle</w:t>
      </w:r>
    </w:p>
    <w:p>
      <w:pPr>
        <w:spacing w:lineRule="auto"/>
        <w:jc w:val="center"/>
      </w:pPr>
      <w:r>
        <w:rPr/>
        <w:drawing>
          <wp:inline distB="0" distL="0" distR="0" distT="0">
            <wp:extent cx="4143375" cy="5038725"/>
            <wp:effectExtent b="0" l="0" r="0" t="0"/>
            <wp:docPr id="13" name="image-da896b1199c903b3ebe472cee97ce556933306af.jpg"/>
            <a:graphic>
              <a:graphicData uri="http://schemas.openxmlformats.org/drawingml/2006/picture">
                <pic:pic>
                  <pic:nvPicPr>
                    <pic:cNvPr id="13" name="image-da896b1199c903b3ebe472cee97ce556933306af.jpg" descr=""/>
                    <pic:cNvPicPr/>
                  </pic:nvPicPr>
                  <pic:blipFill>
                    <a:blip r:embed="rId17" cstate="print"/>
                    <a:srcRect b="0" l="0" r="0" t="0"/>
                    <a:stretch>
                      <a:fillRect/>
                    </a:stretch>
                  </pic:blipFill>
                  <pic:spPr>
                    <a:xfrm>
                      <a:off x="0" y="0"/>
                      <a:ext cx="4143375" cy="5038725"/>
                    </a:xfrm>
                    <a:prstGeom prst="rect"/>
                  </pic:spPr>
                </pic:pic>
              </a:graphicData>
            </a:graphic>
          </wp:inline>
        </w:drawing>
      </w:r>
    </w:p>
    <w:p>
      <w:pPr>
        <w:spacing w:lineRule="auto"/>
      </w:pPr>
      <w:r>
        <w:rPr>
          <w:rFonts w:eastAsia="Georgia" w:cs="Georgia" w:ascii="Georgia" w:hAnsi="Georgia"/>
        </w:rPr>
        <w:t xml:space="preserve">Fig. 6 : réponse fréquentielle</w:t>
      </w:r>
    </w:p>
    <w:p>
      <w:pPr>
        <w:spacing w:after="220" w:lineRule="auto"/>
      </w:pPr>
      <w:r>
        <w:rPr>
          <w:rFonts w:eastAsia="Georgia" w:cs="Georgia" w:ascii="Georgia" w:hAnsi="Georgia"/>
        </w:rPr>
        <w:t xml:space="preserve">Les figures 5 et 6 concernent un capteur de haute puissance. On lit sur la fig. 5 que l'amplitude du signal de réponse s'étend de </w:t>
      </w:r>
      <m:oMath>
        <m:r>
          <m:rPr>
            <m:sty m:val="p"/>
          </m:rPr>
          <m:t>−</m:t>
        </m:r>
        <m:r>
          <m:rPr>
            <m:sty m:val="p"/>
          </m:rPr>
          <m:t>0</m:t>
        </m:r>
        <m:r>
          <m:rPr>
            <m:sty m:val="p"/>
          </m:rPr>
          <m:t>,</m:t>
        </m:r>
        <m:r>
          <m:rPr>
            <m:sty m:val="p"/>
          </m:rPr>
          <m:t>17</m:t>
        </m:r>
        <m:r>
          <m:rPr>
            <m:nor/>
          </m:rPr>
          <m:t xml:space="preserve"> </m:t>
        </m:r>
        <m:r>
          <m:rPr>
            <m:sty m:val="p"/>
          </m:rPr>
          <m:t>V</m:t>
        </m:r>
      </m:oMath>
      <w:r>
        <w:rPr>
          <w:rFonts w:eastAsia="Georgia" w:cs="Georgia" w:ascii="Georgia" w:hAnsi="Georgia"/>
        </w:rPr>
        <w:t xml:space="preserve"> à </w:t>
      </w:r>
      <m:oMath>
        <m:r>
          <m:rPr>
            <m:sty m:val="p"/>
          </m:rPr>
          <m:t>+</m:t>
        </m:r>
        <m:r>
          <m:rPr>
            <m:sty m:val="p"/>
          </m:rPr>
          <m:t>0</m:t>
        </m:r>
        <m:r>
          <m:rPr>
            <m:sty m:val="p"/>
          </m:rPr>
          <m:t>,</m:t>
        </m:r>
        <m:r>
          <m:rPr>
            <m:sty m:val="p"/>
          </m:rPr>
          <m:t>16</m:t>
        </m:r>
        <m:r>
          <m:rPr>
            <m:nor/>
          </m:rPr>
          <m:t xml:space="preserve"> </m:t>
        </m:r>
        <m:r>
          <m:rPr>
            <m:sty m:val="p"/>
          </m:rPr>
          <m:t>V</m:t>
        </m:r>
      </m:oMath>
      <w:r>
        <w:rPr>
          <w:rFonts w:eastAsia="Georgia" w:cs="Georgia" w:ascii="Georgia" w:hAnsi="Georgia"/>
        </w:rPr>
        <w:t xml:space="preserve">. La durée du signal </w:t>
      </w:r>
      <m:oMath>
        <m:r>
          <m:rPr>
            <m:sty m:val="p"/>
          </m:rPr>
          <m:t>Δ</m:t>
        </m:r>
        <m:sSub>
          <m:sSubPr/>
          <m:e>
            <m:r>
              <m:rPr>
                <m:sty m:val="i"/>
              </m:rPr>
              <m:t>t</m:t>
            </m:r>
          </m:e>
          <m:sub>
            <m:r>
              <m:rPr>
                <m:sty m:val="p"/>
              </m:rPr>
              <m:t>s</m:t>
            </m:r>
          </m:sub>
        </m:sSub>
      </m:oMath>
      <w:r>
        <w:rPr>
          <w:rFonts w:eastAsia="Georgia" w:cs="Georgia" w:ascii="Georgia" w:hAnsi="Georgia"/>
        </w:rPr>
        <w:t xml:space="preserve"> à -20 dB est de </w:t>
      </w:r>
      <m:oMath>
        <m:r>
          <m:rPr>
            <m:sty m:val="p"/>
          </m:rPr>
          <m:t>0</m:t>
        </m:r>
        <m:r>
          <m:rPr>
            <m:sty m:val="p"/>
          </m:rPr>
          <m:t>,</m:t>
        </m:r>
        <m:r>
          <m:rPr>
            <m:sty m:val="p"/>
          </m:rPr>
          <m:t>88</m:t>
        </m:r>
        <m:r>
          <m:rPr>
            <m:sty m:val="i"/>
          </m:rPr>
          <m:t>μ</m:t>
        </m:r>
        <m:r>
          <m:rPr>
            <m:nor/>
          </m:rPr>
          <m:t xml:space="preserve"> </m:t>
        </m:r>
        <m:r>
          <m:rPr>
            <m:sty m:val="p"/>
          </m:rPr>
          <m:t>s</m:t>
        </m:r>
      </m:oMath>
      <w:r>
        <w:rPr>
          <w:rFonts w:eastAsia="Georgia" w:cs="Georgia" w:ascii="Georgia" w:hAnsi="Georgia"/>
        </w:rPr>
        <w:t xml:space="preserve">. L'ordonnée de la figure 6 est en dB , normalisés de 0 à 10 . La fréquence au maximum de réponse est de 8 , 5 MHz .</w:t>
      </w:r>
    </w:p>
    <w:p>
      <w:pPr>
        <w:spacing w:lineRule="auto"/>
      </w:pPr>
      <w:r>
        <w:rPr>
          <w:rFonts w:eastAsia="Georgia" w:cs="Georgia" w:ascii="Georgia" w:hAnsi="Georgia"/>
        </w:rPr>
        <w:t xml:space="preserve">Annexe A : réponse de la céramique en régime sinusoïdal établi.</w:t>
      </w:r>
    </w:p>
    <w:p>
      <w:pPr>
        <w:spacing w:lineRule="auto"/>
        <w:jc w:val="center"/>
      </w:pPr>
      <w:r>
        <w:rPr/>
        <w:drawing>
          <wp:inline distB="0" distL="0" distR="0" distT="0">
            <wp:extent cx="5486400" cy="7894341"/>
            <wp:effectExtent b="0" l="0" r="0" t="0"/>
            <wp:docPr id="14" name="image-00e932dfb3ccb18cd0fb67d3ccebf16798493f74.jpg"/>
            <a:graphic>
              <a:graphicData uri="http://schemas.openxmlformats.org/drawingml/2006/picture">
                <pic:pic>
                  <pic:nvPicPr>
                    <pic:cNvPr id="14" name="image-00e932dfb3ccb18cd0fb67d3ccebf16798493f74.jpg" descr=""/>
                    <pic:cNvPicPr/>
                  </pic:nvPicPr>
                  <pic:blipFill>
                    <a:blip r:embed="rId18" cstate="print"/>
                    <a:srcRect b="0" l="0" r="0" t="0"/>
                    <a:stretch>
                      <a:fillRect/>
                    </a:stretch>
                  </pic:blipFill>
                  <pic:spPr>
                    <a:xfrm>
                      <a:off x="0" y="0"/>
                      <a:ext cx="5486400" cy="7894341"/>
                    </a:xfrm>
                    <a:prstGeom prst="rect"/>
                  </pic:spPr>
                </pic:pic>
              </a:graphicData>
            </a:graphic>
          </wp:inline>
        </w:drawing>
      </w:r>
    </w:p>
    <w:p>
      <w:pPr>
        <w:spacing w:line="271" w:before="330" w:lineRule="auto"/>
      </w:pPr>
      <w:r>
        <w:rPr>
          <w:rFonts w:eastAsia="Georgia" w:cs="Georgia" w:ascii="Georgia" w:hAnsi="Georgia"/>
          <w:b/>
          <w:sz w:val="42"/>
        </w:rPr>
        <w:t xml:space="preserve">Annexe B : Caractéristiques de transducteurs</w:t>
      </w:r>
    </w:p>
    <w:p>
      <w:pPr>
        <w:spacing w:lineRule="auto"/>
        <w:jc w:val="center"/>
      </w:pPr>
      <w:r>
        <w:rPr/>
        <w:drawing>
          <wp:inline distB="0" distL="0" distR="0" distT="0">
            <wp:extent cx="5486400" cy="4635684"/>
            <wp:effectExtent b="0" l="0" r="0" t="0"/>
            <wp:docPr id="15" name="image-7fdbeb28306ef7a726a7c352161942459d454256.jpg"/>
            <a:graphic>
              <a:graphicData uri="http://schemas.openxmlformats.org/drawingml/2006/picture">
                <pic:pic>
                  <pic:nvPicPr>
                    <pic:cNvPr id="15" name="image-7fdbeb28306ef7a726a7c352161942459d454256.jpg" descr=""/>
                    <pic:cNvPicPr/>
                  </pic:nvPicPr>
                  <pic:blipFill>
                    <a:blip r:embed="rId19" cstate="print"/>
                    <a:srcRect b="0" l="0" r="0" t="0"/>
                    <a:stretch>
                      <a:fillRect/>
                    </a:stretch>
                  </pic:blipFill>
                  <pic:spPr>
                    <a:xfrm>
                      <a:off x="0" y="0"/>
                      <a:ext cx="5486400" cy="4635684"/>
                    </a:xfrm>
                    <a:prstGeom prst="rect"/>
                  </pic:spPr>
                </pic:pic>
              </a:graphicData>
            </a:graphic>
          </wp:inline>
        </w:drawing>
      </w:r>
    </w:p>
    <w:p>
      <w:pPr>
        <w:spacing w:lineRule="auto"/>
      </w:pPr>
      <w:r>
        <w:rPr/>
        <w:t xml:space="preserve">Fig. A1 ab</w:t>
      </w:r>
      <w:r>
        <w:rPr/>
        <w:br w:type="textWrapping"/>
      </w:r>
      <w:r>
        <w:rPr/>
        <w:t xml:space="preserve">cd</w:t>
      </w:r>
    </w:p>
    <w:p>
      <w:pPr>
        <w:spacing w:lineRule="auto"/>
        <w:jc w:val="center"/>
      </w:pPr>
      <w:r>
        <w:rPr/>
        <w:drawing>
          <wp:inline distB="0" distL="0" distR="0" distT="0">
            <wp:extent cx="5486400" cy="4966797"/>
            <wp:effectExtent b="0" l="0" r="0" t="0"/>
            <wp:docPr id="16" name="image-ac976263a2bac10f68a5e91d6fe6becccf188e2b.jpg"/>
            <a:graphic>
              <a:graphicData uri="http://schemas.openxmlformats.org/drawingml/2006/picture">
                <pic:pic>
                  <pic:nvPicPr>
                    <pic:cNvPr id="16" name="image-ac976263a2bac10f68a5e91d6fe6becccf188e2b.jpg" descr=""/>
                    <pic:cNvPicPr/>
                  </pic:nvPicPr>
                  <pic:blipFill>
                    <a:blip r:embed="rId20" cstate="print"/>
                    <a:srcRect b="0" l="0" r="0" t="0"/>
                    <a:stretch>
                      <a:fillRect/>
                    </a:stretch>
                  </pic:blipFill>
                  <pic:spPr>
                    <a:xfrm>
                      <a:off x="0" y="0"/>
                      <a:ext cx="5486400" cy="4966797"/>
                    </a:xfrm>
                    <a:prstGeom prst="rect"/>
                  </pic:spPr>
                </pic:pic>
              </a:graphicData>
            </a:graphic>
          </wp:inline>
        </w:drawing>
      </w:r>
    </w:p>
    <w:p>
      <w:pPr>
        <w:spacing w:lineRule="auto"/>
      </w:pPr>
      <w:r>
        <w:rPr/>
        <w:t xml:space="preserve">Fig. A2, concerne le transducteur Z4K</w:t>
      </w:r>
    </w:p>
    <w:p>
      <w:pPr>
        <w:spacing w:after="220" w:lineRule="auto"/>
      </w:pPr>
      <w:r>
        <w:rPr>
          <w:rFonts w:eastAsia="Georgia" w:cs="Georgia" w:ascii="Georgia" w:hAnsi="Georgia"/>
        </w:rPr>
        <w:t xml:space="preserve">Les caractéristiques ci-dessus concernent le transducteur Z 4 K , excité par un faisceau ultrasonore de diamètre 10 mm et de fréquence 4 MHz (faisceau «4-10»).</w:t>
      </w:r>
    </w:p>
    <w:p>
      <w:pPr>
        <w:spacing w:after="220" w:lineRule="auto"/>
      </w:pPr>
      <w:r>
        <w:rPr/>
        <w:t xml:space="preserve">La distance focale </w:t>
      </w:r>
      <m:oMath>
        <m:r>
          <m:rPr>
            <m:sty m:val="i"/>
          </m:rPr>
          <m:t>F</m:t>
        </m:r>
      </m:oMath>
      <w:r>
        <w:rPr>
          <w:rFonts w:eastAsia="Georgia" w:cs="Georgia" w:ascii="Georgia" w:hAnsi="Georgia"/>
        </w:rPr>
        <w:t xml:space="preserve"> est la distance entre le transducteur et un petit réflecteur produisant l'écho de réflexion dont l'amplitude est la plus grande.</w:t>
      </w:r>
    </w:p>
    <w:p>
      <w:pPr>
        <w:spacing w:after="220" w:lineRule="auto"/>
      </w:pPr>
      <w:r>
        <w:rPr/>
        <w:t xml:space="preserve">Le constructeur indique l'extension du champ proche, </w:t>
      </w:r>
      <m:oMath>
        <m:r>
          <m:rPr>
            <m:sty m:val="i"/>
          </m:rPr>
          <m:t>N</m:t>
        </m:r>
        <m:r>
          <m:rPr>
            <m:sty m:val="p"/>
          </m:rPr>
          <m:t>=</m:t>
        </m:r>
        <m:r>
          <m:rPr>
            <m:sty m:val="p"/>
          </m:rPr>
          <m:t>64</m:t>
        </m:r>
        <m:r>
          <m:rPr>
            <m:nor/>
          </m:rPr>
          <m:t xml:space="preserve"> </m:t>
        </m:r>
        <m:r>
          <m:rPr>
            <m:sty m:val="p"/>
          </m:rPr>
          <m:t>mm</m:t>
        </m:r>
      </m:oMath>
      <w:r>
        <w:rPr/>
        <w:t xml:space="preserve"> ( </w:t>
      </w:r>
      <m:oMath>
        <m:r>
          <m:rPr>
            <m:sty m:val="i"/>
          </m:rPr>
          <m:t>N</m:t>
        </m:r>
      </m:oMath>
      <w:r>
        <w:rPr>
          <w:rFonts w:eastAsia="Georgia" w:cs="Georgia" w:ascii="Georgia" w:hAnsi="Georgia"/>
        </w:rPr>
        <w:t xml:space="preserve"> pour Near field). C'est la distance focale d'un transducteur non focalisé, ce qui correspond à la pression ultrasonore maximale au plus loin du capteur ; pour </w:t>
      </w:r>
      <m:oMath>
        <m:r>
          <m:rPr>
            <m:sty m:val="i"/>
          </m:rPr>
          <m:t>D</m:t>
        </m:r>
        <m:r>
          <m:rPr>
            <m:sty m:val="p"/>
          </m:rPr>
          <m:t>≫</m:t>
        </m:r>
        <m:r>
          <m:rPr>
            <m:sty m:val="i"/>
          </m:rPr>
          <m:t>λ</m:t>
        </m:r>
        <m:r>
          <m:rPr>
            <m:sty m:val="p"/>
          </m:rPr>
          <m:t>,</m:t>
        </m:r>
        <m:r>
          <m:rPr>
            <m:sty m:val="i"/>
          </m:rPr>
          <m:t>N</m:t>
        </m:r>
        <m:r>
          <m:rPr>
            <m:sty m:val="p"/>
          </m:rPr>
          <m:t>=</m:t>
        </m:r>
        <m:f>
          <m:fPr>
            <m:ctrlPr>
              <w:rPr>
                <w:rFonts w:ascii="Cambria Math" w:hAnsi="Cambria Math"/>
              </w:rPr>
            </m:ctrlPr>
          </m:fPr>
          <m:num>
            <m:sSup>
              <m:sSupPr/>
              <m:e>
                <m:r>
                  <m:rPr>
                    <m:sty m:val="i"/>
                  </m:rPr>
                  <m:t>D</m:t>
                </m:r>
              </m:e>
              <m:sup>
                <m:r>
                  <m:rPr>
                    <m:sty m:val="p"/>
                  </m:rPr>
                  <m:t>2</m:t>
                </m:r>
              </m:sup>
            </m:sSup>
          </m:num>
          <m:den>
            <m:r>
              <m:rPr>
                <m:sty m:val="p"/>
              </m:rPr>
              <m:t>4</m:t>
            </m:r>
            <m:r>
              <m:rPr>
                <m:sty m:val="i"/>
              </m:rPr>
              <m:t>λ</m:t>
            </m:r>
          </m:den>
        </m:f>
        <m:r>
          <m:rPr>
            <m:sty m:val="p"/>
          </m:rPr>
          <m:t>=</m:t>
        </m:r>
        <m:f>
          <m:fPr>
            <m:ctrlPr>
              <w:rPr>
                <w:rFonts w:ascii="Cambria Math" w:hAnsi="Cambria Math"/>
              </w:rPr>
            </m:ctrlPr>
          </m:fPr>
          <m:num>
            <m:sSup>
              <m:sSupPr/>
              <m:e>
                <m:r>
                  <m:rPr>
                    <m:sty m:val="i"/>
                  </m:rPr>
                  <m:t>D</m:t>
                </m:r>
              </m:e>
              <m:sup>
                <m:r>
                  <m:rPr>
                    <m:sty m:val="p"/>
                  </m:rPr>
                  <m:t>2</m:t>
                </m:r>
              </m:sup>
            </m:sSup>
            <m:r>
              <m:rPr>
                <m:sty m:val="i"/>
              </m:rPr>
              <m:t>f</m:t>
            </m:r>
          </m:num>
          <m:den>
            <m:r>
              <m:rPr>
                <m:sty m:val="p"/>
              </m:rPr>
              <m:t>4</m:t>
            </m:r>
            <m:r>
              <m:rPr>
                <m:sty m:val="i"/>
              </m:rPr>
              <m:t>c</m:t>
            </m:r>
          </m:den>
        </m:f>
      </m:oMath>
      <w:r>
        <w:rPr>
          <w:rFonts w:eastAsia="Georgia" w:cs="Georgia" w:ascii="Georgia" w:hAnsi="Georgia"/>
        </w:rPr>
        <w:t xml:space="preserve">, où </w:t>
      </w:r>
      <m:oMath>
        <m:r>
          <m:rPr>
            <m:sty m:val="i"/>
          </m:rPr>
          <m:t>f</m:t>
        </m:r>
      </m:oMath>
      <w:r>
        <w:rPr>
          <w:rFonts w:eastAsia="Georgia" w:cs="Georgia" w:ascii="Georgia" w:hAnsi="Georgia"/>
        </w:rPr>
        <w:t xml:space="preserve"> est la fréquence et </w:t>
      </w:r>
      <m:oMath>
        <m:r>
          <m:rPr>
            <m:sty m:val="i"/>
          </m:rPr>
          <m:t>c</m:t>
        </m:r>
      </m:oMath>
      <w:r>
        <w:rPr/>
        <w:t xml:space="preserve"> la vitesse de propagation du son.</w:t>
      </w:r>
    </w:p>
    <w:p>
      <w:pPr>
        <w:numPr>
          <w:ilvl w:val="0"/>
          <w:numId w:val="8"/>
        </w:numPr>
        <w:spacing w:lineRule="auto"/>
      </w:pPr>
      <w:r>
        <w:rPr>
          <w:rFonts w:eastAsia="Georgia" w:cs="Georgia" w:ascii="Georgia" w:hAnsi="Georgia"/>
        </w:rPr>
        <w:t xml:space="preserve">Le point focal et l'extension du champ proche correspondent au domaine de distance où la concentration de l'ultrason et l'identification des réflecteurs sont les meilleures. C'est pourquoi, il sera nécessaire que la zone suspectée des défauts recherchés se trouve dans la zone de focalisation ou du champ proche du transducteur utilisé.</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c9e9919244859ca091f21ed8e29bcf70afa276be.jpg" TargetMode="Internal"/><Relationship Id="rId6" Type="http://schemas.openxmlformats.org/officeDocument/2006/relationships/image" Target="media/image-1d1e133db4f5b510e5c4049aae6d8411cf07c5d8.jpg" TargetMode="Internal"/><Relationship Id="rId7" Type="http://schemas.openxmlformats.org/officeDocument/2006/relationships/image" Target="media/image-0b9a1fe9838fb1ca200353436fe20f4a06d83aa3.jpg" TargetMode="Internal"/><Relationship Id="rId8" Type="http://schemas.openxmlformats.org/officeDocument/2006/relationships/image" Target="media/image-2e73f17867b6c458988b7854db1dd21ee61ad0cb.jpg" TargetMode="Internal"/><Relationship Id="rId9" Type="http://schemas.openxmlformats.org/officeDocument/2006/relationships/image" Target="media/image-2b0de963fec08a2e0f25d361fe0f67744894b337.jpg" TargetMode="Internal"/><Relationship Id="rId10" Type="http://schemas.openxmlformats.org/officeDocument/2006/relationships/image" Target="media/image-5bbc2f43ffd520c74b3fb36c033d2f8b6ef86e8f.jpg" TargetMode="Internal"/><Relationship Id="rId11" Type="http://schemas.openxmlformats.org/officeDocument/2006/relationships/image" Target="media/image-51105d40a2fbd87ebc462eb2b4f925916038b355.jpg" TargetMode="Internal"/><Relationship Id="rId12" Type="http://schemas.openxmlformats.org/officeDocument/2006/relationships/image" Target="media/image-0f583e18d2d8b2f02a6a7d32ec534c690be6da85.jpg" TargetMode="Internal"/><Relationship Id="rId13" Type="http://schemas.openxmlformats.org/officeDocument/2006/relationships/image" Target="media/image-1526f07196d5d50b1cdf1d72bbd8d79f393e4638.jpg" TargetMode="Internal"/><Relationship Id="rId14" Type="http://schemas.openxmlformats.org/officeDocument/2006/relationships/image" Target="media/image-42d7272f6e71d29061c575652c8eb2fd0141d8d9.jpg" TargetMode="Internal"/><Relationship Id="rId15" Type="http://schemas.openxmlformats.org/officeDocument/2006/relationships/image" Target="media/image-9db662265469486016dd6537531c198e03e1f86e.jpg" TargetMode="Internal"/><Relationship Id="rId16" Type="http://schemas.openxmlformats.org/officeDocument/2006/relationships/image" Target="media/image-723bae8ac0c39a2db8560f0d7bf2806b5e25df6e.jpg" TargetMode="Internal"/><Relationship Id="rId17" Type="http://schemas.openxmlformats.org/officeDocument/2006/relationships/image" Target="media/image-da896b1199c903b3ebe472cee97ce556933306af.jpg" TargetMode="Internal"/><Relationship Id="rId18" Type="http://schemas.openxmlformats.org/officeDocument/2006/relationships/image" Target="media/image-00e932dfb3ccb18cd0fb67d3ccebf16798493f74.jpg" TargetMode="Internal"/><Relationship Id="rId19" Type="http://schemas.openxmlformats.org/officeDocument/2006/relationships/image" Target="media/image-7fdbeb28306ef7a726a7c352161942459d454256.jpg" TargetMode="Internal"/><Relationship Id="rId20" Type="http://schemas.openxmlformats.org/officeDocument/2006/relationships/image" Target="media/image-ac976263a2bac10f68a5e91d6fe6becccf188e2b.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2025-09-04T21:50:37.276Z</dcterms:created>
  <dcterms:modified xsi:type="dcterms:W3CDTF">2025-09-04T21:50:37.276Z</dcterms:modified>
</cp:coreProperties>
</file>