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POLYTECHNIQUE - ÉCOLES NORMALES SUPÉRIEURES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A - (XLCR)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l'espace des polynômes à coefficients réels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Étant donnés deux polynômes non nuls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réels, leur plus grand commun diviseur (pgcd) unitaire est noté </w:t>
      </w:r>
      <m:oMath>
        <m:r>
          <m:rPr>
            <m:sty m:val="i"/>
          </m:rPr>
          <m:t>P</m:t>
        </m:r>
        <m:r>
          <m:rPr>
            <m:sty m:val="p"/>
          </m:rPr>
          <m:t>∧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est un second entier,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à </w:t>
      </w:r>
      <m:oMath>
        <m:r>
          <m:rPr>
            <m:sty m:val="i"/>
          </m:rPr>
          <m:t>r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à coefficients complexes. La notation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signifie que le coefficient à la ligne </w:t>
      </w:r>
      <m:oMath>
        <m:r>
          <m:rPr>
            <m:sty m:val="i"/>
          </m:rPr>
          <m:t>i</m:t>
        </m:r>
      </m:oMath>
      <w:r>
        <w:rPr/>
        <w:t xml:space="preserve"> et colonne </w:t>
      </w:r>
      <m:oMath>
        <m:r>
          <m:rPr>
            <m:sty m:val="i"/>
          </m:rPr>
          <m:t>j</m:t>
        </m:r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On note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la matrice identité est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polynôme caractéristique est donc unitaire.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matrice transposée. On rappelle qu'une matrice carrée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, orthogonale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symétriques (resp. orthogonales)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Étant donné 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nombres réels,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désigne la matrice diagonale associée.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son spectre est réel. On convient de ranger ses valeurs propres (comptées avec leurs ordres de multiplicité) dans l'ordre décroissant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alors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qui est donc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ordonné.</w:t>
      </w:r>
    </w:p>
    <w:p>
      <w:pPr>
        <w:spacing w:after="220" w:lineRule="auto"/>
      </w:pPr>
      <w:r>
        <w:rPr/>
        <w:t xml:space="preserve">Un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-uplet </w:t>
      </w:r>
      <m:oMath>
        <m:acc>
          <m:accPr>
            <m:chr m:val="̂"/>
          </m:accPr>
          <m:e>
            <m:r>
              <m:rPr>
                <m:sty m:val="i"/>
              </m:rPr>
              <m:t>λ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ordonnés, sont dit enlacés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Ils sont strictement enlacés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j</m:t>
        </m:r>
      </m:oMath>
      <w:r>
        <w:rPr/>
        <w:t xml:space="preserve">. Par exemple, </w:t>
      </w:r>
      <m:oMath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strictement enlacés.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numPr>
          <w:ilvl w:val="0"/>
          <w:numId w:val="1"/>
        </w:numPr>
        <w:spacing w:lineRule="auto"/>
      </w:pP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sous-groupe du groupe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des matrices inversibles.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partie compacte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si et seulement si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acc>
          <m:accPr>
            <m:chr m:val="ˆ"/>
          </m:accPr>
          <m:e>
            <m:r>
              <m:rPr>
                <m:sty m:val="i"/>
              </m:rPr>
              <m:t>λ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acc>
          <m:accPr>
            <m:chr m:val="ˆ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Formons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λ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en choisissant l'entier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convenablement.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on a donc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tandis que si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a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forme de même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μ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⩾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acc>
          <m:accPr>
            <m:chr m:val="̂"/>
          </m:accPr>
          <m:e>
            <m:r>
              <m:rPr>
                <m:sty m:val="i"/>
              </m:rPr>
              <m:t>λ</m:t>
            </m:r>
          </m:e>
        </m:acc>
      </m:oMath>
      <w:r>
        <w:rPr/>
        <w:t xml:space="preserve"> et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</m:oMath>
      <w:r>
        <w:rPr>
          <w:rFonts w:eastAsia="Georgia" w:cs="Georgia" w:ascii="Georgia" w:hAnsi="Georgia"/>
        </w:rPr>
        <w:t xml:space="preserve"> sont enlacés. Montrer que </w:t>
      </w:r>
      <m:oMath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 En examinant chacun des deux cas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ou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montrer que </w:t>
      </w:r>
      <m:oMath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λ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μ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enlacés.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Première Partie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définit les polynômes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(a)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unitaire de degré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un unique vecteur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On suppose que les nombres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tous strictement positifs. Montrer que </w:t>
      </w:r>
      <m:oMath>
        <m:r>
          <m:rPr>
            <m:sty m:val="i"/>
          </m:rPr>
          <m:t>P</m:t>
        </m:r>
      </m:oMath>
      <w:r>
        <w:rPr/>
        <w:t xml:space="preserve"> a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racines réelles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et que </w:t>
      </w:r>
      <m:oMath>
        <m:acc>
          <m:accPr>
            <m:chr m:val="̂"/>
          </m:accPr>
          <m:e>
            <m:r>
              <m:rPr>
                <m:sty m:val="i"/>
              </m:rPr>
              <m:t>λ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</m:oMath>
      <w:r>
        <w:rPr>
          <w:rFonts w:eastAsia="Georgia" w:cs="Georgia" w:ascii="Georgia" w:hAnsi="Georgia"/>
        </w:rPr>
        <w:t xml:space="preserve"> sont strictement enlacés.</w:t>
      </w:r>
      <w:r>
        <w:rPr/>
        <w:br w:type="textWrapping"/>
      </w:r>
      <w:r>
        <w:rPr>
          <w:rFonts w:eastAsia="Georgia" w:cs="Georgia" w:ascii="Georgia" w:hAnsi="Georgia"/>
        </w:rPr>
        <w:t xml:space="preserve">(c) Réciproquement, on suppose que </w:t>
      </w:r>
      <m:oMath>
        <m:r>
          <m:rPr>
            <m:sty m:val="i"/>
          </m:rPr>
          <m:t>P</m:t>
        </m:r>
      </m:oMath>
      <w:r>
        <w:rPr/>
        <w:t xml:space="preserve"> a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racines réelles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et que </w:t>
      </w:r>
      <m:oMath>
        <m:acc>
          <m:accPr>
            <m:chr m:val="̂"/>
          </m:accPr>
          <m:e>
            <m:r>
              <m:rPr>
                <m:sty m:val="i"/>
              </m:rPr>
              <m:t>λ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</m:oMath>
      <w:r>
        <w:rPr>
          <w:rFonts w:eastAsia="Georgia" w:cs="Georgia" w:ascii="Georgia" w:hAnsi="Georgia"/>
        </w:rPr>
        <w:t xml:space="preserve"> sont strictement enlacés. Montrer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 On se donne des entiers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et, cette fois-ci,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∧</m:t>
          </m:r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la formule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(a) Donner une expression de </w:t>
      </w:r>
      <m:oMath>
        <m:r>
          <m:rPr>
            <m:sty m:val="i"/>
          </m:rPr>
          <m:t>P</m:t>
        </m:r>
        <m:r>
          <m:rPr>
            <m:sty m:val="p"/>
          </m:rPr>
          <m:t>∧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des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de l'ensemble </w:t>
      </w:r>
      <m:oMath>
        <m:r>
          <m:rPr>
            <m:sty m:val="i"/>
          </m:rPr>
          <m:t>J</m:t>
        </m:r>
        <m:r>
          <m:rPr>
            <m:sty m:val="p"/>
          </m:rPr>
          <m:t>des</m:t>
        </m:r>
      </m:oMath>
      <w:r>
        <w:rPr/>
        <w:t xml:space="preserve"> indices pour lesquels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que les nombres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positifs ou nuls.</w:t>
      </w:r>
    </w:p>
    <w:p>
      <w:pPr>
        <w:spacing w:after="220" w:lineRule="auto"/>
      </w:pPr>
      <w:r>
        <w:rPr/>
        <w:t xml:space="preserve">Montrer que les racines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toutes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par la suite que, dans ce cas le plus général, 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-uplet des racines de </w:t>
      </w:r>
      <m:oMath>
        <m:r>
          <m:rPr>
            <m:sty m:val="i"/>
          </m:rPr>
          <m:t>P</m:t>
        </m:r>
      </m:oMath>
      <w:r>
        <w:rPr/>
        <w:t xml:space="preserve"> et le </w:t>
      </w:r>
      <m:oMath>
        <m:r>
          <m:rPr>
            <m:sty m:val="i"/>
          </m:rPr>
          <m:t>N</m:t>
        </m:r>
      </m:oMath>
      <w:r>
        <w:rPr/>
        <w:t xml:space="preserve">-uplet des racines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enlacés.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Deuxième Partie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deux entiers naturels non nuls.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de plus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inversible. On considère la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ayant la forme par blocs suivante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Trouver deux matrices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U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V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/>
        <w:t xml:space="preserve">On pourra admettre par la suite que cette formule reste vraie lorsque </w:t>
      </w:r>
      <m:oMath>
        <m:r>
          <m:rPr>
            <m:sty m:val="i"/>
          </m:rPr>
          <m:t>M</m:t>
        </m:r>
      </m:oMath>
      <w:r>
        <w:rPr/>
        <w:t xml:space="preserve"> et ses blocs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à coefficients dans le corps </w:t>
      </w:r>
      <m:oMath>
        <m:r>
          <m:rPr>
            <m:scr m:val="double-struck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des fractions rationnelles.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symétrique. On écrit </w:t>
      </w:r>
      <m:oMath>
        <m:r>
          <m:rPr>
            <m:sty m:val="i"/>
          </m:rPr>
          <m:t>M</m:t>
        </m:r>
      </m:oMath>
      <w:r>
        <w:rPr/>
        <w:t xml:space="preserve"> sous la forme par blocs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y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Si le spectre de </w:t>
      </w:r>
      <m:oMath>
        <m:r>
          <m:rPr>
            <m:sty m:val="i"/>
          </m:rPr>
          <m:t>A</m:t>
        </m:r>
      </m:oMath>
      <w:r>
        <w:rPr/>
        <w:t xml:space="preserve"> est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Δ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des nombres réels positifs ou nuls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(pour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)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(c) Montrer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enlacés.</w:t>
      </w:r>
      <w:r>
        <w:rPr/>
        <w:br w:type="textWrapping"/>
      </w:r>
      <w:r>
        <w:rPr/>
        <w:t xml:space="preserve">10.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matrice extraite de taille </w:t>
      </w:r>
      <m:oMath>
        <m:r>
          <m:rPr>
            <m:sty m:val="i"/>
          </m:rPr>
          <m:t>n</m:t>
        </m:r>
      </m:oMath>
      <w:r>
        <w:rPr/>
        <w:t xml:space="preserve"> dont les coefficients sont les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l'ensemble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Sp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  <m:r>
                            <m:rPr>
                              <m:sty m:val="i"/>
                            </m:rPr>
                            <m:t>M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nor/>
                </m:rPr>
                <m:t> pour </m:t>
              </m:r>
              <m:r>
                <m:rPr>
                  <m:sty m:val="i"/>
                </m:rPr>
                <m:t>U</m:t>
              </m:r>
              <m:r>
                <m:rPr>
                  <m:nor/>
                </m:rPr>
                <m:t> parcourant 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noté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est une partie compacte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On suppose de plus que les valeurs propres de </w:t>
      </w:r>
      <m:oMath>
        <m:r>
          <m:rPr>
            <m:sty m:val="i"/>
          </m:rPr>
          <m:t>M</m:t>
        </m:r>
      </m:oMath>
      <w:r>
        <w:rPr/>
        <w:t xml:space="preserve"> sont distinctes. On a donc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</m:e>
        </m:d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⋯</m:t>
            </m:r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</m:oMath>
      <w:r>
        <w:rPr>
          <w:rFonts w:eastAsia="Georgia" w:cs="Georgia" w:ascii="Georgia" w:hAnsi="Georgia"/>
        </w:rPr>
        <w:t xml:space="preserve"> soient strictement enlacés. Montrer que </w:t>
      </w:r>
      <m:oMath>
        <m:acc>
          <m:accPr>
            <m:chr m:val="̂"/>
          </m:accPr>
          <m:e>
            <m:r>
              <m:rPr>
                <m:sty m:val="i"/>
              </m:rPr>
              <m:t>μ</m:t>
            </m:r>
          </m:e>
        </m:acc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μ</m:t>
                  </m:r>
                </m:e>
              </m:acc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⩾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nor/>
                </m:rPr>
                <m:t> tels que </m:t>
              </m:r>
              <m:r>
                <m:rPr>
                  <m:sty m:val="p"/>
                </m:rPr>
                <m:t>Sp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nor/>
                </m:rPr>
                <m:t> et </m:t>
              </m:r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μ</m:t>
                  </m:r>
                </m:e>
              </m:acc>
              <m:r>
                <m:rPr>
                  <m:nor/>
                </m:rPr>
                <m:t> soient enlacés 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p"/>
                      </m:rPr>
                      <m:t>Diag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⟼</m:t>
                </m:r>
              </m:e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Dans cette partie, on se propose d'étudier l'ensemble suivant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D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Diag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i"/>
                    </m:rPr>
                    <m:t>M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r>
                <m:rPr>
                  <m:nor/>
                </m:rPr>
                <m:t> pour </m:t>
              </m:r>
              <m:r>
                <m:rPr>
                  <m:sty m:val="i"/>
                </m:rPr>
                <m:t>U</m:t>
              </m:r>
              <m:r>
                <m:rPr>
                  <m:nor/>
                </m:rPr>
                <m:t> parcourant </m:t>
              </m:r>
              <m:sSub>
                <m:sSubPr/>
                <m:e>
                  <m:r>
                    <m:rPr>
                      <m:sty m:val="i"/>
                    </m:rPr>
                    <m:t>O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étudie d'abord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note alors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le segment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dont les extrémités sont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se propose de démontrer que,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(a) Que pensez-vous du cas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(b) Exprimer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au moyen des valeurs propres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obtenue en supprimant la dernière ligne et la dernière colonne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En déduire l'inégalité (3) lorsque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procédant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montrer l'inégalité ( 3 ),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 Quatrième Partie</w:t>
      </w:r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muni du produit scalaire standard et de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définit une base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⟶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symétrie orthogonale par rapport à la droite </w:t>
      </w:r>
      <m:oMath>
        <m:r>
          <m:rPr>
            <m:scr m:val="double-struck"/>
          </m:rPr>
          <m:t>R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Montrer que la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C</m:t>
        </m:r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⟶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symétrie orthogonale par rapport à la droite </w:t>
      </w:r>
      <m:oMath>
        <m:r>
          <m:rPr>
            <m:scr m:val="double-struck"/>
          </m:rPr>
          <m:t>R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la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C</m:t>
        </m:r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l'ensemble des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 le sous-ensemble des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On considère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H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r>
                  <m:rPr>
                    <m:sty m:val="i"/>
                  </m:rPr>
                  <m:t>E</m:t>
                </m:r>
              </m:e>
            </m:mr>
            <m:mr>
              <m:e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⟼</m:t>
                </m:r>
              </m:e>
            </m:mr>
          </m:m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 isomorphisme linéaire. Décrire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(c) Soit </w:t>
      </w:r>
      <m:oMath>
        <m:acc>
          <m:accPr>
            <m:chr m:val="ˆ"/>
          </m:accPr>
          <m:e>
            <m:r>
              <m:rPr>
                <m:sty m:val="i"/>
              </m:rPr>
              <m:t>λ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acc>
              <m:accPr>
                <m:chr m:val="̂"/>
              </m:accPr>
              <m:e>
                <m:r>
                  <m:rPr>
                    <m:sty m:val="i"/>
                  </m:rPr>
                  <m:t>λ</m:t>
                </m:r>
              </m:e>
            </m:acc>
          </m:sub>
        </m:sSub>
      </m:oMath>
      <w:r>
        <w:rPr/>
        <w:t xml:space="preserve"> l'ensemble des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Q</m:t>
                </m:r>
              </m:e>
              <m:sub>
                <m:acc>
                  <m:accPr>
                    <m:chr m:val="̂"/>
                  </m:accPr>
                  <m:e>
                    <m:r>
                      <m:rPr>
                        <m:sty m:val="i"/>
                      </m:rPr>
                      <m:t>λ</m:t>
                    </m:r>
                  </m:e>
                </m:acc>
              </m:sub>
            </m:sSub>
          </m:e>
        </m:d>
      </m:oMath>
      <w:r>
        <w:rPr>
          <w:rFonts w:eastAsia="Georgia" w:cs="Georgia" w:ascii="Georgia" w:hAnsi="Georgia"/>
        </w:rPr>
        <w:t xml:space="preserve"> est un quadrilatère dont on décrira les sommets.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trace nulle.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On se propose de décrire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. Soit </w:t>
      </w:r>
      <m:oMath>
        <m:r>
          <m:rPr>
            <m:sty m:val="i"/>
          </m:rPr>
          <m:t>σ</m:t>
        </m:r>
      </m:oMath>
      <w:r>
        <w:rPr/>
        <w:t xml:space="preserve"> une permutation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si et seulement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En utilisant la question 13, montrer que l'intersection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incluse dans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acc>
              <m:accPr>
                <m:chr m:val="̂"/>
              </m:accPr>
              <m:e>
                <m:r>
                  <m:rPr>
                    <m:sty m:val="i"/>
                  </m:rPr>
                  <m:t>λ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Montrer que le segment de </w:t>
      </w:r>
      <m:oMath>
        <m:r>
          <m:rPr>
            <m:sty m:val="i"/>
          </m:rPr>
          <m:t>H</m:t>
        </m:r>
      </m:oMath>
      <w:r>
        <w:rPr/>
        <w:t xml:space="preserve"> dont les sommets sont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inclus dans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On pourra utiliser la question 12.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même, montrer que le segment de </w:t>
      </w:r>
      <m:oMath>
        <m:r>
          <m:rPr>
            <m:sty m:val="i"/>
          </m:rPr>
          <m:t>H</m:t>
        </m:r>
      </m:oMath>
      <w:r>
        <w:rPr/>
        <w:t xml:space="preserve"> dont les sommets sont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inclus dans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contient </w:t>
      </w:r>
      <m:oMath>
        <m:sSub>
          <m:sSubPr/>
          <m:e>
            <m:r>
              <m:rPr>
                <m:scr m:val="script"/>
              </m:rPr>
              <m:t>Q</m:t>
            </m:r>
          </m:e>
          <m:sub>
            <m:acc>
              <m:accPr>
                <m:chr m:val="̂"/>
              </m:accPr>
              <m:e>
                <m:r>
                  <m:rPr>
                    <m:sty m:val="i"/>
                  </m:rPr>
                  <m:t>λ</m:t>
                </m:r>
              </m:e>
            </m:acc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(e) Montrer que si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alors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hexagone, dont on déterminera les sommets.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2025-08-29T16:04:47.021Z</dcterms:created>
  <dcterms:modified xsi:type="dcterms:W3CDTF">2025-08-29T16:04:47.021Z</dcterms:modified>
</cp:coreProperties>
</file>