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COMPOSITION DE MATHEMATIQUES - A - (XLCR)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/>
        <w:t xml:space="preserve">Pour tous entiers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coefficients réels ayant </w:t>
      </w:r>
      <m:oMath>
        <m:r>
          <m:rPr>
            <m:sty m:val="i"/>
          </m:rPr>
          <m:t>l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/>
        <w:t xml:space="preserve"> colonnes. Lorsque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, on notera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l</m:t>
        </m:r>
        <m:r>
          <m:rPr>
            <m:sty m:val="p"/>
          </m:rPr>
          <m:t>×</m:t>
        </m:r>
        <m:r>
          <m:rPr>
            <m:sty m:val="i"/>
          </m:rPr>
          <m:t>l</m:t>
        </m:r>
      </m:oMath>
      <w:r>
        <w:rPr/>
        <w:t xml:space="preserve">. Par ailleurs :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la transposée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notera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nuls. Lorsque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désignera la matrice nulle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de réels, on notera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coefficients diagonaux sont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pour toute matrice carrée à coefficients 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p"/>
                  </m:rPr>
                  <m:t>⟩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rad>
      </m:oMath>
      <w:r>
        <w:rPr>
          <w:rFonts w:eastAsia="Georgia" w:cs="Georgia" w:ascii="Georgia" w:hAnsi="Georgia"/>
        </w:rPr>
        <w:t xml:space="preserve">. On pourra utiliser sans démonstration que </w:t>
      </w:r>
      <m:oMath>
        <m:r>
          <m:rPr>
            <m:sty m:val="p"/>
          </m:rPr>
          <m:t>⟨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définit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muni de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espace vectoriel normé de dimension </w:t>
      </w:r>
      <m:oMath>
        <m:r>
          <m:rPr>
            <m:sty m:val="i"/>
          </m:rPr>
          <m:t>l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notera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rang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c'est-à-dire la dimension de l'image de </w:t>
      </w:r>
      <m:oMath>
        <m:r>
          <m:rPr>
            <m:sty m:val="i"/>
          </m:rPr>
          <m:t>A</m:t>
        </m:r>
      </m:oMath>
      <w:r>
        <w:rPr/>
        <w:t xml:space="preserve">. On rappelle que </w:t>
      </w:r>
      <m:oMath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de sa structure euclidienne canonique et pour tout vecteur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on notera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la norme euclidienne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trois entiers strictement positifs.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Donner l'expression de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en fonction des coefficients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C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‖</m:t>
        </m:r>
        <m:r>
          <m:rPr>
            <m:sty m:val="i"/>
          </m:rPr>
          <m:t>C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trois entiers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strictement positifs tels que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soit non vide.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Soient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symétrique qui n'admet que des valeurs propres positives puis 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 vecteur propre de </w:t>
      </w:r>
      <m:oMath>
        <m:r>
          <m:rPr>
            <m:sty m:val="i"/>
          </m:rPr>
          <m:t>S</m:t>
        </m:r>
      </m:oMath>
      <w:r>
        <w:rPr/>
        <w:t xml:space="preserve"> pour une valeur propre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λ</m:t>
            </m:r>
          </m:e>
        </m:ra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acc>
          <m:accPr>
            <m:chr m:val="˜"/>
          </m:accPr>
          <m:e>
            <m:r>
              <m:rPr>
                <m:sty m:val="i"/>
              </m:rPr>
              <m:t>S</m:t>
            </m:r>
          </m:e>
        </m:acc>
      </m:oMath>
      <w:r>
        <w:rPr/>
        <w:t xml:space="preserve"> pour la valeur propre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(a)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Λ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Λ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…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 est la matrice de la projection orthogonale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En posant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rad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acc>
          <m:accPr>
            <m:chr m:val="˜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Λ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Σ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m:oMath>
        <m:r>
          <m:rPr>
            <m:sty m:val="p"/>
          </m:rPr>
          <m:t>avec</m:t>
        </m:r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λ</m:t>
                    </m:r>
                  </m:e>
                </m:rad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s'intéresse à la meilleure approximation, pour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d'une matrice de rang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par une matrice de rang fixé. Cette partie est indépendante des parties suivantes.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rang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sont des entiers strictement positifs,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la décomposition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Σ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construite dans la première partie. Soient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acc>
          <m:accPr>
            <m:chr m:val="̃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tels que </w:t>
      </w:r>
      <m:oMath>
        <m:r>
          <m:rPr>
            <m:sty m:val="i"/>
          </m:rPr>
          <m:t>l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et </w:t>
      </w:r>
      <m:oMath>
        <m:sSup>
          <m:sSup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p>
            <m:r>
              <m:rPr>
                <m:sty m:val="p"/>
              </m:rPr>
              <m:t>T</m:t>
            </m:r>
          </m:sup>
        </m:sSup>
        <m:acc>
          <m:accPr>
            <m:chr m:val="̃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.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b>
                <m:r>
                  <m:rPr>
                    <m:sty m:val="i"/>
                  </m:rPr>
                  <m:t>l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r>
              <m:rPr>
                <m:sty m:val="i"/>
              </m:rPr>
              <m:t>l</m:t>
            </m:r>
          </m:sup>
        </m:sSup>
      </m:oMath>
      <w:r>
        <w:rPr/>
        <w:t xml:space="preserve"> la famille des colonnes de </w:t>
      </w:r>
      <m:oMath>
        <m:acc>
          <m:accPr>
            <m:chr m:val="̃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celle des colonnes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(a) Vérifier que </w:t>
      </w:r>
      <m:oMath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  <m:sSup>
                  <m:sSup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</m:e>
            </m:d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A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  <m:sSup>
                  <m:sSup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</m:e>
            </m:d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Montrer que</w:t>
      </w:r>
    </w:p>
    <w:p>
      <w:pPr>
        <w:spacing w:after="220" w:lineRule="auto"/>
      </w:pPr>
      <m:oMathPara>
        <m:oMath>
          <m:sSubSup>
            <m:sSub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acc>
                    <m:accPr>
                      <m:chr m:val="̃"/>
                    </m:accPr>
                    <m:e>
                      <m:r>
                        <m:rPr>
                          <m:sty m:val="i"/>
                        </m:rPr>
                        <m:t>V</m:t>
                      </m:r>
                    </m:e>
                  </m:acc>
                  <m:sSup>
                    <m:sSupPr/>
                    <m:e>
                      <m:acc>
                        <m:accPr>
                          <m:chr m:val="̃"/>
                        </m:accPr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T</m:t>
                      </m:r>
                    </m:sup>
                  </m:sSup>
                </m:e>
              </m:d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l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h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acc>
                            <m:accPr>
                              <m:chr m:val="˜"/>
                            </m:accPr>
                            <m:e>
                              <m:r>
                                <m:rPr>
                                  <m:sty m:val="i"/>
                                </m:rPr>
                                <m:t>v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i"/>
                            </m:rPr>
                            <m:t>m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⟨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désigne le produit scalaire usuel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On suppose ici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Pour tout </w:t>
      </w:r>
      <m:oMath>
        <m:r>
          <m:rPr>
            <m:sty m:val="i"/>
          </m:rPr>
          <m:t>l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 et tout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l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Montrer que 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des réels positifs et que l'on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Sup>
          <m:sSub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  <m:sSup>
                  <m:sSupPr/>
                  <m:e>
                    <m:acc>
                      <m:accPr>
                        <m:chr m:val="˜"/>
                      </m:accPr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T</m:t>
                    </m:r>
                  </m:sup>
                </m:sSup>
              </m:e>
            </m:d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h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et que l'on a l'égalité si et seulement si on a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sous-espace vectoriel engendré </w:t>
      </w:r>
      <m:oMath>
        <m:r>
          <m:rPr>
            <m:sty m:val="p"/>
          </m:rPr>
          <m:t>par</m:t>
        </m:r>
        <m:r>
          <m:rPr>
            <m:sty m:val="i"/>
          </m:rPr>
          <m:t>X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l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A</m:t>
        </m:r>
        <m:sSubSup>
          <m:sSubSup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h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avec égalité si et seulement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∗</m:t>
            </m:r>
          </m:sub>
        </m:sSub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∗</m:t>
            </m:r>
          </m:sub>
        </m:sSub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∗</m:t>
            </m:r>
          </m:sub>
          <m:sup>
            <m:r>
              <m:rPr>
                <m:sty m:val="p"/>
              </m:rPr>
              <m:t>T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ra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rad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) est la matrice formée des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premières colonnes de </w:t>
      </w:r>
      <m:oMath>
        <m:r>
          <m:rPr>
            <m:sty m:val="i"/>
          </m:rPr>
          <m:t>U</m:t>
        </m:r>
      </m:oMath>
      <w:r>
        <w:rPr/>
        <w:t xml:space="preserve"> (resp. de </w:t>
      </w:r>
      <m:oMath>
        <m:r>
          <m:rPr>
            <m:sty m:val="i"/>
          </m:rPr>
          <m:t>V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deux entiers strictement positifs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blocs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p>
                        <m:r>
                          <m:rPr>
                            <m:sty m:val="p"/>
                          </m:rPr>
                          <m:t>T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suppose ici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est une matrice inversible.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</m:oMath>
      <w:r>
        <w:rPr/>
        <w:t xml:space="preserve"> est inversible. On notera son inverse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(b) Montrer que l'orthogonal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supplémentaires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i.e.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⊕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commencer par vérifier que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On définit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O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O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</m:oMath>
      <w:r>
        <w:rPr/>
        <w:t xml:space="preserve"> est la matrice de la projection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ouvert et que l'application </w:t>
      </w:r>
      <m:oMath>
        <m:r>
          <m:rPr>
            <m:sty m:val="i"/>
          </m:rPr>
          <m:t>M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continue sur cet ouvert.</w:t>
      </w:r>
      <w:r>
        <w:rPr/>
        <w:br w:type="textWrapping"/>
      </w:r>
      <w:r>
        <w:rPr/>
        <w:t xml:space="preserve">12. Montrer qu'il existe un voisinage </w:t>
      </w:r>
      <m:oMath>
        <m:r>
          <m:rPr>
            <m:scr m:val="script"/>
          </m:rPr>
          <m:t>V</m:t>
        </m:r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V</m:t>
        </m:r>
      </m:oMath>
      <w:r>
        <w:rPr/>
        <w:t xml:space="preserve"> est inversible pour tout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script"/>
          </m:rPr>
          <m:t>V</m:t>
        </m:r>
      </m:oMath>
      <w:r>
        <w:rPr/>
        <w:t xml:space="preserve"> et l'application </w:t>
      </w:r>
      <m:oMath>
        <m:r>
          <m:rPr>
            <m:sty m:val="i"/>
          </m:rPr>
          <m:t>W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</m:oMath>
      <w:r>
        <w:rPr/>
        <w:t xml:space="preserve"> est continue de </w:t>
      </w:r>
      <m:oMath>
        <m:r>
          <m:rPr>
            <m:scr m:val="script"/>
          </m:rPr>
          <m:t>V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trois entiers strictement positifs tels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pour toute la suite l'espace vectoriel</w:t>
      </w:r>
    </w:p>
    <w:p>
      <w:pPr>
        <w:spacing w:after="220" w:lineRule="auto"/>
      </w:pPr>
      <m:oMathPara>
        <m:oMath>
          <m:r>
            <m:rPr>
              <m:scr m:val="script"/>
            </m:rPr>
            <m:t>E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rang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Σ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Σ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diagonale à coefficients diagonaux strictement positifs (l'existence de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p"/>
          </m:rPr>
          <m:t>Σ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a été montrée dans la première partie).</w:t>
      </w:r>
      <w:r>
        <w:rPr/>
        <w:br w:type="textWrapping"/>
      </w:r>
      <w:r>
        <w:rPr/>
        <w:t xml:space="preserve">13. Soient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p"/>
              </m:rPr>
              <m:t>Σ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. On considère la courbe </w:t>
      </w:r>
      <m:oMath>
        <m:r>
          <m:rPr>
            <m:sty m:val="i"/>
          </m:rPr>
          <m:t>γ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p"/>
              </m:rPr>
              <m:t>Σ</m:t>
            </m:r>
          </m:e>
        </m:acc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i"/>
              </m:rPr>
              <m:t>V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p"/>
              </m:rPr>
              <m:t>Σ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t</m:t>
        </m:r>
        <m:acc>
          <m:accPr>
            <m:chr m:val="‾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/>
        <w:t xml:space="preserve"> sont constantes au voisinage 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donner l'expression de la dérivée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γ</m:t>
        </m:r>
      </m:oMath>
      <w:r>
        <w:rPr/>
        <w:t xml:space="preserve"> en 0.</w:t>
      </w:r>
      <w:r>
        <w:rPr/>
        <w:br w:type="textWrapping"/>
      </w:r>
      <w:r>
        <w:rPr/>
        <w:t xml:space="preserve">14.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Σ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acc>
              <m:accPr>
                <m:chr m:val="‾"/>
              </m:accPr>
              <m:e>
                <m:r>
                  <m:rPr>
                    <m:sty m:val="p"/>
                  </m:rPr>
                  <m:t>Σ</m:t>
                </m:r>
              </m:e>
            </m:acc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Σ</m:t>
            </m:r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U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rPr>
                    <m:sty m:val="p"/>
                  </m:rPr>
                  <m:t>Σ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V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E</m:t>
            </m:r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V</m:t>
                    </m:r>
                  </m:e>
                </m:acc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V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tous les éléments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sont des vecteurs tangents à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on donnera la dimension.</w:t>
      </w:r>
      <w:r>
        <w:rPr/>
        <w:br w:type="textWrapping"/>
      </w:r>
      <w:r>
        <w:rPr/>
        <w:t xml:space="preserve">(b) Soit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N</m:t>
                </m:r>
              </m:e>
            </m:acc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sSup>
              <m:sSupPr/>
              <m:e>
                <m:acc>
                  <m:accPr>
                    <m:chr m:val="‾"/>
                  </m:accPr>
                  <m:e>
                    <m:r>
                      <m:rPr>
                        <m:sty m:val="i"/>
                      </m:rPr>
                      <m:t>N</m:t>
                    </m:r>
                  </m:e>
                </m:acc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N</m:t>
                </m:r>
              </m:e>
            </m:acc>
            <m:r>
              <m:rPr>
                <m:sty m:val="i"/>
              </m:rPr>
              <m:t>V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le sous-espace orthogonal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le produit scalaire </w:t>
      </w:r>
      <m:oMath>
        <m:r>
          <m:rPr>
            <m:sty m:val="p"/>
          </m:rPr>
          <m:t>⟨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15. Soit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vérifie la condition (C) si</w:t>
      </w:r>
    </w:p>
    <w:p>
      <w:pPr>
        <w:spacing w:after="220" w:lineRule="auto"/>
      </w:pPr>
      <m:oMathPara>
        <m:oMath>
          <m:r>
            <m:rPr>
              <m:nor/>
            </m:rPr>
            <m:t> (C) 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˜"/>
                </m:accPr>
                <m:e>
                  <m:r>
                    <m:rPr>
                      <m:sty m:val="p"/>
                    </m:rPr>
                    <m:t>A</m:t>
                  </m:r>
                </m:e>
              </m:acc>
              <m:sSup>
                <m:sSupPr/>
                <m:e>
                  <m:r>
                    <m:rPr>
                      <m:sty m:val="p"/>
                    </m:rPr>
                    <m:t>VV</m:t>
                  </m:r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p"/>
                </m:rPr>
                <m:t>A</m:t>
              </m:r>
            </m:e>
          </m:acc>
          <m:r>
            <m:rPr>
              <m:sty m:val="p"/>
            </m:rPr>
            <m:t>)</m:t>
          </m:r>
          <m:r>
            <m:rPr>
              <m:nor/>
            </m:rPr>
            <m:t> et 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acc>
                    <m:accPr>
                      <m:chr m:val="˜"/>
                    </m:accPr>
                    <m:e>
                      <m:r>
                        <m:rPr>
                          <m:sty m:val="p"/>
                        </m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UU</m:t>
                  </m:r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acc>
                    <m:accPr>
                      <m:chr m:val="˜"/>
                    </m:accPr>
                    <m:e>
                      <m:r>
                        <m:rPr>
                          <m:sty m:val="p"/>
                        </m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(a) Montrer que si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vérifie la condition (C) alors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Im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acc>
                        <m:accPr>
                          <m:chr m:val="˜"/>
                        </m:accPr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T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⊥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(b) 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vérifie la condition (C) dès que </w:t>
      </w:r>
      <m:oMath>
        <m:r>
          <m:rPr>
            <m:sty m:val="p"/>
          </m:rPr>
          <m:t>‖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−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ϵ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</w:t>
      </w:r>
      <m:oMath>
        <m:r>
          <m:rPr>
            <m:sty m:val="p"/>
          </m:rPr>
          <m:t>par</m:t>
        </m:r>
        <m:r>
          <m:rPr>
            <m:sty m:val="i"/>
          </m:rPr>
          <m:t>ϕ</m:t>
        </m:r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A</m:t>
                </m:r>
              </m:e>
            </m:acc>
            <m:r>
              <m:rPr>
                <m:sty m:val="i"/>
              </m:rPr>
              <m:t>V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A</m:t>
                    </m:r>
                  </m:e>
                </m:acc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</m:oMath>
      <w:r>
        <w:rPr/>
        <w:t xml:space="preserve"> pour tout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Identifier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introduit à la question (14b).</w:t>
      </w:r>
      <w:r>
        <w:rPr/>
        <w:br w:type="textWrapping"/>
      </w:r>
      <w:r>
        <w:rPr/>
        <w:t xml:space="preserve">(b) 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projection orthogonale sur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ϕ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condition (C). On note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sub>
        </m:sSub>
      </m:oMath>
      <w:r>
        <w:rPr/>
        <w:t xml:space="preserve"> est la matrice de la projection sur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W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alors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=</m:t>
          </m:r>
          <m:acc>
            <m:accPr>
              <m:chr m:val="˜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i"/>
            </m:rPr>
            <m:t>V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la restriction de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injective où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A</m:t>
                </m:r>
              </m:e>
            </m:acc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‖</m:t>
            </m:r>
            <m:acc>
              <m:accPr>
                <m:chr m:val="˜"/>
              </m:accPr>
              <m:e>
                <m:r>
                  <m:rPr>
                    <m:sty m:val="i"/>
                  </m:rPr>
                  <m:t>A</m:t>
                </m:r>
              </m:e>
            </m:acc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 est la boule ouverte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centrée en </w:t>
      </w:r>
      <m:oMath>
        <m:r>
          <m:rPr>
            <m:sty m:val="i"/>
          </m:rPr>
          <m:t>A</m:t>
        </m:r>
      </m:oMath>
      <w:r>
        <w:rPr/>
        <w:t xml:space="preserve"> et de rayon </w:t>
      </w:r>
      <m:oMath>
        <m:r>
          <m:rPr>
            <m:sty m:val="i"/>
          </m:rPr>
          <m:t>ϵ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la projection orthogonale sur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Montrer pour tout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la condition (C).</w:t>
      </w:r>
      <w:r>
        <w:rPr/>
        <w:br w:type="textWrapping"/>
      </w:r>
      <w:r>
        <w:rPr/>
        <w:t xml:space="preserve">(c) Montrer que si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A</m:t>
                </m:r>
              </m:e>
            </m:acc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T</m:t>
            </m:r>
          </m:sup>
        </m:sSup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(</m:t>
          </m:r>
          <m:acc>
            <m:accPr>
              <m:chr m:val="˜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W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V</m:t>
                  </m:r>
                </m:sub>
              </m:sSub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ρ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˜"/>
                  </m:accPr>
                  <m:e>
                    <m:r>
                      <m:rPr>
                        <m:sty m:val="i"/>
                      </m:rPr>
                      <m:t>A</m:t>
                    </m:r>
                  </m:e>
                </m:acc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‖</m:t>
        </m:r>
        <m:acc>
          <m:accPr>
            <m:chr m:val="˜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−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F</m:t>
            </m:r>
          </m:sub>
        </m:sSub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W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</m:sub>
                </m:sSub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exactement l'ensemble des vecteurs tangents à </w:t>
      </w:r>
      <m:oMath>
        <m:sSubSup>
          <m:sSubSup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en </w:t>
      </w:r>
      <m:oMath>
        <m:r>
          <m:rPr>
            <m:sty m:val="i"/>
          </m:rPr>
          <m:t>A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2025-08-29T06:25:51.651Z</dcterms:created>
  <dcterms:modified xsi:type="dcterms:W3CDTF">2025-08-29T06:25:51.651Z</dcterms:modified>
</cp:coreProperties>
</file>