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after="220" w:lineRule="auto"/>
      </w:pPr>
      <w:r>
        <w:rPr/>
        <w:t xml:space="preserve">CONCOURS D'ADMISSION 2007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quelques courbes planes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l'espace vectoriel des fonctions continues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périodiques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et </w:t>
      </w:r>
      <m:oMath>
        <m:r>
          <m:rPr>
            <m:sty m:val="i"/>
          </m:rPr>
          <m:t>E</m:t>
        </m:r>
      </m:oMath>
      <w:r>
        <w:rPr/>
        <w:t xml:space="preserve"> le sous-espace vectoriel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constitué des fonctions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périodiques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on définit le produit scalaire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H</m:t>
        </m:r>
      </m:oMath>
      <w:r>
        <w:rPr/>
        <w:t xml:space="preserve"> est un sous-espace vectoriel de </w:t>
      </w:r>
      <m:oMath>
        <m:r>
          <m:rPr>
            <m:sty m:val="i"/>
          </m:rPr>
          <m:t>F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/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Exprimer,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la série de Fourier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celle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quel sens la série de Fourier de </w:t>
      </w:r>
      <m:oMath>
        <m:r>
          <m:rPr>
            <m:sty m:val="i"/>
          </m:rPr>
          <m:t>f</m:t>
        </m:r>
      </m:oMath>
      <w:r>
        <w:rPr/>
        <w:t xml:space="preserve"> converge-t-elle?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 noyau de </w:t>
      </w:r>
      <m:oMath>
        <m:r>
          <m:rPr>
            <m:sty m:val="i"/>
          </m:rPr>
          <m:t>P</m:t>
        </m:r>
      </m:oMath>
      <w:r>
        <w:rPr/>
        <w:t xml:space="preserve">, que l'on note </w:t>
      </w:r>
      <m:oMath>
        <m:r>
          <m:rPr>
            <m:sty m:val="p"/>
          </m:rPr>
          <m:t>Ker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3.a) Déterminer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3.b) Pour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montrer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3.c) En déduire que </w:t>
      </w:r>
      <m:oMath>
        <m:r>
          <m:rPr>
            <m:sty m:val="p"/>
          </m:rPr>
          <m:t>Ker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∩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Im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l'image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le sous-espace vectoriel de </w:t>
      </w:r>
      <m:oMath>
        <m:r>
          <m:rPr>
            <m:sty m:val="i"/>
          </m:rPr>
          <m:t>F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/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</m:oMath>
      <w:r>
        <w:rPr/>
        <w:t xml:space="preserve"> si et seulement si les coefficients de Fourier de </w:t>
      </w:r>
      <m:oMath>
        <m:r>
          <m:rPr>
            <m:sty m:val="i"/>
          </m:rPr>
          <m:t>f</m:t>
        </m:r>
      </m:oMath>
      <w:r>
        <w:rPr/>
        <w:t xml:space="preserve"> satisfont certaines conditions que l'on explicitera.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certaines courbes du plan euclidien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O</m:t>
        </m:r>
      </m:oMath>
      <w:r>
        <w:rPr/>
        <w:t xml:space="preserve"> l'origine et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la base canonique.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u</m:t>
                  </m:r>
                </m:e>
              </m:acc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u</m:t>
                  </m:r>
                </m:e>
              </m:acc>
            </m:e>
            <m: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b>
          </m:sSub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les deux conditions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</w:t>
      </w:r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satisfaisant i) et ii) 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u</m:t>
                  </m:r>
                </m:e>
              </m:acc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</m:e>
            <m:sub>
              <m:r>
                <m:rPr>
                  <m:sty m:val="i"/>
                </m:rPr>
                <m:t>t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l'on considère la courbe décrite par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5.a) Quelle est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constante égale à 1 ?</w:t>
      </w:r>
      <w:r>
        <w:rPr/>
        <w:br w:type="textWrapping"/>
      </w:r>
      <w:r>
        <w:rPr/>
        <w:t xml:space="preserve">5.b) Montrer que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admet en tout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tangente dont on déterminera l'équation cartésienne.</w:t>
      </w:r>
      <w:r>
        <w:rPr/>
        <w:br w:type="textWrapping"/>
      </w:r>
      <w:r>
        <w:rPr>
          <w:rFonts w:eastAsia="Georgia" w:cs="Georgia" w:ascii="Georgia" w:hAnsi="Georgia"/>
        </w:rPr>
        <w:t xml:space="preserve">5.c) Quelle est la distance de cette tangente à l'origine?</w:t>
      </w:r>
      <w:r>
        <w:rPr/>
        <w:br w:type="textWrapping"/>
      </w:r>
      <w:r>
        <w:rPr/>
        <w:t xml:space="preserve">6.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des nombres réels non nuls.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e>
        </m:rad>
      </m:oMath>
      <w:r>
        <w:rPr/>
        <w:t xml:space="preserve">. On admettra que </w:t>
      </w:r>
      <m:oMath>
        <m:r>
          <m:rPr>
            <m:sty m:val="i"/>
          </m:rPr>
          <m:t>f</m:t>
        </m:r>
      </m:oMath>
      <w:r>
        <w:rPr/>
        <w:t xml:space="preserve"> satisfait i) et ii). Montrer que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une ellipse centrée à l'origine.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général.</w:t>
      </w:r>
      <w:r>
        <w:rPr/>
        <w:br w:type="textWrapping"/>
      </w:r>
      <w:r>
        <w:rPr/>
        <w:t xml:space="preserve">7.a) Montrer que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Arctan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Arctan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7.b) En déduire que toute demi-droite d'origine </w:t>
      </w:r>
      <m:oMath>
        <m:r>
          <m:rPr>
            <m:sty m:val="i"/>
          </m:rPr>
          <m:t>O</m:t>
        </m:r>
      </m:oMath>
      <w:r>
        <w:rPr/>
        <w:t xml:space="preserve"> contient un point et un seul 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Exprimer la longueur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en fonction de la valeur moyenne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réunion des segments </w:t>
      </w:r>
      <m:oMath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9.a) Montrer que l'aire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du domaine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9.b) Exprimer cette aire en fonction des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10. Pour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le sous-ensemble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 des fonctions </w:t>
      </w:r>
      <m:oMath>
        <m:r>
          <m:rPr>
            <m:sty m:val="i"/>
          </m:rPr>
          <m:t>f</m:t>
        </m:r>
      </m:oMath>
      <w:r>
        <w:rPr/>
        <w:t xml:space="preserve"> qui satisfont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</m:oMath>
      </m:oMathPara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admet un unique maximum que l'on déterminera.</w:t>
      </w:r>
    </w:p>
    <w:p>
      <w:pPr>
        <w:spacing w:after="220" w:lineRule="auto"/>
      </w:pPr>
      <w:r>
        <w:rPr/>
        <w:t xml:space="preserve">Pour quelles fonctions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ce maximum est-il atteint?</w:t>
      </w:r>
      <w:r>
        <w:rPr/>
        <w:br w:type="textWrapping"/>
      </w:r>
      <w:r>
        <w:rPr>
          <w:rFonts w:eastAsia="Georgia" w:cs="Georgia" w:ascii="Georgia" w:hAnsi="Georgia"/>
        </w:rPr>
        <w:t xml:space="preserve">11. En déduire,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satisfaisant les conditions i) et ii), l'inégalité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</m:den>
          </m:f>
        </m:oMath>
      </m:oMathPara>
    </w:p>
    <w:p>
      <w:pPr>
        <w:spacing w:after="220" w:lineRule="auto"/>
      </w:pPr>
      <w:r>
        <w:rPr/>
        <w:t xml:space="preserve">Quelles sont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réalisent l'égalité et les courbes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correspondantes?</w:t>
      </w:r>
      <w:r>
        <w:rPr/>
        <w:br w:type="textWrapping"/>
      </w:r>
      <w:r>
        <w:rPr/>
        <w:t xml:space="preserve">12.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i"/>
          </m:rPr>
          <m:t>P</m:t>
        </m:r>
      </m:oMath>
      <w:r>
        <w:rPr/>
        <w:t xml:space="preserve">. On suppose que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vérifient les conditions i) et ii).</w:t>
      </w:r>
      <w:r>
        <w:rPr/>
        <w:br w:type="textWrapping"/>
      </w:r>
      <w:r>
        <w:rPr/>
        <w:t xml:space="preserve">12.a) Comparer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12.b) Comparer les courbes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positif.</w:t>
      </w:r>
      <w:r>
        <w:rPr/>
        <w:br w:type="textWrapping"/>
      </w:r>
      <w:r>
        <w:rPr/>
        <w:t xml:space="preserve">13.a) Comparer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13.b) Montrer la formule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i"/>
            </m:rPr>
            <m:t>π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la droite engendrée par le vecteur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14.a) Montrer que la projection orthogonale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est un intervalle dont on déterminera la longueur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C'est le diamètre apparent de la courbe dans la direction normale à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14.b) Caractériser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lesquelles le diamètre apparent 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indépendant de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14.c) Exprimer alors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ℓ</m:t>
        </m:r>
      </m:oMath>
      <w:r>
        <w:rPr/>
        <w:t xml:space="preserve">. Donner un exemple qui ne soit pas un cercle.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revient au cas général. 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points 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 Montrer que le segment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inclus dans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2025-08-29T16:05:40.965Z</dcterms:created>
  <dcterms:modified xsi:type="dcterms:W3CDTF">2025-08-29T16:05:40.965Z</dcterms:modified>
</cp:coreProperties>
</file>